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E012F" w14:textId="438007F1" w:rsidR="00751A23" w:rsidRPr="002837E6" w:rsidRDefault="005B5C98" w:rsidP="002837E6">
      <w:pPr>
        <w:pStyle w:val="Title"/>
      </w:pPr>
      <w:r w:rsidRPr="00EA55D0">
        <w:t>Aged Care</w:t>
      </w:r>
      <w:r w:rsidR="002116E9" w:rsidRPr="00EA55D0">
        <w:t xml:space="preserve"> Financial Report | Guidance and FAQs</w:t>
      </w:r>
    </w:p>
    <w:p w14:paraId="615DE290" w14:textId="77777777" w:rsidR="00751A23" w:rsidRPr="00EA55D0" w:rsidRDefault="001D306E" w:rsidP="002837E6">
      <w:pPr>
        <w:pStyle w:val="Subtitle"/>
      </w:pPr>
      <w:r w:rsidRPr="00EA55D0">
        <w:t>2025-26</w:t>
      </w:r>
      <w:r w:rsidR="005B5C98" w:rsidRPr="00EA55D0">
        <w:t xml:space="preserve"> Financial Year</w:t>
      </w:r>
    </w:p>
    <w:p w14:paraId="77704821" w14:textId="75D3CFE5" w:rsidR="00062656" w:rsidRPr="00892317" w:rsidRDefault="00062656" w:rsidP="002C33DA">
      <w:pPr>
        <w:pStyle w:val="Header"/>
        <w:rPr>
          <w:color w:val="1E1545" w:themeColor="text1"/>
        </w:rPr>
        <w:sectPr w:rsidR="00062656" w:rsidRPr="00892317" w:rsidSect="00627385">
          <w:headerReference w:type="even" r:id="rId11"/>
          <w:footerReference w:type="even" r:id="rId12"/>
          <w:footerReference w:type="default" r:id="rId13"/>
          <w:headerReference w:type="first" r:id="rId14"/>
          <w:footerReference w:type="first" r:id="rId15"/>
          <w:type w:val="continuous"/>
          <w:pgSz w:w="11906" w:h="16838"/>
          <w:pgMar w:top="8505" w:right="1418" w:bottom="1418" w:left="1418" w:header="850" w:footer="709" w:gutter="0"/>
          <w:cols w:space="708"/>
          <w:titlePg/>
          <w:docGrid w:linePitch="360"/>
        </w:sectPr>
      </w:pPr>
      <w:r w:rsidRPr="00892317">
        <w:rPr>
          <w:color w:val="1E1545" w:themeColor="text1"/>
        </w:rPr>
        <w:t>Version</w:t>
      </w:r>
      <w:r w:rsidR="00DF071D" w:rsidRPr="00892317">
        <w:rPr>
          <w:color w:val="1E1545" w:themeColor="text1"/>
        </w:rPr>
        <w:t xml:space="preserve"> </w:t>
      </w:r>
      <w:r w:rsidR="00FD1159">
        <w:rPr>
          <w:color w:val="1E1545" w:themeColor="text1"/>
        </w:rPr>
        <w:t>3</w:t>
      </w:r>
      <w:r w:rsidR="00DF071D" w:rsidRPr="00892317">
        <w:rPr>
          <w:color w:val="1E1545" w:themeColor="text1"/>
        </w:rPr>
        <w:t>.</w:t>
      </w:r>
    </w:p>
    <w:p w14:paraId="298C14F3" w14:textId="77777777" w:rsidR="006C4E9C" w:rsidRPr="005274C5" w:rsidRDefault="006C4E9C" w:rsidP="002837E6">
      <w:r w:rsidRPr="005274C5">
        <w:rPr>
          <w:noProof/>
        </w:rPr>
        <w:lastRenderedPageBreak/>
        <w:drawing>
          <wp:anchor distT="0" distB="0" distL="114300" distR="114300" simplePos="0" relativeHeight="251658242" behindDoc="1" locked="0" layoutInCell="1" allowOverlap="1" wp14:anchorId="66153BBC" wp14:editId="57A1780F">
            <wp:simplePos x="904875" y="1076325"/>
            <wp:positionH relativeFrom="page">
              <wp:align>center</wp:align>
            </wp:positionH>
            <wp:positionV relativeFrom="page">
              <wp:align>top</wp:align>
            </wp:positionV>
            <wp:extent cx="7560000" cy="10688400"/>
            <wp:effectExtent l="0" t="0" r="3175" b="0"/>
            <wp:wrapNone/>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Pr="005274C5">
        <w:br w:type="page"/>
      </w:r>
    </w:p>
    <w:p w14:paraId="777B80A4" w14:textId="42A66A31" w:rsidR="00BC1D5B" w:rsidRPr="00E22085" w:rsidRDefault="00BC1D5B" w:rsidP="00E22085">
      <w:pPr>
        <w:rPr>
          <w:rStyle w:val="Strong"/>
        </w:rPr>
      </w:pPr>
      <w:r w:rsidRPr="00E22085">
        <w:rPr>
          <w:rStyle w:val="Strong"/>
        </w:rPr>
        <w:t>Version History</w:t>
      </w:r>
    </w:p>
    <w:p w14:paraId="58030EFC" w14:textId="77DA2159" w:rsidR="00BC1D5B" w:rsidRPr="00EA55D0" w:rsidRDefault="00BC1D5B" w:rsidP="00E22085">
      <w:pPr>
        <w:rPr>
          <w:rFonts w:cs="Arial"/>
        </w:rPr>
      </w:pPr>
      <w:r w:rsidRPr="00EA55D0">
        <w:rPr>
          <w:rFonts w:cs="Arial"/>
        </w:rPr>
        <w:t xml:space="preserve">The Department of Health, Disability and Ageing (department) will continue to update this Guidance and FAQs document throughout the 2025-26 financial year. The table </w:t>
      </w:r>
      <w:r w:rsidR="00925F12" w:rsidRPr="00EA55D0">
        <w:rPr>
          <w:rFonts w:cs="Arial"/>
        </w:rPr>
        <w:t xml:space="preserve">below </w:t>
      </w:r>
      <w:r w:rsidRPr="00EA55D0">
        <w:rPr>
          <w:rFonts w:cs="Arial"/>
        </w:rPr>
        <w:t>will reflect changes as new information is added or updated.</w:t>
      </w:r>
    </w:p>
    <w:tbl>
      <w:tblPr>
        <w:tblStyle w:val="TableGrid"/>
        <w:tblW w:w="9067" w:type="dxa"/>
        <w:tblLook w:val="04A0" w:firstRow="1" w:lastRow="0" w:firstColumn="1" w:lastColumn="0" w:noHBand="0" w:noVBand="1"/>
      </w:tblPr>
      <w:tblGrid>
        <w:gridCol w:w="1097"/>
        <w:gridCol w:w="2661"/>
        <w:gridCol w:w="5309"/>
      </w:tblGrid>
      <w:tr w:rsidR="00CB18A6" w:rsidRPr="00E22085" w14:paraId="23C59996" w14:textId="77777777" w:rsidTr="00E22085">
        <w:trPr>
          <w:cnfStyle w:val="100000000000" w:firstRow="1" w:lastRow="0" w:firstColumn="0" w:lastColumn="0" w:oddVBand="0" w:evenVBand="0" w:oddHBand="0" w:evenHBand="0" w:firstRowFirstColumn="0" w:firstRowLastColumn="0" w:lastRowFirstColumn="0" w:lastRowLastColumn="0"/>
          <w:trHeight w:val="420"/>
          <w:tblHeader/>
        </w:trPr>
        <w:tc>
          <w:tcPr>
            <w:tcW w:w="988" w:type="dxa"/>
          </w:tcPr>
          <w:p w14:paraId="7400592E" w14:textId="77777777" w:rsidR="00921A58" w:rsidRPr="00E22085" w:rsidRDefault="00921A58" w:rsidP="00E22085">
            <w:r w:rsidRPr="00E22085">
              <w:t>Version</w:t>
            </w:r>
          </w:p>
        </w:tc>
        <w:tc>
          <w:tcPr>
            <w:tcW w:w="2693" w:type="dxa"/>
          </w:tcPr>
          <w:p w14:paraId="4C6A2289" w14:textId="77777777" w:rsidR="00921A58" w:rsidRPr="00E22085" w:rsidRDefault="00921A58" w:rsidP="00E22085">
            <w:r w:rsidRPr="00E22085">
              <w:t>Date</w:t>
            </w:r>
          </w:p>
        </w:tc>
        <w:tc>
          <w:tcPr>
            <w:tcW w:w="5386" w:type="dxa"/>
          </w:tcPr>
          <w:p w14:paraId="1EBBC01B" w14:textId="77777777" w:rsidR="00921A58" w:rsidRPr="00E22085" w:rsidRDefault="00921A58" w:rsidP="00E22085">
            <w:r w:rsidRPr="00E22085">
              <w:t>Explanation of changes</w:t>
            </w:r>
          </w:p>
        </w:tc>
      </w:tr>
      <w:tr w:rsidR="001610D4" w:rsidRPr="00EA55D0" w14:paraId="46EEE2D0" w14:textId="77777777" w:rsidTr="00E22085">
        <w:trPr>
          <w:trHeight w:val="611"/>
        </w:trPr>
        <w:tc>
          <w:tcPr>
            <w:tcW w:w="988" w:type="dxa"/>
          </w:tcPr>
          <w:p w14:paraId="6EA1D7CC" w14:textId="77777777" w:rsidR="00921A58" w:rsidRPr="00E22085" w:rsidRDefault="00921A58" w:rsidP="00E22085">
            <w:r w:rsidRPr="00E22085">
              <w:t>1.0</w:t>
            </w:r>
          </w:p>
        </w:tc>
        <w:tc>
          <w:tcPr>
            <w:tcW w:w="2693" w:type="dxa"/>
          </w:tcPr>
          <w:p w14:paraId="51E091D0" w14:textId="4BAEA343" w:rsidR="00921A58" w:rsidRPr="00E22085" w:rsidRDefault="00921A58" w:rsidP="00E22085">
            <w:r w:rsidRPr="00E22085">
              <w:t>22 September 2025</w:t>
            </w:r>
          </w:p>
        </w:tc>
        <w:tc>
          <w:tcPr>
            <w:tcW w:w="5386" w:type="dxa"/>
          </w:tcPr>
          <w:p w14:paraId="2F46B733" w14:textId="657E2A58" w:rsidR="00921A58" w:rsidRPr="00EA55D0" w:rsidRDefault="00921A58" w:rsidP="00E22085">
            <w:pPr>
              <w:rPr>
                <w:rFonts w:cs="Arial"/>
                <w:b/>
              </w:rPr>
            </w:pPr>
            <w:r w:rsidRPr="00EA55D0">
              <w:rPr>
                <w:rFonts w:cs="Arial"/>
              </w:rPr>
              <w:t>Updated for changes in financial reporting from 1 November 2025</w:t>
            </w:r>
            <w:r w:rsidRPr="00E22085">
              <w:t>.</w:t>
            </w:r>
          </w:p>
        </w:tc>
      </w:tr>
      <w:tr w:rsidR="00FD1159" w:rsidRPr="00EA55D0" w14:paraId="3986E123" w14:textId="77777777" w:rsidTr="00E22085">
        <w:trPr>
          <w:trHeight w:val="611"/>
        </w:trPr>
        <w:tc>
          <w:tcPr>
            <w:tcW w:w="988" w:type="dxa"/>
          </w:tcPr>
          <w:p w14:paraId="0D4DE200" w14:textId="743CD804" w:rsidR="00FD1159" w:rsidRPr="00E22085" w:rsidRDefault="00FD1159" w:rsidP="00E22085">
            <w:r w:rsidRPr="00E22085">
              <w:t>2.0</w:t>
            </w:r>
          </w:p>
        </w:tc>
        <w:tc>
          <w:tcPr>
            <w:tcW w:w="2693" w:type="dxa"/>
          </w:tcPr>
          <w:p w14:paraId="7FE3DFC1" w14:textId="44A939C7" w:rsidR="00FD1159" w:rsidRPr="00E22085" w:rsidRDefault="00FD1159" w:rsidP="00E22085">
            <w:r w:rsidRPr="00E22085">
              <w:t>20 March 2026</w:t>
            </w:r>
          </w:p>
        </w:tc>
        <w:tc>
          <w:tcPr>
            <w:tcW w:w="5386" w:type="dxa"/>
          </w:tcPr>
          <w:p w14:paraId="1D4D642B" w14:textId="77777777" w:rsidR="00FD1159" w:rsidRPr="00E22085" w:rsidRDefault="00FD1159" w:rsidP="00E22085">
            <w:r>
              <w:rPr>
                <w:rFonts w:cs="Arial"/>
              </w:rPr>
              <w:t>Updated information in relation to residential aged care homes reporting, including:</w:t>
            </w:r>
          </w:p>
          <w:p w14:paraId="3D087C79" w14:textId="77777777" w:rsidR="00FD1159" w:rsidRDefault="00FD1159" w:rsidP="00E22085">
            <w:pPr>
              <w:pStyle w:val="ListBullet"/>
            </w:pPr>
            <w:r>
              <w:t xml:space="preserve">Reporting of Higher Everyday Living / Additional Service / Extra Service expenses </w:t>
            </w:r>
          </w:p>
          <w:p w14:paraId="099BF6F1" w14:textId="77777777" w:rsidR="00FD1159" w:rsidRDefault="00FD1159" w:rsidP="00E22085">
            <w:pPr>
              <w:pStyle w:val="ListBullet"/>
            </w:pPr>
            <w:r>
              <w:t>New Care Minutes Performance Statement</w:t>
            </w:r>
          </w:p>
          <w:p w14:paraId="3F5D2BE1" w14:textId="77777777" w:rsidR="00FD1159" w:rsidRDefault="00FD1159" w:rsidP="00E22085">
            <w:pPr>
              <w:pStyle w:val="ListBullet"/>
            </w:pPr>
            <w:r>
              <w:t>Annual Prudential Compliance Statement</w:t>
            </w:r>
          </w:p>
          <w:p w14:paraId="640BF36F" w14:textId="746936A5" w:rsidR="00FD1159" w:rsidRDefault="00FD1159" w:rsidP="00E22085">
            <w:pPr>
              <w:rPr>
                <w:b/>
                <w:bCs/>
              </w:rPr>
            </w:pPr>
            <w:r w:rsidRPr="0089792D">
              <w:t>Amendments to guidance for Support at Home program reporting.</w:t>
            </w:r>
          </w:p>
        </w:tc>
      </w:tr>
      <w:tr w:rsidR="001610D4" w:rsidRPr="00EA55D0" w14:paraId="0F657C60" w14:textId="77777777" w:rsidTr="00E22085">
        <w:trPr>
          <w:trHeight w:val="611"/>
        </w:trPr>
        <w:tc>
          <w:tcPr>
            <w:tcW w:w="988" w:type="dxa"/>
          </w:tcPr>
          <w:p w14:paraId="558023BF" w14:textId="53EB3031" w:rsidR="00921A58" w:rsidRPr="00E22085" w:rsidRDefault="00FD1159" w:rsidP="00E22085">
            <w:r w:rsidRPr="00E22085">
              <w:t>3</w:t>
            </w:r>
            <w:r w:rsidR="006444A5" w:rsidRPr="00E22085">
              <w:t>.0</w:t>
            </w:r>
          </w:p>
        </w:tc>
        <w:tc>
          <w:tcPr>
            <w:tcW w:w="2693" w:type="dxa"/>
          </w:tcPr>
          <w:p w14:paraId="2FE83C97" w14:textId="5EBFF5B8" w:rsidR="00921A58" w:rsidRPr="00E22085" w:rsidRDefault="00FD1159" w:rsidP="00E22085">
            <w:r w:rsidRPr="00E22085">
              <w:t>1</w:t>
            </w:r>
            <w:r w:rsidR="00801E9B" w:rsidRPr="00E22085">
              <w:t xml:space="preserve"> </w:t>
            </w:r>
            <w:r w:rsidRPr="00E22085">
              <w:t>July</w:t>
            </w:r>
            <w:r w:rsidR="00801E9B" w:rsidRPr="00E22085">
              <w:t xml:space="preserve"> 2026</w:t>
            </w:r>
          </w:p>
        </w:tc>
        <w:tc>
          <w:tcPr>
            <w:tcW w:w="5386" w:type="dxa"/>
          </w:tcPr>
          <w:p w14:paraId="6FF74D78" w14:textId="77777777" w:rsidR="00FB221F" w:rsidRDefault="00FD1159" w:rsidP="00E22085">
            <w:r>
              <w:t>Updated</w:t>
            </w:r>
            <w:r w:rsidR="00FB221F">
              <w:t xml:space="preserve"> information about:</w:t>
            </w:r>
          </w:p>
          <w:p w14:paraId="71F807E0" w14:textId="2C9297AF" w:rsidR="00FB221F" w:rsidRDefault="00140AA2" w:rsidP="00E22085">
            <w:pPr>
              <w:pStyle w:val="ListBullet"/>
            </w:pPr>
            <w:r>
              <w:t>d</w:t>
            </w:r>
            <w:r w:rsidR="00FD1159">
              <w:t xml:space="preserve">eclaration </w:t>
            </w:r>
          </w:p>
          <w:p w14:paraId="3C0310AE" w14:textId="55D9CCF5" w:rsidR="00621D51" w:rsidRDefault="00FD1159" w:rsidP="00E22085">
            <w:pPr>
              <w:pStyle w:val="ListBullet"/>
            </w:pPr>
            <w:r>
              <w:t>help</w:t>
            </w:r>
            <w:r w:rsidR="00140AA2">
              <w:t xml:space="preserve"> </w:t>
            </w:r>
            <w:r>
              <w:t>desk</w:t>
            </w:r>
            <w:r w:rsidR="00140AA2">
              <w:t>s</w:t>
            </w:r>
            <w:r>
              <w:t xml:space="preserve"> </w:t>
            </w:r>
          </w:p>
          <w:p w14:paraId="029C2F5D" w14:textId="77777777" w:rsidR="00C068BE" w:rsidRDefault="00C068BE" w:rsidP="00E22085">
            <w:pPr>
              <w:pStyle w:val="ListBullet"/>
            </w:pPr>
            <w:r>
              <w:t xml:space="preserve">GPFS </w:t>
            </w:r>
            <w:r w:rsidR="00FB221F">
              <w:t>audit requirements</w:t>
            </w:r>
          </w:p>
          <w:p w14:paraId="7B693D66" w14:textId="0C78E98C" w:rsidR="00103EE7" w:rsidRPr="00B56083" w:rsidRDefault="00103EE7" w:rsidP="00E22085">
            <w:pPr>
              <w:pStyle w:val="ListBullet"/>
            </w:pPr>
            <w:r>
              <w:t>CMPS FAQs</w:t>
            </w:r>
          </w:p>
        </w:tc>
      </w:tr>
    </w:tbl>
    <w:p w14:paraId="0D16A9D8" w14:textId="77777777" w:rsidR="003B6FB7" w:rsidRPr="005274C5" w:rsidRDefault="003B6FB7" w:rsidP="005274C5">
      <w:r w:rsidRPr="005274C5">
        <w:br w:type="page"/>
      </w:r>
    </w:p>
    <w:p w14:paraId="2D7BDE8F" w14:textId="2F1D2B66" w:rsidR="00DD6906" w:rsidRPr="00EA55D0" w:rsidRDefault="00DD6906" w:rsidP="00E61D43">
      <w:pPr>
        <w:pStyle w:val="FigureTitle"/>
        <w:rPr>
          <w:rFonts w:cs="Arial"/>
          <w:sz w:val="60"/>
          <w:szCs w:val="60"/>
        </w:rPr>
      </w:pPr>
      <w:r w:rsidRPr="00EA55D0">
        <w:rPr>
          <w:rFonts w:cs="Arial"/>
          <w:sz w:val="60"/>
          <w:szCs w:val="60"/>
        </w:rPr>
        <w:t>Contents</w:t>
      </w:r>
    </w:p>
    <w:p w14:paraId="4E494828" w14:textId="0D6F9F9A" w:rsidR="008E5A8B" w:rsidRDefault="0045279B" w:rsidP="00EC4889">
      <w:pPr>
        <w:pStyle w:val="TOC1"/>
        <w:rPr>
          <w:rFonts w:asciiTheme="minorHAnsi" w:eastAsiaTheme="minorEastAsia" w:hAnsiTheme="minorHAnsi" w:cstheme="minorBidi"/>
          <w:noProof/>
          <w:color w:val="auto"/>
          <w:kern w:val="2"/>
          <w:szCs w:val="24"/>
          <w:lang w:eastAsia="en-AU"/>
          <w14:ligatures w14:val="standardContextual"/>
        </w:rPr>
      </w:pPr>
      <w:r>
        <w:rPr>
          <w:rFonts w:cs="Arial"/>
        </w:rPr>
        <w:fldChar w:fldCharType="begin"/>
      </w:r>
      <w:r>
        <w:rPr>
          <w:rFonts w:cs="Arial"/>
        </w:rPr>
        <w:instrText xml:space="preserve"> TOC \o "1-1" \h \z \u </w:instrText>
      </w:r>
      <w:r>
        <w:rPr>
          <w:rFonts w:cs="Arial"/>
        </w:rPr>
        <w:fldChar w:fldCharType="separate"/>
      </w:r>
      <w:hyperlink w:anchor="_Toc224723288" w:history="1">
        <w:r w:rsidR="008E5A8B" w:rsidRPr="00D5113E">
          <w:rPr>
            <w:rStyle w:val="Hyperlink"/>
            <w:noProof/>
          </w:rPr>
          <w:t>1. Introduction to the Aged Care Financial Report</w:t>
        </w:r>
        <w:r w:rsidR="008E5A8B">
          <w:rPr>
            <w:noProof/>
            <w:webHidden/>
          </w:rPr>
          <w:tab/>
        </w:r>
        <w:r w:rsidR="008E5A8B">
          <w:rPr>
            <w:noProof/>
            <w:webHidden/>
          </w:rPr>
          <w:fldChar w:fldCharType="begin"/>
        </w:r>
        <w:r w:rsidR="008E5A8B">
          <w:rPr>
            <w:noProof/>
            <w:webHidden/>
          </w:rPr>
          <w:instrText xml:space="preserve"> PAGEREF _Toc224723288 \h </w:instrText>
        </w:r>
        <w:r w:rsidR="008E5A8B">
          <w:rPr>
            <w:noProof/>
            <w:webHidden/>
          </w:rPr>
        </w:r>
        <w:r w:rsidR="008E5A8B">
          <w:rPr>
            <w:noProof/>
            <w:webHidden/>
          </w:rPr>
          <w:fldChar w:fldCharType="separate"/>
        </w:r>
        <w:r w:rsidR="002A737B">
          <w:rPr>
            <w:noProof/>
            <w:webHidden/>
          </w:rPr>
          <w:t>6</w:t>
        </w:r>
        <w:r w:rsidR="008E5A8B">
          <w:rPr>
            <w:noProof/>
            <w:webHidden/>
          </w:rPr>
          <w:fldChar w:fldCharType="end"/>
        </w:r>
      </w:hyperlink>
    </w:p>
    <w:p w14:paraId="6C61FCFF" w14:textId="2C1F6197"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289" w:history="1">
        <w:r w:rsidRPr="00D5113E">
          <w:rPr>
            <w:rStyle w:val="Hyperlink"/>
            <w:noProof/>
          </w:rPr>
          <w:t>2. Changes to the ACFR</w:t>
        </w:r>
        <w:r>
          <w:rPr>
            <w:noProof/>
            <w:webHidden/>
          </w:rPr>
          <w:tab/>
        </w:r>
        <w:r>
          <w:rPr>
            <w:noProof/>
            <w:webHidden/>
          </w:rPr>
          <w:fldChar w:fldCharType="begin"/>
        </w:r>
        <w:r>
          <w:rPr>
            <w:noProof/>
            <w:webHidden/>
          </w:rPr>
          <w:instrText xml:space="preserve"> PAGEREF _Toc224723289 \h </w:instrText>
        </w:r>
        <w:r>
          <w:rPr>
            <w:noProof/>
            <w:webHidden/>
          </w:rPr>
        </w:r>
        <w:r>
          <w:rPr>
            <w:noProof/>
            <w:webHidden/>
          </w:rPr>
          <w:fldChar w:fldCharType="separate"/>
        </w:r>
        <w:r w:rsidR="002A737B">
          <w:rPr>
            <w:noProof/>
            <w:webHidden/>
          </w:rPr>
          <w:t>14</w:t>
        </w:r>
        <w:r>
          <w:rPr>
            <w:noProof/>
            <w:webHidden/>
          </w:rPr>
          <w:fldChar w:fldCharType="end"/>
        </w:r>
      </w:hyperlink>
    </w:p>
    <w:p w14:paraId="0633B402" w14:textId="306DA7C1"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290" w:history="1">
        <w:r w:rsidRPr="00D5113E">
          <w:rPr>
            <w:rStyle w:val="Hyperlink"/>
            <w:noProof/>
          </w:rPr>
          <w:t xml:space="preserve">3. </w:t>
        </w:r>
        <w:r w:rsidR="00C776BC">
          <w:rPr>
            <w:rStyle w:val="Hyperlink"/>
            <w:noProof/>
          </w:rPr>
          <w:t xml:space="preserve">General </w:t>
        </w:r>
        <w:r w:rsidRPr="00D5113E">
          <w:rPr>
            <w:rStyle w:val="Hyperlink"/>
            <w:noProof/>
          </w:rPr>
          <w:t>Guidance</w:t>
        </w:r>
        <w:r>
          <w:rPr>
            <w:noProof/>
            <w:webHidden/>
          </w:rPr>
          <w:tab/>
        </w:r>
        <w:r>
          <w:rPr>
            <w:noProof/>
            <w:webHidden/>
          </w:rPr>
          <w:fldChar w:fldCharType="begin"/>
        </w:r>
        <w:r>
          <w:rPr>
            <w:noProof/>
            <w:webHidden/>
          </w:rPr>
          <w:instrText xml:space="preserve"> PAGEREF _Toc224723290 \h </w:instrText>
        </w:r>
        <w:r>
          <w:rPr>
            <w:noProof/>
            <w:webHidden/>
          </w:rPr>
        </w:r>
        <w:r>
          <w:rPr>
            <w:noProof/>
            <w:webHidden/>
          </w:rPr>
          <w:fldChar w:fldCharType="separate"/>
        </w:r>
        <w:r w:rsidR="002A737B">
          <w:rPr>
            <w:noProof/>
            <w:webHidden/>
          </w:rPr>
          <w:t>19</w:t>
        </w:r>
        <w:r>
          <w:rPr>
            <w:noProof/>
            <w:webHidden/>
          </w:rPr>
          <w:fldChar w:fldCharType="end"/>
        </w:r>
      </w:hyperlink>
    </w:p>
    <w:p w14:paraId="32473C34" w14:textId="0A06D699"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292" w:history="1">
        <w:r w:rsidRPr="00D5113E">
          <w:rPr>
            <w:rStyle w:val="Hyperlink"/>
            <w:noProof/>
          </w:rPr>
          <w:t>4. Consolidated Segment Report</w:t>
        </w:r>
        <w:r>
          <w:rPr>
            <w:noProof/>
            <w:webHidden/>
          </w:rPr>
          <w:tab/>
        </w:r>
        <w:r>
          <w:rPr>
            <w:noProof/>
            <w:webHidden/>
          </w:rPr>
          <w:fldChar w:fldCharType="begin"/>
        </w:r>
        <w:r>
          <w:rPr>
            <w:noProof/>
            <w:webHidden/>
          </w:rPr>
          <w:instrText xml:space="preserve"> PAGEREF _Toc224723292 \h </w:instrText>
        </w:r>
        <w:r>
          <w:rPr>
            <w:noProof/>
            <w:webHidden/>
          </w:rPr>
        </w:r>
        <w:r>
          <w:rPr>
            <w:noProof/>
            <w:webHidden/>
          </w:rPr>
          <w:fldChar w:fldCharType="separate"/>
        </w:r>
        <w:r w:rsidR="002A737B">
          <w:rPr>
            <w:noProof/>
            <w:webHidden/>
          </w:rPr>
          <w:t>23</w:t>
        </w:r>
        <w:r>
          <w:rPr>
            <w:noProof/>
            <w:webHidden/>
          </w:rPr>
          <w:fldChar w:fldCharType="end"/>
        </w:r>
      </w:hyperlink>
    </w:p>
    <w:p w14:paraId="55409E5E" w14:textId="29196A98"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294" w:history="1">
        <w:r w:rsidRPr="00D5113E">
          <w:rPr>
            <w:rStyle w:val="Hyperlink"/>
            <w:noProof/>
          </w:rPr>
          <w:t>5. Registered Provider reporting</w:t>
        </w:r>
        <w:r>
          <w:rPr>
            <w:noProof/>
            <w:webHidden/>
          </w:rPr>
          <w:tab/>
        </w:r>
        <w:r>
          <w:rPr>
            <w:noProof/>
            <w:webHidden/>
          </w:rPr>
          <w:fldChar w:fldCharType="begin"/>
        </w:r>
        <w:r>
          <w:rPr>
            <w:noProof/>
            <w:webHidden/>
          </w:rPr>
          <w:instrText xml:space="preserve"> PAGEREF _Toc224723294 \h </w:instrText>
        </w:r>
        <w:r>
          <w:rPr>
            <w:noProof/>
            <w:webHidden/>
          </w:rPr>
        </w:r>
        <w:r>
          <w:rPr>
            <w:noProof/>
            <w:webHidden/>
          </w:rPr>
          <w:fldChar w:fldCharType="separate"/>
        </w:r>
        <w:r w:rsidR="002A737B">
          <w:rPr>
            <w:noProof/>
            <w:webHidden/>
          </w:rPr>
          <w:t>27</w:t>
        </w:r>
        <w:r>
          <w:rPr>
            <w:noProof/>
            <w:webHidden/>
          </w:rPr>
          <w:fldChar w:fldCharType="end"/>
        </w:r>
      </w:hyperlink>
    </w:p>
    <w:p w14:paraId="7942234E" w14:textId="2003F245"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296" w:history="1">
        <w:r w:rsidRPr="00D5113E">
          <w:rPr>
            <w:rStyle w:val="Hyperlink"/>
            <w:noProof/>
          </w:rPr>
          <w:t>6. General Purpose Financial Statement</w:t>
        </w:r>
        <w:r>
          <w:rPr>
            <w:noProof/>
            <w:webHidden/>
          </w:rPr>
          <w:tab/>
        </w:r>
        <w:r>
          <w:rPr>
            <w:noProof/>
            <w:webHidden/>
          </w:rPr>
          <w:fldChar w:fldCharType="begin"/>
        </w:r>
        <w:r>
          <w:rPr>
            <w:noProof/>
            <w:webHidden/>
          </w:rPr>
          <w:instrText xml:space="preserve"> PAGEREF _Toc224723296 \h </w:instrText>
        </w:r>
        <w:r>
          <w:rPr>
            <w:noProof/>
            <w:webHidden/>
          </w:rPr>
        </w:r>
        <w:r>
          <w:rPr>
            <w:noProof/>
            <w:webHidden/>
          </w:rPr>
          <w:fldChar w:fldCharType="separate"/>
        </w:r>
        <w:r w:rsidR="002A737B">
          <w:rPr>
            <w:noProof/>
            <w:webHidden/>
          </w:rPr>
          <w:t>32</w:t>
        </w:r>
        <w:r>
          <w:rPr>
            <w:noProof/>
            <w:webHidden/>
          </w:rPr>
          <w:fldChar w:fldCharType="end"/>
        </w:r>
      </w:hyperlink>
    </w:p>
    <w:p w14:paraId="408B4713" w14:textId="1A764B05"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298" w:history="1">
        <w:r w:rsidRPr="00D5113E">
          <w:rPr>
            <w:rStyle w:val="Hyperlink"/>
            <w:noProof/>
          </w:rPr>
          <w:t>7. Residential Aged Care reporting</w:t>
        </w:r>
        <w:r>
          <w:rPr>
            <w:noProof/>
            <w:webHidden/>
          </w:rPr>
          <w:tab/>
        </w:r>
        <w:r>
          <w:rPr>
            <w:noProof/>
            <w:webHidden/>
          </w:rPr>
          <w:fldChar w:fldCharType="begin"/>
        </w:r>
        <w:r>
          <w:rPr>
            <w:noProof/>
            <w:webHidden/>
          </w:rPr>
          <w:instrText xml:space="preserve"> PAGEREF _Toc224723298 \h </w:instrText>
        </w:r>
        <w:r>
          <w:rPr>
            <w:noProof/>
            <w:webHidden/>
          </w:rPr>
        </w:r>
        <w:r>
          <w:rPr>
            <w:noProof/>
            <w:webHidden/>
          </w:rPr>
          <w:fldChar w:fldCharType="separate"/>
        </w:r>
        <w:r w:rsidR="002A737B">
          <w:rPr>
            <w:noProof/>
            <w:webHidden/>
          </w:rPr>
          <w:t>36</w:t>
        </w:r>
        <w:r>
          <w:rPr>
            <w:noProof/>
            <w:webHidden/>
          </w:rPr>
          <w:fldChar w:fldCharType="end"/>
        </w:r>
      </w:hyperlink>
    </w:p>
    <w:p w14:paraId="3BB30EDB" w14:textId="61E65CDF"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300" w:history="1">
        <w:r w:rsidRPr="00D5113E">
          <w:rPr>
            <w:rStyle w:val="Hyperlink"/>
            <w:noProof/>
          </w:rPr>
          <w:t>8. Short-Term Restorative Care reporting</w:t>
        </w:r>
        <w:r>
          <w:rPr>
            <w:noProof/>
            <w:webHidden/>
          </w:rPr>
          <w:tab/>
        </w:r>
        <w:r>
          <w:rPr>
            <w:noProof/>
            <w:webHidden/>
          </w:rPr>
          <w:fldChar w:fldCharType="begin"/>
        </w:r>
        <w:r>
          <w:rPr>
            <w:noProof/>
            <w:webHidden/>
          </w:rPr>
          <w:instrText xml:space="preserve"> PAGEREF _Toc224723300 \h </w:instrText>
        </w:r>
        <w:r>
          <w:rPr>
            <w:noProof/>
            <w:webHidden/>
          </w:rPr>
        </w:r>
        <w:r>
          <w:rPr>
            <w:noProof/>
            <w:webHidden/>
          </w:rPr>
          <w:fldChar w:fldCharType="separate"/>
        </w:r>
        <w:r w:rsidR="002A737B">
          <w:rPr>
            <w:noProof/>
            <w:webHidden/>
          </w:rPr>
          <w:t>47</w:t>
        </w:r>
        <w:r>
          <w:rPr>
            <w:noProof/>
            <w:webHidden/>
          </w:rPr>
          <w:fldChar w:fldCharType="end"/>
        </w:r>
      </w:hyperlink>
    </w:p>
    <w:p w14:paraId="426655BB" w14:textId="04EB2083"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302" w:history="1">
        <w:r w:rsidRPr="00D5113E">
          <w:rPr>
            <w:rStyle w:val="Hyperlink"/>
            <w:noProof/>
          </w:rPr>
          <w:t>9. Home Care Packages Program and Support at Home program reporting</w:t>
        </w:r>
        <w:r>
          <w:rPr>
            <w:noProof/>
            <w:webHidden/>
          </w:rPr>
          <w:tab/>
        </w:r>
        <w:r>
          <w:rPr>
            <w:noProof/>
            <w:webHidden/>
          </w:rPr>
          <w:fldChar w:fldCharType="begin"/>
        </w:r>
        <w:r>
          <w:rPr>
            <w:noProof/>
            <w:webHidden/>
          </w:rPr>
          <w:instrText xml:space="preserve"> PAGEREF _Toc224723302 \h </w:instrText>
        </w:r>
        <w:r>
          <w:rPr>
            <w:noProof/>
            <w:webHidden/>
          </w:rPr>
        </w:r>
        <w:r>
          <w:rPr>
            <w:noProof/>
            <w:webHidden/>
          </w:rPr>
          <w:fldChar w:fldCharType="separate"/>
        </w:r>
        <w:r w:rsidR="002A737B">
          <w:rPr>
            <w:noProof/>
            <w:webHidden/>
          </w:rPr>
          <w:t>49</w:t>
        </w:r>
        <w:r>
          <w:rPr>
            <w:noProof/>
            <w:webHidden/>
          </w:rPr>
          <w:fldChar w:fldCharType="end"/>
        </w:r>
      </w:hyperlink>
    </w:p>
    <w:p w14:paraId="23B3038D" w14:textId="7AD091D0"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304" w:history="1">
        <w:r w:rsidRPr="00D5113E">
          <w:rPr>
            <w:rStyle w:val="Hyperlink"/>
            <w:noProof/>
          </w:rPr>
          <w:t>10. Annual Prudential Compliance Statement</w:t>
        </w:r>
        <w:r>
          <w:rPr>
            <w:noProof/>
            <w:webHidden/>
          </w:rPr>
          <w:tab/>
        </w:r>
        <w:r>
          <w:rPr>
            <w:noProof/>
            <w:webHidden/>
          </w:rPr>
          <w:fldChar w:fldCharType="begin"/>
        </w:r>
        <w:r>
          <w:rPr>
            <w:noProof/>
            <w:webHidden/>
          </w:rPr>
          <w:instrText xml:space="preserve"> PAGEREF _Toc224723304 \h </w:instrText>
        </w:r>
        <w:r>
          <w:rPr>
            <w:noProof/>
            <w:webHidden/>
          </w:rPr>
        </w:r>
        <w:r>
          <w:rPr>
            <w:noProof/>
            <w:webHidden/>
          </w:rPr>
          <w:fldChar w:fldCharType="separate"/>
        </w:r>
        <w:r w:rsidR="002A737B">
          <w:rPr>
            <w:noProof/>
            <w:webHidden/>
          </w:rPr>
          <w:t>61</w:t>
        </w:r>
        <w:r>
          <w:rPr>
            <w:noProof/>
            <w:webHidden/>
          </w:rPr>
          <w:fldChar w:fldCharType="end"/>
        </w:r>
      </w:hyperlink>
    </w:p>
    <w:p w14:paraId="6F064623" w14:textId="7A11EDA8"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306" w:history="1">
        <w:r w:rsidRPr="00D5113E">
          <w:rPr>
            <w:rStyle w:val="Hyperlink"/>
            <w:noProof/>
          </w:rPr>
          <w:t xml:space="preserve">11. </w:t>
        </w:r>
        <w:r w:rsidRPr="00D5113E">
          <w:rPr>
            <w:rStyle w:val="Hyperlink"/>
            <w:rFonts w:eastAsia="Calibri Light"/>
            <w:noProof/>
          </w:rPr>
          <w:t>Survey of Aged Care Homes</w:t>
        </w:r>
        <w:r>
          <w:rPr>
            <w:noProof/>
            <w:webHidden/>
          </w:rPr>
          <w:tab/>
        </w:r>
        <w:r>
          <w:rPr>
            <w:noProof/>
            <w:webHidden/>
          </w:rPr>
          <w:fldChar w:fldCharType="begin"/>
        </w:r>
        <w:r>
          <w:rPr>
            <w:noProof/>
            <w:webHidden/>
          </w:rPr>
          <w:instrText xml:space="preserve"> PAGEREF _Toc224723306 \h </w:instrText>
        </w:r>
        <w:r>
          <w:rPr>
            <w:noProof/>
            <w:webHidden/>
          </w:rPr>
        </w:r>
        <w:r>
          <w:rPr>
            <w:noProof/>
            <w:webHidden/>
          </w:rPr>
          <w:fldChar w:fldCharType="separate"/>
        </w:r>
        <w:r w:rsidR="002A737B">
          <w:rPr>
            <w:noProof/>
            <w:webHidden/>
          </w:rPr>
          <w:t>66</w:t>
        </w:r>
        <w:r>
          <w:rPr>
            <w:noProof/>
            <w:webHidden/>
          </w:rPr>
          <w:fldChar w:fldCharType="end"/>
        </w:r>
      </w:hyperlink>
    </w:p>
    <w:p w14:paraId="2CCACEB1" w14:textId="415069CC" w:rsidR="008E5A8B" w:rsidRDefault="008E5A8B" w:rsidP="00EC4889">
      <w:pPr>
        <w:pStyle w:val="TOC1"/>
        <w:rPr>
          <w:rFonts w:asciiTheme="minorHAnsi" w:eastAsiaTheme="minorEastAsia" w:hAnsiTheme="minorHAnsi" w:cstheme="minorBidi"/>
          <w:noProof/>
          <w:color w:val="auto"/>
          <w:kern w:val="2"/>
          <w:szCs w:val="24"/>
          <w:lang w:eastAsia="en-AU"/>
          <w14:ligatures w14:val="standardContextual"/>
        </w:rPr>
      </w:pPr>
      <w:hyperlink w:anchor="_Toc224723308" w:history="1">
        <w:r w:rsidRPr="00D5113E">
          <w:rPr>
            <w:rStyle w:val="Hyperlink"/>
            <w:noProof/>
          </w:rPr>
          <w:t xml:space="preserve">12. </w:t>
        </w:r>
        <w:r w:rsidRPr="00D5113E">
          <w:rPr>
            <w:rStyle w:val="Hyperlink"/>
            <w:rFonts w:eastAsia="Calibri Light"/>
            <w:noProof/>
          </w:rPr>
          <w:t>Building activity by approved residential care home</w:t>
        </w:r>
        <w:r>
          <w:rPr>
            <w:noProof/>
            <w:webHidden/>
          </w:rPr>
          <w:tab/>
        </w:r>
        <w:r>
          <w:rPr>
            <w:noProof/>
            <w:webHidden/>
          </w:rPr>
          <w:fldChar w:fldCharType="begin"/>
        </w:r>
        <w:r>
          <w:rPr>
            <w:noProof/>
            <w:webHidden/>
          </w:rPr>
          <w:instrText xml:space="preserve"> PAGEREF _Toc224723308 \h </w:instrText>
        </w:r>
        <w:r>
          <w:rPr>
            <w:noProof/>
            <w:webHidden/>
          </w:rPr>
        </w:r>
        <w:r>
          <w:rPr>
            <w:noProof/>
            <w:webHidden/>
          </w:rPr>
          <w:fldChar w:fldCharType="separate"/>
        </w:r>
        <w:r w:rsidR="002A737B">
          <w:rPr>
            <w:noProof/>
            <w:webHidden/>
          </w:rPr>
          <w:t>70</w:t>
        </w:r>
        <w:r>
          <w:rPr>
            <w:noProof/>
            <w:webHidden/>
          </w:rPr>
          <w:fldChar w:fldCharType="end"/>
        </w:r>
      </w:hyperlink>
    </w:p>
    <w:p w14:paraId="14FCB051" w14:textId="7B681458" w:rsidR="00DD694E" w:rsidRPr="00DB002E" w:rsidRDefault="0045279B" w:rsidP="00EC4889">
      <w:pPr>
        <w:pStyle w:val="TOC1"/>
        <w:rPr>
          <w:rFonts w:cs="Arial"/>
        </w:rPr>
      </w:pPr>
      <w:r>
        <w:rPr>
          <w:rFonts w:cs="Arial"/>
        </w:rPr>
        <w:fldChar w:fldCharType="end"/>
      </w:r>
      <w:r w:rsidR="00DD694E" w:rsidRPr="00EA55D0">
        <w:br w:type="page"/>
      </w:r>
    </w:p>
    <w:p w14:paraId="4F389639" w14:textId="355967F4" w:rsidR="00DD694E" w:rsidRPr="00322243" w:rsidRDefault="00DD694E" w:rsidP="00322243">
      <w:r w:rsidRPr="00322243">
        <w:rPr>
          <w:noProof/>
        </w:rPr>
        <mc:AlternateContent>
          <mc:Choice Requires="wps">
            <w:drawing>
              <wp:anchor distT="0" distB="0" distL="114300" distR="114300" simplePos="0" relativeHeight="251658243" behindDoc="1" locked="0" layoutInCell="1" allowOverlap="1" wp14:anchorId="2465F1C2" wp14:editId="6459CF2A">
                <wp:simplePos x="0" y="0"/>
                <wp:positionH relativeFrom="page">
                  <wp:align>right</wp:align>
                </wp:positionH>
                <wp:positionV relativeFrom="page">
                  <wp:posOffset>-263789</wp:posOffset>
                </wp:positionV>
                <wp:extent cx="7560000" cy="10692000"/>
                <wp:effectExtent l="0" t="0" r="3175" b="0"/>
                <wp:wrapNone/>
                <wp:docPr id="1955098640" name="Rectangle 19550986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6792C" id="Rectangle 1955098640" o:spid="_x0000_s1026" alt="&quot;&quot;" style="position:absolute;margin-left:544.1pt;margin-top:-20.75pt;width:595.3pt;height:841.9pt;z-index:-251658237;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D0&#10;uaPM3wAAAAoBAAAPAAAAZHJzL2Rvd25yZXYueG1sTI/NbsIwEITvSLyDtUi9gRN+ohLiIFSVayUC&#10;qno08TaOEq+j2Anp29ec2tusZjXzTXacTMtG7F1tSUC8ioAhlVbVVAm4Xc/LV2DOS1KytYQCftDB&#10;MZ/PMpkq+6ALjoWvWAghl0oB2vsu5dyVGo10K9shBe/b9kb6cPYVV718hHDT8nUUJdzImkKDlh2+&#10;aSybYjACqq/z+zg1Gu3FbYqh6fa3j08lxMtiOh2AeZz83zM88QM65IHpbgdSjrUCwhAvYLmNd8Ce&#10;dryPEmD3oJLtegM8z/j/CfkvAAAA//8DAFBLAQItABQABgAIAAAAIQC2gziS/gAAAOEBAAATAAAA&#10;AAAAAAAAAAAAAAAAAABbQ29udGVudF9UeXBlc10ueG1sUEsBAi0AFAAGAAgAAAAhADj9If/WAAAA&#10;lAEAAAsAAAAAAAAAAAAAAAAALwEAAF9yZWxzLy5yZWxzUEsBAi0AFAAGAAgAAAAhANDZRIh9AgAA&#10;YAUAAA4AAAAAAAAAAAAAAAAALgIAAGRycy9lMm9Eb2MueG1sUEsBAi0AFAAGAAgAAAAhAPS5o8zf&#10;AAAACgEAAA8AAAAAAAAAAAAAAAAA1wQAAGRycy9kb3ducmV2LnhtbFBLBQYAAAAABAAEAPMAAADj&#10;BQAAAAA=&#10;" fillcolor="#1e1545 [3213]" stroked="f" strokeweight="2pt">
                <w10:wrap anchorx="page" anchory="page"/>
              </v:rect>
            </w:pict>
          </mc:Fallback>
        </mc:AlternateContent>
      </w:r>
    </w:p>
    <w:p w14:paraId="41281E37" w14:textId="20DD9076" w:rsidR="00DD694E" w:rsidRPr="00EA55D0" w:rsidRDefault="00CE4784" w:rsidP="002837E6">
      <w:pPr>
        <w:pStyle w:val="Chapternumbers"/>
      </w:pPr>
      <w:r>
        <w:t>1</w:t>
      </w:r>
    </w:p>
    <w:p w14:paraId="1D2917B6" w14:textId="065CFAEA" w:rsidR="00DD694E" w:rsidRPr="00322243" w:rsidRDefault="00DD694E" w:rsidP="00F255A4">
      <w:pPr>
        <w:pStyle w:val="Titleforpagesbetweensections"/>
      </w:pPr>
      <w:r w:rsidRPr="00EA55D0">
        <w:t xml:space="preserve">Introduction to the </w:t>
      </w:r>
      <w:r w:rsidR="001B04C4" w:rsidRPr="00EA55D0">
        <w:t>Aged Care</w:t>
      </w:r>
      <w:r w:rsidRPr="00EA55D0">
        <w:t xml:space="preserve"> Financial Report</w:t>
      </w:r>
      <w:r w:rsidRPr="00322243">
        <w:br w:type="page"/>
      </w:r>
    </w:p>
    <w:p w14:paraId="2BBCC96D" w14:textId="20909F75" w:rsidR="002116E9" w:rsidRPr="00271D9E" w:rsidRDefault="002116E9" w:rsidP="00271D9E">
      <w:pPr>
        <w:pStyle w:val="Heading1"/>
      </w:pPr>
      <w:bookmarkStart w:id="0" w:name="_Toc209078238"/>
      <w:bookmarkStart w:id="1" w:name="_Toc224723288"/>
      <w:r w:rsidRPr="00CF6488">
        <w:t>Introduction</w:t>
      </w:r>
      <w:bookmarkEnd w:id="0"/>
      <w:r w:rsidR="00303968" w:rsidRPr="00CF6488">
        <w:t xml:space="preserve"> to the Aged Care Financial Report</w:t>
      </w:r>
      <w:bookmarkEnd w:id="1"/>
    </w:p>
    <w:p w14:paraId="10CA9B13" w14:textId="223CA652" w:rsidR="002116E9" w:rsidRPr="00652999" w:rsidRDefault="002116E9" w:rsidP="00271D9E">
      <w:pPr>
        <w:pStyle w:val="Heading2"/>
      </w:pPr>
      <w:bookmarkStart w:id="2" w:name="_Toc209078239"/>
      <w:r w:rsidRPr="00652999">
        <w:t>Purpose</w:t>
      </w:r>
      <w:bookmarkEnd w:id="2"/>
    </w:p>
    <w:p w14:paraId="14850042" w14:textId="089C652C" w:rsidR="002116E9" w:rsidRPr="00EA55D0" w:rsidRDefault="002116E9" w:rsidP="002116E9">
      <w:pPr>
        <w:rPr>
          <w:rFonts w:cs="Arial"/>
        </w:rPr>
      </w:pPr>
      <w:r w:rsidRPr="00EA55D0">
        <w:rPr>
          <w:rFonts w:cs="Arial"/>
        </w:rPr>
        <w:t xml:space="preserve">This </w:t>
      </w:r>
      <w:r w:rsidR="001911B9">
        <w:rPr>
          <w:rFonts w:cs="Arial"/>
        </w:rPr>
        <w:t>guidance and frequently asked questions (FAQ</w:t>
      </w:r>
      <w:r w:rsidR="00224353">
        <w:rPr>
          <w:rFonts w:cs="Arial"/>
        </w:rPr>
        <w:t>s)</w:t>
      </w:r>
      <w:r w:rsidRPr="00EA55D0">
        <w:rPr>
          <w:rFonts w:cs="Arial"/>
        </w:rPr>
        <w:t xml:space="preserve"> </w:t>
      </w:r>
      <w:proofErr w:type="gramStart"/>
      <w:r w:rsidRPr="00EA55D0">
        <w:rPr>
          <w:rFonts w:cs="Arial"/>
        </w:rPr>
        <w:t>is</w:t>
      </w:r>
      <w:proofErr w:type="gramEnd"/>
      <w:r w:rsidRPr="00EA55D0">
        <w:rPr>
          <w:rFonts w:cs="Arial"/>
        </w:rPr>
        <w:t xml:space="preserve"> designed to assist Registered Providers of aged care </w:t>
      </w:r>
      <w:r w:rsidR="00357938" w:rsidRPr="00EA55D0">
        <w:rPr>
          <w:rFonts w:cs="Arial"/>
        </w:rPr>
        <w:t>services</w:t>
      </w:r>
      <w:r w:rsidRPr="00EA55D0">
        <w:rPr>
          <w:rFonts w:cs="Arial"/>
        </w:rPr>
        <w:t xml:space="preserve"> complete their </w:t>
      </w:r>
      <w:r w:rsidR="001B04C4" w:rsidRPr="00EA55D0">
        <w:rPr>
          <w:rFonts w:cs="Arial"/>
        </w:rPr>
        <w:t>Aged Care</w:t>
      </w:r>
      <w:r w:rsidRPr="00EA55D0">
        <w:rPr>
          <w:rFonts w:cs="Arial"/>
        </w:rPr>
        <w:t xml:space="preserve"> Financial Report (</w:t>
      </w:r>
      <w:r w:rsidR="001B04C4" w:rsidRPr="00EA55D0">
        <w:rPr>
          <w:rFonts w:cs="Arial"/>
        </w:rPr>
        <w:t>AC</w:t>
      </w:r>
      <w:r w:rsidRPr="00EA55D0">
        <w:rPr>
          <w:rFonts w:cs="Arial"/>
        </w:rPr>
        <w:t>FR)</w:t>
      </w:r>
      <w:r w:rsidR="00EB49E7" w:rsidRPr="00EA55D0">
        <w:rPr>
          <w:rFonts w:cs="Arial"/>
        </w:rPr>
        <w:t xml:space="preserve"> f</w:t>
      </w:r>
      <w:r w:rsidR="00C54BA5" w:rsidRPr="00EA55D0">
        <w:rPr>
          <w:rFonts w:cs="Arial"/>
        </w:rPr>
        <w:t>or</w:t>
      </w:r>
      <w:r w:rsidR="00EB49E7" w:rsidRPr="00EA55D0">
        <w:rPr>
          <w:rFonts w:cs="Arial"/>
        </w:rPr>
        <w:t xml:space="preserve"> 2025-26</w:t>
      </w:r>
      <w:r w:rsidRPr="00EA55D0">
        <w:rPr>
          <w:rFonts w:cs="Arial"/>
        </w:rPr>
        <w:t xml:space="preserve">.  </w:t>
      </w:r>
    </w:p>
    <w:p w14:paraId="4AFCAA66" w14:textId="18AAA572" w:rsidR="002116E9" w:rsidRPr="00EA55D0" w:rsidRDefault="002116E9" w:rsidP="00271D9E">
      <w:pPr>
        <w:pStyle w:val="Heading2"/>
      </w:pPr>
      <w:bookmarkStart w:id="3" w:name="_Toc209078240"/>
      <w:r w:rsidRPr="00EA55D0">
        <w:t>Background</w:t>
      </w:r>
      <w:bookmarkEnd w:id="3"/>
    </w:p>
    <w:p w14:paraId="4F9FB20E" w14:textId="76D964B6" w:rsidR="002116E9" w:rsidRPr="00EA55D0" w:rsidRDefault="007D213E" w:rsidP="002116E9">
      <w:pPr>
        <w:rPr>
          <w:rFonts w:cs="Arial"/>
        </w:rPr>
      </w:pPr>
      <w:r w:rsidRPr="00EA55D0">
        <w:rPr>
          <w:rFonts w:cs="Arial"/>
        </w:rPr>
        <w:t xml:space="preserve">The ACFR allows the </w:t>
      </w:r>
      <w:r w:rsidR="00BF2A09" w:rsidRPr="00EA55D0">
        <w:rPr>
          <w:rFonts w:cs="Arial"/>
        </w:rPr>
        <w:t xml:space="preserve">Australian Government to collect financial information for </w:t>
      </w:r>
      <w:r w:rsidR="000A7804" w:rsidRPr="00EA55D0">
        <w:rPr>
          <w:rFonts w:cs="Arial"/>
        </w:rPr>
        <w:t>R</w:t>
      </w:r>
      <w:r w:rsidR="00901A2B" w:rsidRPr="00EA55D0">
        <w:rPr>
          <w:rFonts w:cs="Arial"/>
        </w:rPr>
        <w:t>egister</w:t>
      </w:r>
      <w:r w:rsidR="00BF2A09" w:rsidRPr="00EA55D0">
        <w:rPr>
          <w:rFonts w:cs="Arial"/>
        </w:rPr>
        <w:t xml:space="preserve">ed </w:t>
      </w:r>
      <w:r w:rsidR="00586459" w:rsidRPr="00EA55D0">
        <w:rPr>
          <w:rFonts w:cs="Arial"/>
        </w:rPr>
        <w:t>P</w:t>
      </w:r>
      <w:r w:rsidR="00BF2A09" w:rsidRPr="00EA55D0">
        <w:rPr>
          <w:rFonts w:cs="Arial"/>
        </w:rPr>
        <w:t xml:space="preserve">roviders and parent entities where applicable. </w:t>
      </w:r>
      <w:r w:rsidR="005F01A7" w:rsidRPr="00EA55D0">
        <w:rPr>
          <w:rFonts w:cs="Arial"/>
        </w:rPr>
        <w:t xml:space="preserve">It was designed to consolidate annual financial and prudential reporting </w:t>
      </w:r>
      <w:r w:rsidR="005C3431" w:rsidRPr="00EA55D0">
        <w:rPr>
          <w:rFonts w:cs="Arial"/>
        </w:rPr>
        <w:t>obligations</w:t>
      </w:r>
      <w:r w:rsidR="005F01A7" w:rsidRPr="00EA55D0">
        <w:rPr>
          <w:rFonts w:cs="Arial"/>
        </w:rPr>
        <w:t xml:space="preserve"> within a single report</w:t>
      </w:r>
      <w:r w:rsidR="005C3431" w:rsidRPr="00EA55D0">
        <w:rPr>
          <w:rFonts w:cs="Arial"/>
        </w:rPr>
        <w:t xml:space="preserve">. Some of the financial information collected through the ACFR is published in the </w:t>
      </w:r>
      <w:hyperlink r:id="rId17" w:history="1">
        <w:r w:rsidR="005C3431" w:rsidRPr="00EA55D0">
          <w:rPr>
            <w:rStyle w:val="Hyperlink"/>
            <w:rFonts w:cs="Arial"/>
          </w:rPr>
          <w:t>Financial Report on the Australian Aged Care Sector.</w:t>
        </w:r>
      </w:hyperlink>
      <w:r w:rsidR="005C3431" w:rsidRPr="00EA55D0">
        <w:rPr>
          <w:rFonts w:cs="Arial"/>
        </w:rPr>
        <w:t xml:space="preserve"> </w:t>
      </w:r>
    </w:p>
    <w:p w14:paraId="2E720FA2" w14:textId="24603F88" w:rsidR="002116E9" w:rsidRPr="00EA55D0" w:rsidRDefault="002116E9" w:rsidP="00271D9E">
      <w:pPr>
        <w:pStyle w:val="Heading2"/>
      </w:pPr>
      <w:bookmarkStart w:id="4" w:name="_Toc209078241"/>
      <w:r w:rsidRPr="00EA55D0">
        <w:t>Reporting r</w:t>
      </w:r>
      <w:r w:rsidR="00207EF7" w:rsidRPr="00EA55D0">
        <w:t>equirements</w:t>
      </w:r>
      <w:bookmarkEnd w:id="4"/>
    </w:p>
    <w:p w14:paraId="5BC8381B" w14:textId="77777777" w:rsidR="00331815" w:rsidRPr="00674871" w:rsidRDefault="00331815" w:rsidP="00331815">
      <w:pPr>
        <w:rPr>
          <w:rFonts w:cs="Arial"/>
        </w:rPr>
      </w:pPr>
      <w:r w:rsidRPr="00674871">
        <w:rPr>
          <w:rFonts w:cs="Arial"/>
        </w:rPr>
        <w:t>Registered providers must comply with the reporting obligations set out in section</w:t>
      </w:r>
      <w:r>
        <w:rPr>
          <w:rFonts w:cs="Arial"/>
        </w:rPr>
        <w:t> </w:t>
      </w:r>
      <w:r w:rsidRPr="00674871">
        <w:rPr>
          <w:rFonts w:cs="Arial"/>
        </w:rPr>
        <w:t>166 of the </w:t>
      </w:r>
      <w:r w:rsidRPr="00C00554">
        <w:rPr>
          <w:rFonts w:cs="Arial"/>
          <w:i/>
        </w:rPr>
        <w:t>Aged Care Act 2024</w:t>
      </w:r>
      <w:r w:rsidRPr="00674871">
        <w:rPr>
          <w:rFonts w:cs="Arial"/>
        </w:rPr>
        <w:t> (the Act), as well as any requirements prescribed under this provision in the </w:t>
      </w:r>
      <w:r w:rsidRPr="00C00554">
        <w:rPr>
          <w:rFonts w:cs="Arial"/>
          <w:i/>
        </w:rPr>
        <w:t>Aged Care Rules 2025</w:t>
      </w:r>
      <w:r w:rsidRPr="00674871">
        <w:rPr>
          <w:rFonts w:cs="Arial"/>
        </w:rPr>
        <w:t> (the Rules).  </w:t>
      </w:r>
    </w:p>
    <w:p w14:paraId="2B1D50D5" w14:textId="3CF1F6B9" w:rsidR="00331815" w:rsidRPr="00E22085" w:rsidRDefault="00331815" w:rsidP="00E22085">
      <w:r w:rsidRPr="00674871">
        <w:t>Section 166-3</w:t>
      </w:r>
      <w:r w:rsidR="00C67084">
        <w:t>1</w:t>
      </w:r>
      <w:r w:rsidRPr="00674871">
        <w:t xml:space="preserve">0 of the Rules requires registered providers to submit a </w:t>
      </w:r>
      <w:r w:rsidR="00027295">
        <w:t xml:space="preserve">report about financial and prudential matters (the aged care financial report) </w:t>
      </w:r>
      <w:r w:rsidR="00544870">
        <w:t xml:space="preserve">each reporting period for the registered </w:t>
      </w:r>
      <w:r w:rsidR="00420097">
        <w:t>provider and</w:t>
      </w:r>
      <w:r w:rsidRPr="00674871">
        <w:t xml:space="preserve"> sets out the specific requirements for that report.</w:t>
      </w:r>
    </w:p>
    <w:p w14:paraId="1EB2B9DF" w14:textId="43E932EE" w:rsidR="00331815" w:rsidRPr="00322243" w:rsidRDefault="00331815" w:rsidP="00E22085">
      <w:pPr>
        <w:pStyle w:val="ListBullet"/>
      </w:pPr>
      <w:r w:rsidRPr="00322243">
        <w:t>If you are a Registered Provider delivering residential aged care and/or the Support at Home program, you are required to submit a</w:t>
      </w:r>
      <w:r w:rsidR="00444501" w:rsidRPr="00322243">
        <w:t>n ACFR</w:t>
      </w:r>
      <w:r w:rsidRPr="00322243">
        <w:t xml:space="preserve">. </w:t>
      </w:r>
    </w:p>
    <w:p w14:paraId="49916638" w14:textId="4913A303" w:rsidR="00331815" w:rsidRPr="00322243" w:rsidRDefault="00331815" w:rsidP="00E22085">
      <w:pPr>
        <w:pStyle w:val="ListBullet"/>
      </w:pPr>
      <w:r w:rsidRPr="00322243">
        <w:t xml:space="preserve">If you are a Registered Provider delivering Multi-Purpose Services Program (MPSP) you are </w:t>
      </w:r>
      <w:r w:rsidR="00711418" w:rsidRPr="00322243">
        <w:t xml:space="preserve">required to complete the Annual Prudential Compliance Statement (APCS) form </w:t>
      </w:r>
      <w:r w:rsidR="004614B2" w:rsidRPr="00322243">
        <w:t xml:space="preserve">in the ACFR. </w:t>
      </w:r>
      <w:r w:rsidRPr="00322243">
        <w:t xml:space="preserve"> </w:t>
      </w:r>
    </w:p>
    <w:p w14:paraId="49F444D2" w14:textId="76990357" w:rsidR="00BC316F" w:rsidRPr="00322243" w:rsidRDefault="00BC316F" w:rsidP="00322243">
      <w:pPr>
        <w:pStyle w:val="ListBullet"/>
      </w:pPr>
      <w:r w:rsidRPr="00322243">
        <w:t>Providers who delivered the Home Care Packages Program and/or the Short-Term Restorative Care (STRC) Program up until 31 October 2025, are still required to report information in the ACFR 2025-26.</w:t>
      </w:r>
    </w:p>
    <w:p w14:paraId="6A0B53C0" w14:textId="3111D001" w:rsidR="00331815" w:rsidRPr="00322243" w:rsidRDefault="00331815" w:rsidP="00E22085">
      <w:pPr>
        <w:pStyle w:val="ListBullet"/>
      </w:pPr>
      <w:r w:rsidRPr="00322243">
        <w:t xml:space="preserve">Providers who solely deliver </w:t>
      </w:r>
      <w:r w:rsidR="009E56B9" w:rsidRPr="00322243">
        <w:t xml:space="preserve">the </w:t>
      </w:r>
      <w:r w:rsidRPr="00322243">
        <w:t xml:space="preserve">Commonwealth Home Support Programme (CHSP) </w:t>
      </w:r>
      <w:r w:rsidR="00872F8A" w:rsidRPr="00322243">
        <w:t xml:space="preserve">or </w:t>
      </w:r>
      <w:r w:rsidR="009E56B9" w:rsidRPr="00322243">
        <w:t xml:space="preserve">the National </w:t>
      </w:r>
      <w:r w:rsidR="00420097" w:rsidRPr="00322243">
        <w:t xml:space="preserve">Aboriginal and Torres </w:t>
      </w:r>
      <w:r w:rsidR="00903AA5" w:rsidRPr="00322243">
        <w:t>Strait</w:t>
      </w:r>
      <w:r w:rsidR="00420097" w:rsidRPr="00322243">
        <w:t xml:space="preserve"> Islander Flexible Aged Care Program (NATSIFACP) </w:t>
      </w:r>
      <w:r w:rsidRPr="00322243">
        <w:t>do not have to submit a</w:t>
      </w:r>
      <w:r w:rsidR="00560057" w:rsidRPr="00322243">
        <w:t>n ACFR</w:t>
      </w:r>
      <w:r w:rsidRPr="00322243">
        <w:t xml:space="preserve">. </w:t>
      </w:r>
    </w:p>
    <w:p w14:paraId="6B651E5B" w14:textId="6FC22D1E" w:rsidR="0002136D" w:rsidRDefault="007F701A" w:rsidP="00E22085">
      <w:pPr>
        <w:rPr>
          <w:rFonts w:cs="Arial"/>
        </w:rPr>
      </w:pPr>
      <w:r w:rsidRPr="00EA55D0">
        <w:rPr>
          <w:rFonts w:cs="Arial"/>
        </w:rPr>
        <w:t xml:space="preserve">What you are required to report in the </w:t>
      </w:r>
      <w:r w:rsidR="006F4FD5" w:rsidRPr="00EA55D0">
        <w:rPr>
          <w:rFonts w:cs="Arial"/>
        </w:rPr>
        <w:t>AC</w:t>
      </w:r>
      <w:r w:rsidRPr="00EA55D0">
        <w:rPr>
          <w:rFonts w:cs="Arial"/>
        </w:rPr>
        <w:t xml:space="preserve">FR depends on the types of </w:t>
      </w:r>
      <w:r w:rsidR="00BF377E" w:rsidRPr="00EA55D0">
        <w:rPr>
          <w:rFonts w:cs="Arial"/>
        </w:rPr>
        <w:t>program</w:t>
      </w:r>
      <w:r w:rsidR="00C34B9C" w:rsidRPr="00EA55D0">
        <w:rPr>
          <w:rFonts w:cs="Arial"/>
        </w:rPr>
        <w:t>s</w:t>
      </w:r>
      <w:r w:rsidRPr="00EA55D0">
        <w:rPr>
          <w:rFonts w:cs="Arial"/>
        </w:rPr>
        <w:t xml:space="preserve"> you deliver. </w:t>
      </w:r>
    </w:p>
    <w:p w14:paraId="7D8B9E62" w14:textId="6EEF3F87" w:rsidR="007F701A" w:rsidRPr="00EA55D0" w:rsidRDefault="007F701A" w:rsidP="002116E9">
      <w:pPr>
        <w:rPr>
          <w:rFonts w:cs="Arial"/>
        </w:rPr>
      </w:pPr>
      <w:r w:rsidRPr="00EA55D0">
        <w:rPr>
          <w:rFonts w:cs="Arial"/>
        </w:rPr>
        <w:t xml:space="preserve">The table below outlines the reporting </w:t>
      </w:r>
      <w:r w:rsidR="00D67BA2" w:rsidRPr="00EA55D0">
        <w:rPr>
          <w:rFonts w:cs="Arial"/>
        </w:rPr>
        <w:t>requirements</w:t>
      </w:r>
      <w:r w:rsidRPr="00EA55D0">
        <w:rPr>
          <w:rFonts w:cs="Arial"/>
        </w:rPr>
        <w:t xml:space="preserve">: </w:t>
      </w:r>
    </w:p>
    <w:tbl>
      <w:tblPr>
        <w:tblStyle w:val="TableGrid8"/>
        <w:tblW w:w="9781" w:type="dxa"/>
        <w:tblLayout w:type="fixed"/>
        <w:tblLook w:val="04A0" w:firstRow="1" w:lastRow="0" w:firstColumn="1" w:lastColumn="0" w:noHBand="0" w:noVBand="1"/>
      </w:tblPr>
      <w:tblGrid>
        <w:gridCol w:w="2777"/>
        <w:gridCol w:w="1618"/>
        <w:gridCol w:w="1417"/>
        <w:gridCol w:w="1418"/>
        <w:gridCol w:w="1275"/>
        <w:gridCol w:w="1276"/>
      </w:tblGrid>
      <w:tr w:rsidR="00903AA5" w:rsidRPr="009F4F57" w14:paraId="487D296A" w14:textId="77777777" w:rsidTr="00E22085">
        <w:trPr>
          <w:cnfStyle w:val="100000000000" w:firstRow="1" w:lastRow="0" w:firstColumn="0" w:lastColumn="0" w:oddVBand="0" w:evenVBand="0" w:oddHBand="0" w:evenHBand="0" w:firstRowFirstColumn="0" w:firstRowLastColumn="0" w:lastRowFirstColumn="0" w:lastRowLastColumn="0"/>
          <w:trHeight w:val="300"/>
          <w:tblHeader/>
        </w:trPr>
        <w:tc>
          <w:tcPr>
            <w:tcW w:w="2777" w:type="dxa"/>
            <w:hideMark/>
          </w:tcPr>
          <w:p w14:paraId="6AB671D1" w14:textId="7936057E" w:rsidR="00EC4C9D" w:rsidRPr="009F4F57" w:rsidRDefault="007E1614" w:rsidP="005274C5">
            <w:pPr>
              <w:pStyle w:val="TableHeaderWhite"/>
              <w:rPr>
                <w:b/>
              </w:rPr>
            </w:pPr>
            <w:r w:rsidRPr="009F4F57">
              <w:rPr>
                <w:b/>
              </w:rPr>
              <w:t>Form Name </w:t>
            </w:r>
          </w:p>
        </w:tc>
        <w:tc>
          <w:tcPr>
            <w:tcW w:w="1618" w:type="dxa"/>
            <w:hideMark/>
          </w:tcPr>
          <w:p w14:paraId="74394D24" w14:textId="24AD936A" w:rsidR="00EC4C9D" w:rsidRPr="009F4F57" w:rsidRDefault="007E1614" w:rsidP="005274C5">
            <w:pPr>
              <w:pStyle w:val="TableHeaderWhite"/>
              <w:rPr>
                <w:b/>
              </w:rPr>
            </w:pPr>
            <w:r w:rsidRPr="009F4F57">
              <w:rPr>
                <w:b/>
              </w:rPr>
              <w:t>Data Collection Level </w:t>
            </w:r>
          </w:p>
        </w:tc>
        <w:tc>
          <w:tcPr>
            <w:tcW w:w="1417" w:type="dxa"/>
            <w:hideMark/>
          </w:tcPr>
          <w:p w14:paraId="555165B3" w14:textId="503F82C9" w:rsidR="00EC4C9D" w:rsidRPr="005274C5" w:rsidRDefault="00EC4C9D" w:rsidP="005274C5">
            <w:pPr>
              <w:pStyle w:val="TableHeaderWhite"/>
            </w:pPr>
            <w:r w:rsidRPr="005274C5">
              <w:t xml:space="preserve">Residential </w:t>
            </w:r>
            <w:r w:rsidR="002A19E1" w:rsidRPr="005274C5">
              <w:t>Aged</w:t>
            </w:r>
            <w:r w:rsidRPr="005274C5">
              <w:t xml:space="preserve"> Care</w:t>
            </w:r>
          </w:p>
        </w:tc>
        <w:tc>
          <w:tcPr>
            <w:tcW w:w="1418" w:type="dxa"/>
            <w:hideMark/>
          </w:tcPr>
          <w:p w14:paraId="2EB7552D" w14:textId="2F893B54" w:rsidR="00EC4C9D" w:rsidRPr="005274C5" w:rsidRDefault="002A19E1" w:rsidP="005274C5">
            <w:pPr>
              <w:pStyle w:val="TableHeaderWhite"/>
            </w:pPr>
            <w:r w:rsidRPr="005274C5">
              <w:t>Home Care P</w:t>
            </w:r>
            <w:r w:rsidR="00B66DCF" w:rsidRPr="005274C5">
              <w:t>a</w:t>
            </w:r>
            <w:r w:rsidRPr="005274C5">
              <w:t>ckages</w:t>
            </w:r>
            <w:r w:rsidR="00B66DCF" w:rsidRPr="005274C5">
              <w:t xml:space="preserve"> /</w:t>
            </w:r>
            <w:r w:rsidR="00EC4C9D" w:rsidRPr="005274C5">
              <w:t>Support at Home</w:t>
            </w:r>
          </w:p>
        </w:tc>
        <w:tc>
          <w:tcPr>
            <w:tcW w:w="1275" w:type="dxa"/>
            <w:hideMark/>
          </w:tcPr>
          <w:p w14:paraId="4A4B6E52" w14:textId="3EB5C4FB" w:rsidR="00EC4C9D" w:rsidRPr="005274C5" w:rsidRDefault="00B25139" w:rsidP="005274C5">
            <w:pPr>
              <w:pStyle w:val="TableHeaderWhite"/>
            </w:pPr>
            <w:r w:rsidRPr="005274C5">
              <w:t>MPS</w:t>
            </w:r>
            <w:r w:rsidR="00C34B9C" w:rsidRPr="005274C5">
              <w:t>P</w:t>
            </w:r>
          </w:p>
        </w:tc>
        <w:tc>
          <w:tcPr>
            <w:tcW w:w="1276" w:type="dxa"/>
            <w:hideMark/>
          </w:tcPr>
          <w:p w14:paraId="4AD42ADC" w14:textId="5E52A540" w:rsidR="00EC4C9D" w:rsidRPr="005274C5" w:rsidRDefault="0082109C" w:rsidP="005274C5">
            <w:pPr>
              <w:pStyle w:val="TableHeaderWhite"/>
            </w:pPr>
            <w:r w:rsidRPr="005274C5">
              <w:t>STRC</w:t>
            </w:r>
          </w:p>
        </w:tc>
      </w:tr>
      <w:tr w:rsidR="007E1614" w:rsidRPr="009F4F57" w14:paraId="3E7E302E" w14:textId="77777777" w:rsidTr="00E22085">
        <w:trPr>
          <w:trHeight w:val="897"/>
        </w:trPr>
        <w:tc>
          <w:tcPr>
            <w:tcW w:w="2777" w:type="dxa"/>
            <w:hideMark/>
          </w:tcPr>
          <w:p w14:paraId="04AAAC24" w14:textId="35E111FD" w:rsidR="00EC4C9D" w:rsidRPr="009F4F57" w:rsidRDefault="00EC4C9D" w:rsidP="00EC4C9D">
            <w:pPr>
              <w:rPr>
                <w:rFonts w:cs="Arial"/>
                <w:b/>
              </w:rPr>
            </w:pPr>
            <w:r w:rsidRPr="009F4F57">
              <w:rPr>
                <w:rFonts w:cs="Arial"/>
                <w:b/>
              </w:rPr>
              <w:t>Consolidated Segment Report*  </w:t>
            </w:r>
          </w:p>
        </w:tc>
        <w:tc>
          <w:tcPr>
            <w:tcW w:w="1618" w:type="dxa"/>
            <w:hideMark/>
          </w:tcPr>
          <w:p w14:paraId="229A9262" w14:textId="77777777" w:rsidR="00EC4C9D" w:rsidRPr="009F4F57" w:rsidRDefault="00EC4C9D" w:rsidP="00EC4C9D">
            <w:pPr>
              <w:rPr>
                <w:rFonts w:cs="Arial"/>
              </w:rPr>
            </w:pPr>
            <w:r w:rsidRPr="009F4F57">
              <w:rPr>
                <w:rFonts w:cs="Arial"/>
              </w:rPr>
              <w:t>Parent Entity or Registered Provider </w:t>
            </w:r>
          </w:p>
        </w:tc>
        <w:tc>
          <w:tcPr>
            <w:tcW w:w="1417" w:type="dxa"/>
            <w:hideMark/>
          </w:tcPr>
          <w:p w14:paraId="1EEE8103" w14:textId="0B761AF8" w:rsidR="00EC4C9D" w:rsidRPr="00322243" w:rsidRDefault="00EC4C9D" w:rsidP="00322243">
            <w:pPr>
              <w:pStyle w:val="TableTextcentre-strong"/>
            </w:pPr>
            <w:r w:rsidRPr="00322243">
              <w:t>YES</w:t>
            </w:r>
          </w:p>
        </w:tc>
        <w:tc>
          <w:tcPr>
            <w:tcW w:w="1418" w:type="dxa"/>
            <w:hideMark/>
          </w:tcPr>
          <w:p w14:paraId="3ED8078A" w14:textId="4CF5588F" w:rsidR="00EC4C9D" w:rsidRPr="00322243" w:rsidRDefault="00EC4C9D" w:rsidP="00322243">
            <w:pPr>
              <w:pStyle w:val="TableTextcentre-strong"/>
            </w:pPr>
            <w:r w:rsidRPr="00322243">
              <w:t>YES</w:t>
            </w:r>
          </w:p>
        </w:tc>
        <w:tc>
          <w:tcPr>
            <w:tcW w:w="1275" w:type="dxa"/>
            <w:hideMark/>
          </w:tcPr>
          <w:p w14:paraId="00A5FC7F" w14:textId="7B535630" w:rsidR="00EC4C9D" w:rsidRPr="00322243" w:rsidRDefault="00EC4C9D" w:rsidP="00322243">
            <w:pPr>
              <w:pStyle w:val="Tabletextcentre"/>
            </w:pPr>
            <w:r w:rsidRPr="00322243">
              <w:t>NO</w:t>
            </w:r>
          </w:p>
        </w:tc>
        <w:tc>
          <w:tcPr>
            <w:tcW w:w="1276" w:type="dxa"/>
            <w:hideMark/>
          </w:tcPr>
          <w:p w14:paraId="7AD452EC" w14:textId="471E7363" w:rsidR="00EC4C9D" w:rsidRPr="00322243" w:rsidRDefault="00EC4C9D" w:rsidP="00322243">
            <w:pPr>
              <w:pStyle w:val="Tabletextcentre"/>
            </w:pPr>
            <w:r w:rsidRPr="00322243">
              <w:t>NO</w:t>
            </w:r>
          </w:p>
        </w:tc>
      </w:tr>
      <w:tr w:rsidR="007E1614" w:rsidRPr="009F4F57" w14:paraId="16E92994" w14:textId="77777777" w:rsidTr="00E22085">
        <w:trPr>
          <w:trHeight w:val="1111"/>
        </w:trPr>
        <w:tc>
          <w:tcPr>
            <w:tcW w:w="2777" w:type="dxa"/>
            <w:hideMark/>
          </w:tcPr>
          <w:p w14:paraId="0A0B3140" w14:textId="2FF2C7E8" w:rsidR="00EC4C9D" w:rsidRPr="009F4F57" w:rsidRDefault="00EC4C9D" w:rsidP="00EC4C9D">
            <w:pPr>
              <w:rPr>
                <w:rFonts w:cs="Arial"/>
                <w:b/>
              </w:rPr>
            </w:pPr>
            <w:r w:rsidRPr="009F4F57">
              <w:rPr>
                <w:rFonts w:cs="Arial"/>
                <w:b/>
              </w:rPr>
              <w:t xml:space="preserve">Registered Provider Reporting (Income and expenditure, balance sheet, cash </w:t>
            </w:r>
            <w:r w:rsidR="00D377EC" w:rsidRPr="009F4F57">
              <w:rPr>
                <w:rFonts w:cs="Arial"/>
                <w:b/>
              </w:rPr>
              <w:t>flow) *</w:t>
            </w:r>
            <w:r w:rsidRPr="009F4F57">
              <w:rPr>
                <w:rFonts w:cs="Arial"/>
                <w:b/>
              </w:rPr>
              <w:t> </w:t>
            </w:r>
          </w:p>
        </w:tc>
        <w:tc>
          <w:tcPr>
            <w:tcW w:w="1618" w:type="dxa"/>
            <w:hideMark/>
          </w:tcPr>
          <w:p w14:paraId="6A6D243D" w14:textId="34E4F08E" w:rsidR="00EC4C9D" w:rsidRPr="009F4F57" w:rsidRDefault="00EC4C9D" w:rsidP="00EC4C9D">
            <w:pPr>
              <w:rPr>
                <w:rFonts w:cs="Arial"/>
              </w:rPr>
            </w:pPr>
            <w:r w:rsidRPr="009F4F57">
              <w:rPr>
                <w:rFonts w:cs="Arial"/>
              </w:rPr>
              <w:t xml:space="preserve">Registered </w:t>
            </w:r>
            <w:r w:rsidR="00C167E4">
              <w:rPr>
                <w:rFonts w:cs="Arial"/>
              </w:rPr>
              <w:t>P</w:t>
            </w:r>
            <w:r w:rsidRPr="009F4F57">
              <w:rPr>
                <w:rFonts w:cs="Arial"/>
              </w:rPr>
              <w:t>rovider </w:t>
            </w:r>
          </w:p>
        </w:tc>
        <w:tc>
          <w:tcPr>
            <w:tcW w:w="1417" w:type="dxa"/>
            <w:hideMark/>
          </w:tcPr>
          <w:p w14:paraId="781416A4" w14:textId="763D71DB" w:rsidR="00EC4C9D" w:rsidRPr="00322243" w:rsidRDefault="00EC4C9D" w:rsidP="00322243">
            <w:pPr>
              <w:pStyle w:val="TableTextcentre-strong"/>
            </w:pPr>
            <w:r w:rsidRPr="00322243">
              <w:t>YES</w:t>
            </w:r>
          </w:p>
        </w:tc>
        <w:tc>
          <w:tcPr>
            <w:tcW w:w="1418" w:type="dxa"/>
            <w:hideMark/>
          </w:tcPr>
          <w:p w14:paraId="35B593A8" w14:textId="2E45D70B" w:rsidR="00EC4C9D" w:rsidRPr="00322243" w:rsidRDefault="00EC4C9D" w:rsidP="00322243">
            <w:pPr>
              <w:pStyle w:val="TableTextcentre-strong"/>
            </w:pPr>
            <w:r w:rsidRPr="00322243">
              <w:t>YES</w:t>
            </w:r>
          </w:p>
        </w:tc>
        <w:tc>
          <w:tcPr>
            <w:tcW w:w="1275" w:type="dxa"/>
            <w:hideMark/>
          </w:tcPr>
          <w:p w14:paraId="11EE5419" w14:textId="48579DD5" w:rsidR="00EC4C9D" w:rsidRPr="00322243" w:rsidRDefault="00EC4C9D" w:rsidP="00322243">
            <w:pPr>
              <w:pStyle w:val="Tabletextcentre"/>
            </w:pPr>
            <w:r w:rsidRPr="00322243">
              <w:t>NO</w:t>
            </w:r>
          </w:p>
        </w:tc>
        <w:tc>
          <w:tcPr>
            <w:tcW w:w="1276" w:type="dxa"/>
            <w:hideMark/>
          </w:tcPr>
          <w:p w14:paraId="7F1D022B" w14:textId="644ED03D" w:rsidR="00EC4C9D" w:rsidRPr="00322243" w:rsidRDefault="00EC4C9D" w:rsidP="00322243">
            <w:pPr>
              <w:pStyle w:val="Tabletextcentre"/>
            </w:pPr>
            <w:r w:rsidRPr="00322243">
              <w:t>NO</w:t>
            </w:r>
          </w:p>
        </w:tc>
      </w:tr>
      <w:tr w:rsidR="007E1614" w:rsidRPr="009F4F57" w14:paraId="150E9B4A" w14:textId="77777777" w:rsidTr="00E22085">
        <w:trPr>
          <w:trHeight w:val="300"/>
        </w:trPr>
        <w:tc>
          <w:tcPr>
            <w:tcW w:w="2777" w:type="dxa"/>
            <w:hideMark/>
          </w:tcPr>
          <w:p w14:paraId="09ECD348" w14:textId="7A86AA54" w:rsidR="00EC4C9D" w:rsidRPr="009F4F57" w:rsidRDefault="00EC4C9D" w:rsidP="00EC4C9D">
            <w:pPr>
              <w:rPr>
                <w:rFonts w:cs="Arial"/>
                <w:b/>
              </w:rPr>
            </w:pPr>
            <w:r w:rsidRPr="009F4F57">
              <w:rPr>
                <w:rFonts w:cs="Arial"/>
                <w:b/>
              </w:rPr>
              <w:t>Movement Schedules* </w:t>
            </w:r>
          </w:p>
        </w:tc>
        <w:tc>
          <w:tcPr>
            <w:tcW w:w="1618" w:type="dxa"/>
            <w:hideMark/>
          </w:tcPr>
          <w:p w14:paraId="5D7233B1" w14:textId="4DED3A59" w:rsidR="00EC4C9D" w:rsidRPr="009F4F57" w:rsidRDefault="00EC4C9D" w:rsidP="00EC4C9D">
            <w:pPr>
              <w:rPr>
                <w:rFonts w:cs="Arial"/>
              </w:rPr>
            </w:pPr>
            <w:r w:rsidRPr="009F4F57">
              <w:rPr>
                <w:rFonts w:cs="Arial"/>
              </w:rPr>
              <w:t xml:space="preserve">Registered </w:t>
            </w:r>
            <w:r w:rsidR="00C167E4">
              <w:rPr>
                <w:rFonts w:cs="Arial"/>
              </w:rPr>
              <w:t>P</w:t>
            </w:r>
            <w:r w:rsidRPr="009F4F57">
              <w:rPr>
                <w:rFonts w:cs="Arial"/>
              </w:rPr>
              <w:t>rovider </w:t>
            </w:r>
          </w:p>
        </w:tc>
        <w:tc>
          <w:tcPr>
            <w:tcW w:w="1417" w:type="dxa"/>
            <w:hideMark/>
          </w:tcPr>
          <w:p w14:paraId="0135F288" w14:textId="3E97A886" w:rsidR="00EC4C9D" w:rsidRPr="00322243" w:rsidRDefault="00EC4C9D" w:rsidP="00322243">
            <w:pPr>
              <w:pStyle w:val="TableTextcentre-strong"/>
            </w:pPr>
            <w:r w:rsidRPr="00322243">
              <w:t>YES</w:t>
            </w:r>
          </w:p>
        </w:tc>
        <w:tc>
          <w:tcPr>
            <w:tcW w:w="1418" w:type="dxa"/>
            <w:hideMark/>
          </w:tcPr>
          <w:p w14:paraId="0DA60E19" w14:textId="5B28F9E4" w:rsidR="00EC4C9D" w:rsidRPr="00322243" w:rsidRDefault="00EC4C9D" w:rsidP="00322243">
            <w:pPr>
              <w:pStyle w:val="Tabletextcentre"/>
            </w:pPr>
            <w:r w:rsidRPr="00322243">
              <w:t>NO</w:t>
            </w:r>
          </w:p>
        </w:tc>
        <w:tc>
          <w:tcPr>
            <w:tcW w:w="1275" w:type="dxa"/>
            <w:hideMark/>
          </w:tcPr>
          <w:p w14:paraId="36777B86" w14:textId="4E07782B" w:rsidR="00EC4C9D" w:rsidRPr="00322243" w:rsidRDefault="00EC4C9D" w:rsidP="00322243">
            <w:pPr>
              <w:pStyle w:val="Tabletextcentre"/>
            </w:pPr>
            <w:r w:rsidRPr="00322243">
              <w:t>NO</w:t>
            </w:r>
          </w:p>
        </w:tc>
        <w:tc>
          <w:tcPr>
            <w:tcW w:w="1276" w:type="dxa"/>
            <w:hideMark/>
          </w:tcPr>
          <w:p w14:paraId="20CA89A1" w14:textId="0F99E962" w:rsidR="00EC4C9D" w:rsidRPr="00322243" w:rsidRDefault="00EC4C9D" w:rsidP="00322243">
            <w:pPr>
              <w:pStyle w:val="Tabletextcentre"/>
            </w:pPr>
            <w:r w:rsidRPr="00322243">
              <w:t>NO</w:t>
            </w:r>
          </w:p>
        </w:tc>
      </w:tr>
      <w:tr w:rsidR="007E1614" w:rsidRPr="009F4F57" w14:paraId="3A09337D" w14:textId="77777777" w:rsidTr="00E22085">
        <w:trPr>
          <w:trHeight w:val="300"/>
        </w:trPr>
        <w:tc>
          <w:tcPr>
            <w:tcW w:w="2777" w:type="dxa"/>
            <w:hideMark/>
          </w:tcPr>
          <w:p w14:paraId="6C682964" w14:textId="77777777" w:rsidR="00EC4C9D" w:rsidRPr="009F4F57" w:rsidRDefault="00EC4C9D" w:rsidP="00EC4C9D">
            <w:pPr>
              <w:rPr>
                <w:rFonts w:cs="Arial"/>
                <w:b/>
              </w:rPr>
            </w:pPr>
            <w:r w:rsidRPr="009F4F57">
              <w:rPr>
                <w:rFonts w:cs="Arial"/>
                <w:b/>
              </w:rPr>
              <w:t>Residential Care Reporting (Income and expenditure, balance sheet, Care Minute Performance Statement) </w:t>
            </w:r>
          </w:p>
        </w:tc>
        <w:tc>
          <w:tcPr>
            <w:tcW w:w="1618" w:type="dxa"/>
            <w:hideMark/>
          </w:tcPr>
          <w:p w14:paraId="7308D46A" w14:textId="2B533F28" w:rsidR="00EC4C9D" w:rsidRPr="009F4F57" w:rsidRDefault="006E24BB" w:rsidP="00EC4C9D">
            <w:pPr>
              <w:rPr>
                <w:rFonts w:cs="Arial"/>
              </w:rPr>
            </w:pPr>
            <w:r>
              <w:rPr>
                <w:rFonts w:cs="Arial"/>
              </w:rPr>
              <w:t>P</w:t>
            </w:r>
            <w:r>
              <w:t xml:space="preserve">rogram or </w:t>
            </w:r>
            <w:r w:rsidR="006B4792">
              <w:t xml:space="preserve">Approved Residential Care </w:t>
            </w:r>
            <w:r w:rsidR="007952B5">
              <w:t xml:space="preserve">Home </w:t>
            </w:r>
            <w:r w:rsidR="007952B5" w:rsidRPr="009F4F57">
              <w:rPr>
                <w:rFonts w:cs="Arial"/>
              </w:rPr>
              <w:t>level</w:t>
            </w:r>
            <w:r w:rsidR="00EC4C9D" w:rsidRPr="009F4F57">
              <w:rPr>
                <w:rFonts w:cs="Arial"/>
              </w:rPr>
              <w:t> </w:t>
            </w:r>
          </w:p>
        </w:tc>
        <w:tc>
          <w:tcPr>
            <w:tcW w:w="1417" w:type="dxa"/>
            <w:hideMark/>
          </w:tcPr>
          <w:p w14:paraId="34C9E6B6" w14:textId="1E9B0D53" w:rsidR="00EC4C9D" w:rsidRPr="00322243" w:rsidRDefault="00EC4C9D" w:rsidP="00322243">
            <w:pPr>
              <w:pStyle w:val="TableTextcentre-strong"/>
            </w:pPr>
            <w:r w:rsidRPr="00322243">
              <w:t>YES</w:t>
            </w:r>
          </w:p>
        </w:tc>
        <w:tc>
          <w:tcPr>
            <w:tcW w:w="1418" w:type="dxa"/>
            <w:hideMark/>
          </w:tcPr>
          <w:p w14:paraId="40A4A5DD" w14:textId="3D5AEFE3" w:rsidR="00EC4C9D" w:rsidRPr="00322243" w:rsidRDefault="00EC4C9D" w:rsidP="00322243">
            <w:pPr>
              <w:pStyle w:val="Tabletextcentre"/>
            </w:pPr>
            <w:r w:rsidRPr="00322243">
              <w:t>NO</w:t>
            </w:r>
          </w:p>
        </w:tc>
        <w:tc>
          <w:tcPr>
            <w:tcW w:w="1275" w:type="dxa"/>
            <w:hideMark/>
          </w:tcPr>
          <w:p w14:paraId="077BEFA6" w14:textId="64B19CEC" w:rsidR="00EC4C9D" w:rsidRPr="00322243" w:rsidRDefault="00EC4C9D" w:rsidP="00322243">
            <w:pPr>
              <w:pStyle w:val="Tabletextcentre"/>
            </w:pPr>
            <w:r w:rsidRPr="00322243">
              <w:t>NO</w:t>
            </w:r>
          </w:p>
        </w:tc>
        <w:tc>
          <w:tcPr>
            <w:tcW w:w="1276" w:type="dxa"/>
            <w:hideMark/>
          </w:tcPr>
          <w:p w14:paraId="38A5570C" w14:textId="0CDDF230" w:rsidR="00EC4C9D" w:rsidRPr="00322243" w:rsidRDefault="00EC4C9D" w:rsidP="00322243">
            <w:pPr>
              <w:pStyle w:val="Tabletextcentre"/>
            </w:pPr>
            <w:r w:rsidRPr="00322243">
              <w:t>NO</w:t>
            </w:r>
          </w:p>
        </w:tc>
      </w:tr>
      <w:tr w:rsidR="007E1614" w:rsidRPr="009F4F57" w14:paraId="71F1ECCE" w14:textId="77777777" w:rsidTr="00E22085">
        <w:trPr>
          <w:trHeight w:val="300"/>
        </w:trPr>
        <w:tc>
          <w:tcPr>
            <w:tcW w:w="2777" w:type="dxa"/>
          </w:tcPr>
          <w:p w14:paraId="62CA581B" w14:textId="3000F287" w:rsidR="00C650E8" w:rsidRPr="009F4F57" w:rsidRDefault="0021500E" w:rsidP="00EC4C9D">
            <w:pPr>
              <w:rPr>
                <w:rFonts w:cs="Arial"/>
                <w:b/>
                <w:bCs/>
                <w:iCs/>
              </w:rPr>
            </w:pPr>
            <w:r w:rsidRPr="009F4F57">
              <w:rPr>
                <w:rFonts w:cs="Arial"/>
                <w:b/>
                <w:bCs/>
                <w:iCs/>
              </w:rPr>
              <w:t>Home Care Pa</w:t>
            </w:r>
            <w:r w:rsidR="009A0B72" w:rsidRPr="009F4F57">
              <w:rPr>
                <w:rFonts w:cs="Arial"/>
                <w:b/>
                <w:bCs/>
                <w:iCs/>
              </w:rPr>
              <w:t>c</w:t>
            </w:r>
            <w:r w:rsidRPr="009F4F57">
              <w:rPr>
                <w:rFonts w:cs="Arial"/>
                <w:b/>
                <w:bCs/>
                <w:iCs/>
              </w:rPr>
              <w:t xml:space="preserve">kages / STRC / Support at Home </w:t>
            </w:r>
            <w:r w:rsidR="009A0B72" w:rsidRPr="009F4F57">
              <w:rPr>
                <w:rFonts w:cs="Arial"/>
                <w:b/>
                <w:bCs/>
                <w:iCs/>
              </w:rPr>
              <w:t>p</w:t>
            </w:r>
            <w:r w:rsidRPr="009F4F57">
              <w:rPr>
                <w:rFonts w:cs="Arial"/>
                <w:b/>
                <w:bCs/>
                <w:iCs/>
              </w:rPr>
              <w:t>rogram</w:t>
            </w:r>
          </w:p>
        </w:tc>
        <w:tc>
          <w:tcPr>
            <w:tcW w:w="1618" w:type="dxa"/>
          </w:tcPr>
          <w:p w14:paraId="07A2DCC1" w14:textId="43AC643C" w:rsidR="00C650E8" w:rsidRPr="009F4F57" w:rsidRDefault="00C809B1" w:rsidP="00EC4C9D">
            <w:pPr>
              <w:rPr>
                <w:rFonts w:cs="Arial"/>
                <w:iCs/>
              </w:rPr>
            </w:pPr>
            <w:r w:rsidRPr="009F4F57">
              <w:rPr>
                <w:rFonts w:cs="Arial"/>
                <w:iCs/>
              </w:rPr>
              <w:t xml:space="preserve">Program </w:t>
            </w:r>
            <w:r w:rsidR="008A3909" w:rsidRPr="009F4F57">
              <w:rPr>
                <w:rFonts w:cs="Arial"/>
                <w:iCs/>
              </w:rPr>
              <w:t>level</w:t>
            </w:r>
          </w:p>
        </w:tc>
        <w:tc>
          <w:tcPr>
            <w:tcW w:w="1417" w:type="dxa"/>
          </w:tcPr>
          <w:p w14:paraId="0DFB7C88" w14:textId="2945ABA0" w:rsidR="00C650E8" w:rsidRPr="00322243" w:rsidRDefault="00644BF9" w:rsidP="00322243">
            <w:r w:rsidRPr="00322243">
              <w:t>NO</w:t>
            </w:r>
          </w:p>
        </w:tc>
        <w:tc>
          <w:tcPr>
            <w:tcW w:w="1418" w:type="dxa"/>
          </w:tcPr>
          <w:p w14:paraId="03E52B87" w14:textId="7BE7C872" w:rsidR="00C650E8" w:rsidRPr="009F4F57" w:rsidRDefault="00890A4A" w:rsidP="00E22085">
            <w:pPr>
              <w:pStyle w:val="TableTextcentre-strong"/>
              <w:rPr>
                <w:iCs/>
              </w:rPr>
            </w:pPr>
            <w:r w:rsidRPr="00322243">
              <w:t>YES</w:t>
            </w:r>
            <w:r w:rsidR="00E22085">
              <w:t xml:space="preserve"> </w:t>
            </w:r>
            <w:r w:rsidR="00E22085">
              <w:br/>
            </w:r>
            <w:r w:rsidRPr="009F4F57">
              <w:t>Refer to additional table</w:t>
            </w:r>
          </w:p>
        </w:tc>
        <w:tc>
          <w:tcPr>
            <w:tcW w:w="1275" w:type="dxa"/>
          </w:tcPr>
          <w:p w14:paraId="09C37D6A" w14:textId="2ABADB49" w:rsidR="00C650E8" w:rsidRPr="00322243" w:rsidRDefault="008613B9" w:rsidP="00322243">
            <w:pPr>
              <w:pStyle w:val="Tabletextcentre"/>
            </w:pPr>
            <w:r w:rsidRPr="00322243">
              <w:t>NO</w:t>
            </w:r>
          </w:p>
        </w:tc>
        <w:tc>
          <w:tcPr>
            <w:tcW w:w="1276" w:type="dxa"/>
          </w:tcPr>
          <w:p w14:paraId="2BAEF4CB" w14:textId="1A459EBF" w:rsidR="00C650E8" w:rsidRPr="009F4F57" w:rsidRDefault="008613B9" w:rsidP="00E22085">
            <w:pPr>
              <w:pStyle w:val="TableTextcentre-strong"/>
            </w:pPr>
            <w:proofErr w:type="gramStart"/>
            <w:r w:rsidRPr="00322243">
              <w:t>YES</w:t>
            </w:r>
            <w:proofErr w:type="gramEnd"/>
            <w:r w:rsidR="00E22085">
              <w:t xml:space="preserve"> </w:t>
            </w:r>
            <w:r w:rsidRPr="009F4F57">
              <w:t>Refer to additional table</w:t>
            </w:r>
          </w:p>
        </w:tc>
      </w:tr>
      <w:tr w:rsidR="007E1614" w:rsidRPr="009F4F57" w14:paraId="141CA6AA" w14:textId="77777777" w:rsidTr="00E22085">
        <w:trPr>
          <w:trHeight w:val="1080"/>
        </w:trPr>
        <w:tc>
          <w:tcPr>
            <w:tcW w:w="2777" w:type="dxa"/>
            <w:hideMark/>
          </w:tcPr>
          <w:p w14:paraId="0E090ADF" w14:textId="77777777" w:rsidR="00EC4C9D" w:rsidRPr="009F4F57" w:rsidRDefault="00EC4C9D" w:rsidP="00EC4C9D">
            <w:pPr>
              <w:rPr>
                <w:rFonts w:cs="Arial"/>
                <w:b/>
              </w:rPr>
            </w:pPr>
            <w:r w:rsidRPr="009F4F57">
              <w:rPr>
                <w:rFonts w:cs="Arial"/>
                <w:b/>
              </w:rPr>
              <w:t>Annual Prudential Compliance Statement  </w:t>
            </w:r>
          </w:p>
        </w:tc>
        <w:tc>
          <w:tcPr>
            <w:tcW w:w="1618" w:type="dxa"/>
            <w:hideMark/>
          </w:tcPr>
          <w:p w14:paraId="0BF2B2EE" w14:textId="77777777" w:rsidR="00EC4C9D" w:rsidRPr="009F4F57" w:rsidRDefault="00EC4C9D" w:rsidP="00EC4C9D">
            <w:pPr>
              <w:rPr>
                <w:rFonts w:cs="Arial"/>
              </w:rPr>
            </w:pPr>
            <w:r w:rsidRPr="009F4F57">
              <w:rPr>
                <w:rFonts w:cs="Arial"/>
              </w:rPr>
              <w:t>Registered Provider </w:t>
            </w:r>
          </w:p>
        </w:tc>
        <w:tc>
          <w:tcPr>
            <w:tcW w:w="1417" w:type="dxa"/>
            <w:hideMark/>
          </w:tcPr>
          <w:p w14:paraId="78C7047D" w14:textId="39A0D6DB" w:rsidR="00EC4C9D" w:rsidRPr="00322243" w:rsidRDefault="00EC4C9D" w:rsidP="00322243">
            <w:pPr>
              <w:pStyle w:val="TableTextcentre-strong"/>
            </w:pPr>
            <w:r w:rsidRPr="00322243">
              <w:t>YES</w:t>
            </w:r>
          </w:p>
        </w:tc>
        <w:tc>
          <w:tcPr>
            <w:tcW w:w="1418" w:type="dxa"/>
            <w:hideMark/>
          </w:tcPr>
          <w:p w14:paraId="060419D0" w14:textId="6A5F6AF8" w:rsidR="00EC4C9D" w:rsidRPr="00322243" w:rsidRDefault="00EC4C9D" w:rsidP="00322243">
            <w:pPr>
              <w:pStyle w:val="Tabletextcentre"/>
            </w:pPr>
            <w:r w:rsidRPr="00322243">
              <w:t>NO</w:t>
            </w:r>
          </w:p>
        </w:tc>
        <w:tc>
          <w:tcPr>
            <w:tcW w:w="1275" w:type="dxa"/>
            <w:hideMark/>
          </w:tcPr>
          <w:p w14:paraId="665EF157" w14:textId="0FAC5106" w:rsidR="00EC4C9D" w:rsidRPr="00322243" w:rsidRDefault="0082109C" w:rsidP="00322243">
            <w:pPr>
              <w:pStyle w:val="TableTextcentre-strong"/>
            </w:pPr>
            <w:r w:rsidRPr="00322243">
              <w:t>YES</w:t>
            </w:r>
          </w:p>
        </w:tc>
        <w:tc>
          <w:tcPr>
            <w:tcW w:w="1276" w:type="dxa"/>
            <w:hideMark/>
          </w:tcPr>
          <w:p w14:paraId="635D79F5" w14:textId="4AA052E2" w:rsidR="00EC4C9D" w:rsidRPr="00322243" w:rsidRDefault="0082109C" w:rsidP="00322243">
            <w:pPr>
              <w:pStyle w:val="Tabletextcentre"/>
            </w:pPr>
            <w:r w:rsidRPr="009F4F57">
              <w:t>NO</w:t>
            </w:r>
          </w:p>
        </w:tc>
      </w:tr>
      <w:tr w:rsidR="007E1614" w:rsidRPr="009F4F57" w14:paraId="44FF4CD9" w14:textId="77777777" w:rsidTr="00E22085">
        <w:trPr>
          <w:trHeight w:val="1252"/>
        </w:trPr>
        <w:tc>
          <w:tcPr>
            <w:tcW w:w="2777" w:type="dxa"/>
            <w:hideMark/>
          </w:tcPr>
          <w:p w14:paraId="2A32887F" w14:textId="37068687" w:rsidR="00EC4C9D" w:rsidRPr="009F4F57" w:rsidRDefault="00EC4C9D" w:rsidP="00EC4C9D">
            <w:pPr>
              <w:rPr>
                <w:rFonts w:cs="Arial"/>
                <w:b/>
              </w:rPr>
            </w:pPr>
            <w:r w:rsidRPr="009F4F57">
              <w:rPr>
                <w:rFonts w:cs="Arial"/>
                <w:b/>
              </w:rPr>
              <w:t>Financial Support Statement*</w:t>
            </w:r>
          </w:p>
        </w:tc>
        <w:tc>
          <w:tcPr>
            <w:tcW w:w="1618" w:type="dxa"/>
            <w:hideMark/>
          </w:tcPr>
          <w:p w14:paraId="6FAB4793" w14:textId="77777777" w:rsidR="00EC4C9D" w:rsidRPr="009F4F57" w:rsidRDefault="00EC4C9D" w:rsidP="00EC4C9D">
            <w:pPr>
              <w:rPr>
                <w:rFonts w:cs="Arial"/>
              </w:rPr>
            </w:pPr>
            <w:r w:rsidRPr="009F4F57">
              <w:rPr>
                <w:rFonts w:cs="Arial"/>
              </w:rPr>
              <w:t>Registered Provider </w:t>
            </w:r>
          </w:p>
        </w:tc>
        <w:tc>
          <w:tcPr>
            <w:tcW w:w="1417" w:type="dxa"/>
            <w:hideMark/>
          </w:tcPr>
          <w:p w14:paraId="18E5D1A2" w14:textId="69979D02" w:rsidR="00EC4C9D" w:rsidRPr="00322243" w:rsidRDefault="00EC4C9D" w:rsidP="00322243">
            <w:pPr>
              <w:pStyle w:val="TableTextcentre-strong"/>
            </w:pPr>
            <w:r w:rsidRPr="00322243">
              <w:t>YES</w:t>
            </w:r>
          </w:p>
        </w:tc>
        <w:tc>
          <w:tcPr>
            <w:tcW w:w="1418" w:type="dxa"/>
            <w:hideMark/>
          </w:tcPr>
          <w:p w14:paraId="43A7F7D0" w14:textId="786F4BA9" w:rsidR="00EC4C9D" w:rsidRPr="00322243" w:rsidRDefault="00EC4C9D" w:rsidP="00322243">
            <w:pPr>
              <w:pStyle w:val="Tabletextcentre"/>
            </w:pPr>
            <w:r w:rsidRPr="00322243">
              <w:t>NO</w:t>
            </w:r>
          </w:p>
        </w:tc>
        <w:tc>
          <w:tcPr>
            <w:tcW w:w="1275" w:type="dxa"/>
            <w:hideMark/>
          </w:tcPr>
          <w:p w14:paraId="1DDAB6BD" w14:textId="60B68ED9" w:rsidR="00EC4C9D" w:rsidRPr="00322243" w:rsidRDefault="00EC4C9D" w:rsidP="00322243">
            <w:pPr>
              <w:pStyle w:val="Tabletextcentre"/>
            </w:pPr>
            <w:r w:rsidRPr="00322243">
              <w:t>NO</w:t>
            </w:r>
          </w:p>
        </w:tc>
        <w:tc>
          <w:tcPr>
            <w:tcW w:w="1276" w:type="dxa"/>
            <w:hideMark/>
          </w:tcPr>
          <w:p w14:paraId="6AA131C5" w14:textId="56930FCB" w:rsidR="00EC4C9D" w:rsidRPr="00322243" w:rsidRDefault="00EC4C9D" w:rsidP="00322243">
            <w:pPr>
              <w:pStyle w:val="Tabletextcentre"/>
            </w:pPr>
            <w:r w:rsidRPr="00322243">
              <w:t>NO</w:t>
            </w:r>
          </w:p>
        </w:tc>
      </w:tr>
      <w:tr w:rsidR="007E1614" w:rsidRPr="009F4F57" w14:paraId="131665A5" w14:textId="77777777" w:rsidTr="00E22085">
        <w:trPr>
          <w:trHeight w:val="300"/>
        </w:trPr>
        <w:tc>
          <w:tcPr>
            <w:tcW w:w="2777" w:type="dxa"/>
            <w:hideMark/>
          </w:tcPr>
          <w:p w14:paraId="11340B75" w14:textId="77777777" w:rsidR="00EC4C9D" w:rsidRPr="009F4F57" w:rsidRDefault="00EC4C9D" w:rsidP="00EC4C9D">
            <w:pPr>
              <w:rPr>
                <w:rFonts w:cs="Arial"/>
                <w:b/>
              </w:rPr>
            </w:pPr>
            <w:r w:rsidRPr="009F4F57">
              <w:rPr>
                <w:rFonts w:cs="Arial"/>
                <w:b/>
              </w:rPr>
              <w:t>Survey of Aged Care Homes </w:t>
            </w:r>
          </w:p>
        </w:tc>
        <w:tc>
          <w:tcPr>
            <w:tcW w:w="1618" w:type="dxa"/>
            <w:hideMark/>
          </w:tcPr>
          <w:p w14:paraId="14A84D31" w14:textId="6EE28E21" w:rsidR="00EC4C9D" w:rsidRPr="009F4F57" w:rsidRDefault="00FA6740" w:rsidP="00EC4C9D">
            <w:pPr>
              <w:rPr>
                <w:rFonts w:cs="Arial"/>
              </w:rPr>
            </w:pPr>
            <w:r>
              <w:rPr>
                <w:rFonts w:cs="Arial"/>
              </w:rPr>
              <w:t>A</w:t>
            </w:r>
            <w:r>
              <w:t xml:space="preserve">pproved Residential </w:t>
            </w:r>
            <w:r w:rsidR="00DC1949">
              <w:t>Care Home</w:t>
            </w:r>
            <w:r w:rsidR="00EC4C9D" w:rsidRPr="009F4F57">
              <w:rPr>
                <w:rFonts w:cs="Arial"/>
              </w:rPr>
              <w:t xml:space="preserve"> level </w:t>
            </w:r>
          </w:p>
        </w:tc>
        <w:tc>
          <w:tcPr>
            <w:tcW w:w="1417" w:type="dxa"/>
            <w:hideMark/>
          </w:tcPr>
          <w:p w14:paraId="17A6016F" w14:textId="62D1CD57" w:rsidR="00EC4C9D" w:rsidRPr="00322243" w:rsidRDefault="00EC4C9D" w:rsidP="00322243">
            <w:pPr>
              <w:pStyle w:val="TableTextcentre-strong"/>
            </w:pPr>
            <w:r w:rsidRPr="00322243">
              <w:t>YES</w:t>
            </w:r>
          </w:p>
        </w:tc>
        <w:tc>
          <w:tcPr>
            <w:tcW w:w="1418" w:type="dxa"/>
            <w:hideMark/>
          </w:tcPr>
          <w:p w14:paraId="5691AE61" w14:textId="25BF6058" w:rsidR="00EC4C9D" w:rsidRPr="00322243" w:rsidRDefault="00EC4C9D" w:rsidP="00322243">
            <w:pPr>
              <w:pStyle w:val="Tabletextcentre"/>
            </w:pPr>
            <w:r w:rsidRPr="00322243">
              <w:t>NO</w:t>
            </w:r>
          </w:p>
        </w:tc>
        <w:tc>
          <w:tcPr>
            <w:tcW w:w="1275" w:type="dxa"/>
            <w:hideMark/>
          </w:tcPr>
          <w:p w14:paraId="2DDB9BC7" w14:textId="39DFCC5D" w:rsidR="00EC4C9D" w:rsidRPr="00322243" w:rsidRDefault="00EC4C9D" w:rsidP="00322243">
            <w:pPr>
              <w:pStyle w:val="Tabletextcentre"/>
            </w:pPr>
            <w:r w:rsidRPr="00322243">
              <w:t>NO</w:t>
            </w:r>
          </w:p>
        </w:tc>
        <w:tc>
          <w:tcPr>
            <w:tcW w:w="1276" w:type="dxa"/>
            <w:hideMark/>
          </w:tcPr>
          <w:p w14:paraId="5CF3E148" w14:textId="59AFCEB2" w:rsidR="00EC4C9D" w:rsidRPr="00322243" w:rsidRDefault="00EC4C9D" w:rsidP="00322243">
            <w:pPr>
              <w:pStyle w:val="Tabletextcentre"/>
            </w:pPr>
            <w:r w:rsidRPr="00322243">
              <w:t>NO</w:t>
            </w:r>
          </w:p>
        </w:tc>
      </w:tr>
      <w:tr w:rsidR="007E1614" w:rsidRPr="009F4F57" w14:paraId="5700B48E" w14:textId="77777777" w:rsidTr="00E22085">
        <w:trPr>
          <w:trHeight w:val="300"/>
        </w:trPr>
        <w:tc>
          <w:tcPr>
            <w:tcW w:w="2777" w:type="dxa"/>
            <w:hideMark/>
          </w:tcPr>
          <w:p w14:paraId="5D46204A" w14:textId="77777777" w:rsidR="00EC4C9D" w:rsidRPr="009F4F57" w:rsidRDefault="00EC4C9D" w:rsidP="00EC4C9D">
            <w:pPr>
              <w:rPr>
                <w:rFonts w:cs="Arial"/>
                <w:b/>
              </w:rPr>
            </w:pPr>
            <w:r w:rsidRPr="009F4F57">
              <w:rPr>
                <w:rFonts w:cs="Arial"/>
                <w:b/>
              </w:rPr>
              <w:t>Residential Building Activity </w:t>
            </w:r>
          </w:p>
        </w:tc>
        <w:tc>
          <w:tcPr>
            <w:tcW w:w="1618" w:type="dxa"/>
            <w:hideMark/>
          </w:tcPr>
          <w:p w14:paraId="66519D4F" w14:textId="04737C48" w:rsidR="00EC4C9D" w:rsidRPr="009F4F57" w:rsidRDefault="00DC1949" w:rsidP="00EC4C9D">
            <w:pPr>
              <w:rPr>
                <w:rFonts w:cs="Arial"/>
              </w:rPr>
            </w:pPr>
            <w:r>
              <w:rPr>
                <w:rFonts w:cs="Arial"/>
              </w:rPr>
              <w:t>A</w:t>
            </w:r>
            <w:r>
              <w:t xml:space="preserve">pproved Residential Care Home </w:t>
            </w:r>
            <w:r w:rsidR="00EC4C9D" w:rsidRPr="009F4F57">
              <w:rPr>
                <w:rFonts w:cs="Arial"/>
              </w:rPr>
              <w:t>level </w:t>
            </w:r>
          </w:p>
        </w:tc>
        <w:tc>
          <w:tcPr>
            <w:tcW w:w="1417" w:type="dxa"/>
            <w:hideMark/>
          </w:tcPr>
          <w:p w14:paraId="640CC526" w14:textId="357662F7" w:rsidR="00EC4C9D" w:rsidRPr="00322243" w:rsidRDefault="00EC4C9D" w:rsidP="00322243">
            <w:pPr>
              <w:pStyle w:val="TableTextcentre-strong"/>
            </w:pPr>
            <w:r w:rsidRPr="00322243">
              <w:t>YES</w:t>
            </w:r>
          </w:p>
        </w:tc>
        <w:tc>
          <w:tcPr>
            <w:tcW w:w="1418" w:type="dxa"/>
            <w:hideMark/>
          </w:tcPr>
          <w:p w14:paraId="58F440C2" w14:textId="19BF6105" w:rsidR="00EC4C9D" w:rsidRPr="00322243" w:rsidRDefault="00EC4C9D" w:rsidP="00322243">
            <w:pPr>
              <w:pStyle w:val="Tabletextcentre"/>
            </w:pPr>
            <w:r w:rsidRPr="00322243">
              <w:t>NO</w:t>
            </w:r>
          </w:p>
        </w:tc>
        <w:tc>
          <w:tcPr>
            <w:tcW w:w="1275" w:type="dxa"/>
            <w:hideMark/>
          </w:tcPr>
          <w:p w14:paraId="2D653948" w14:textId="5DF9B4A3" w:rsidR="00EC4C9D" w:rsidRPr="00322243" w:rsidRDefault="00EC4C9D" w:rsidP="00322243">
            <w:pPr>
              <w:pStyle w:val="Tabletextcentre"/>
            </w:pPr>
            <w:r w:rsidRPr="00322243">
              <w:t>NO</w:t>
            </w:r>
          </w:p>
        </w:tc>
        <w:tc>
          <w:tcPr>
            <w:tcW w:w="1276" w:type="dxa"/>
            <w:hideMark/>
          </w:tcPr>
          <w:p w14:paraId="1F533ABA" w14:textId="4F93B76B" w:rsidR="00EC4C9D" w:rsidRPr="00322243" w:rsidRDefault="00EC4C9D" w:rsidP="00322243">
            <w:pPr>
              <w:pStyle w:val="Tabletextcentre"/>
            </w:pPr>
            <w:r w:rsidRPr="00322243">
              <w:t>NO</w:t>
            </w:r>
          </w:p>
        </w:tc>
      </w:tr>
      <w:tr w:rsidR="007E1614" w:rsidRPr="009F4F57" w14:paraId="53993E79" w14:textId="77777777" w:rsidTr="00E22085">
        <w:trPr>
          <w:trHeight w:val="300"/>
        </w:trPr>
        <w:tc>
          <w:tcPr>
            <w:tcW w:w="2777" w:type="dxa"/>
            <w:hideMark/>
          </w:tcPr>
          <w:p w14:paraId="511B9443" w14:textId="5D9A10E3" w:rsidR="00EC4C9D" w:rsidRPr="009F4F57" w:rsidRDefault="00EC4C9D" w:rsidP="00EC4C9D">
            <w:pPr>
              <w:rPr>
                <w:rFonts w:cs="Arial"/>
                <w:b/>
              </w:rPr>
            </w:pPr>
            <w:r w:rsidRPr="009F4F57">
              <w:rPr>
                <w:rFonts w:cs="Arial"/>
                <w:b/>
              </w:rPr>
              <w:t>General Purpose Financial Statements*</w:t>
            </w:r>
          </w:p>
        </w:tc>
        <w:tc>
          <w:tcPr>
            <w:tcW w:w="1618" w:type="dxa"/>
            <w:hideMark/>
          </w:tcPr>
          <w:p w14:paraId="2A139EAA" w14:textId="77777777" w:rsidR="00EC4C9D" w:rsidRPr="009F4F57" w:rsidRDefault="00EC4C9D" w:rsidP="00EC4C9D">
            <w:pPr>
              <w:rPr>
                <w:rFonts w:cs="Arial"/>
              </w:rPr>
            </w:pPr>
            <w:r w:rsidRPr="009F4F57">
              <w:rPr>
                <w:rFonts w:cs="Arial"/>
              </w:rPr>
              <w:t>Registered Provider </w:t>
            </w:r>
          </w:p>
        </w:tc>
        <w:tc>
          <w:tcPr>
            <w:tcW w:w="1417" w:type="dxa"/>
            <w:hideMark/>
          </w:tcPr>
          <w:p w14:paraId="4DBAAECF" w14:textId="70F0546B" w:rsidR="00EC4C9D" w:rsidRPr="00322243" w:rsidRDefault="00EC4C9D" w:rsidP="00322243">
            <w:pPr>
              <w:pStyle w:val="TableTextcentre-strong"/>
            </w:pPr>
            <w:r w:rsidRPr="00322243">
              <w:t>YES</w:t>
            </w:r>
          </w:p>
        </w:tc>
        <w:tc>
          <w:tcPr>
            <w:tcW w:w="1418" w:type="dxa"/>
            <w:hideMark/>
          </w:tcPr>
          <w:p w14:paraId="0DD106E1" w14:textId="4EE370D3" w:rsidR="00EC4C9D" w:rsidRPr="00322243" w:rsidRDefault="00EC4C9D" w:rsidP="00322243">
            <w:pPr>
              <w:pStyle w:val="Tabletextcentre"/>
            </w:pPr>
            <w:r w:rsidRPr="00322243">
              <w:t>NO</w:t>
            </w:r>
          </w:p>
        </w:tc>
        <w:tc>
          <w:tcPr>
            <w:tcW w:w="1275" w:type="dxa"/>
            <w:hideMark/>
          </w:tcPr>
          <w:p w14:paraId="2701AAC0" w14:textId="066C347C" w:rsidR="00EC4C9D" w:rsidRPr="00322243" w:rsidRDefault="00EC4C9D" w:rsidP="00322243">
            <w:pPr>
              <w:pStyle w:val="Tabletextcentre"/>
            </w:pPr>
            <w:r w:rsidRPr="00322243">
              <w:t>NO</w:t>
            </w:r>
          </w:p>
        </w:tc>
        <w:tc>
          <w:tcPr>
            <w:tcW w:w="1276" w:type="dxa"/>
            <w:hideMark/>
          </w:tcPr>
          <w:p w14:paraId="06004665" w14:textId="002626C2" w:rsidR="00EC4C9D" w:rsidRPr="00322243" w:rsidRDefault="00EC4C9D" w:rsidP="00322243">
            <w:pPr>
              <w:pStyle w:val="Tabletextcentre"/>
            </w:pPr>
            <w:r w:rsidRPr="00322243">
              <w:t>NO</w:t>
            </w:r>
          </w:p>
        </w:tc>
      </w:tr>
    </w:tbl>
    <w:p w14:paraId="49ECC5AB" w14:textId="263CB898" w:rsidR="00676A7F" w:rsidRPr="00EC4889" w:rsidRDefault="00B7636C" w:rsidP="00EC4889">
      <w:r w:rsidRPr="00EC4889">
        <w:t xml:space="preserve">*Government providers of residential </w:t>
      </w:r>
      <w:r w:rsidR="002A4CA1" w:rsidRPr="00EC4889">
        <w:t>aged care</w:t>
      </w:r>
      <w:r w:rsidRPr="00EC4889">
        <w:t xml:space="preserve"> and</w:t>
      </w:r>
      <w:r w:rsidR="00755763" w:rsidRPr="00EC4889">
        <w:t>/or the</w:t>
      </w:r>
      <w:r w:rsidRPr="00EC4889">
        <w:t xml:space="preserve"> Support at Home </w:t>
      </w:r>
      <w:r w:rsidR="002A4CA1" w:rsidRPr="00EC4889">
        <w:t>program</w:t>
      </w:r>
      <w:r w:rsidRPr="00EC4889">
        <w:t xml:space="preserve"> are not required to complete the Consolidated Segment or Registered Provider Reporting, Movement Schedules, Financial Support Statement or </w:t>
      </w:r>
      <w:r w:rsidR="00466FAC" w:rsidRPr="00EC4889">
        <w:t xml:space="preserve">submit a </w:t>
      </w:r>
      <w:r w:rsidR="00D377EC" w:rsidRPr="00EC4889">
        <w:t>General-Purpose</w:t>
      </w:r>
      <w:r w:rsidRPr="00EC4889">
        <w:t xml:space="preserve"> Financial Statement.</w:t>
      </w:r>
    </w:p>
    <w:p w14:paraId="4F3A80D8" w14:textId="05EB9A20" w:rsidR="00094254" w:rsidRPr="00322243" w:rsidRDefault="00094254" w:rsidP="00E22085">
      <w:pPr>
        <w:pStyle w:val="ListBullet"/>
      </w:pPr>
      <w:r w:rsidRPr="00322243">
        <w:t xml:space="preserve">Providers who delivered services under the Home Care Packages </w:t>
      </w:r>
      <w:r w:rsidR="000C481D" w:rsidRPr="00322243">
        <w:t>P</w:t>
      </w:r>
      <w:r w:rsidRPr="00322243">
        <w:t xml:space="preserve">rogram and/or STRC </w:t>
      </w:r>
      <w:r w:rsidR="000C481D" w:rsidRPr="00322243">
        <w:t>P</w:t>
      </w:r>
      <w:r w:rsidRPr="00322243">
        <w:t xml:space="preserve">rogram up until 31 October 2025, must report income and expenses in the “Home Care Income and Expenditure Statement” and/or the “STRC Income and Expenditure Statement”. </w:t>
      </w:r>
    </w:p>
    <w:p w14:paraId="126DBB88" w14:textId="77777777" w:rsidR="00094254" w:rsidRPr="00322243" w:rsidRDefault="00094254" w:rsidP="00E22085">
      <w:pPr>
        <w:pStyle w:val="ListBullet"/>
      </w:pPr>
      <w:r w:rsidRPr="00322243">
        <w:t xml:space="preserve">Providers who deliver the Support at Home program from 1 November 2025 must report income and expenses in a new “Support at Home Income and Expenditure Statement”. </w:t>
      </w:r>
    </w:p>
    <w:p w14:paraId="16C01AD0" w14:textId="77777777" w:rsidR="00094254" w:rsidRPr="00322243" w:rsidRDefault="00094254" w:rsidP="00E22085">
      <w:pPr>
        <w:pStyle w:val="ListBullet"/>
      </w:pPr>
      <w:r w:rsidRPr="00322243">
        <w:t>Providers will need to attribute income and expenses received or incurred to the relevant program.</w:t>
      </w:r>
    </w:p>
    <w:p w14:paraId="2799B0BB" w14:textId="35C79104" w:rsidR="00061EE9" w:rsidRPr="00322243" w:rsidRDefault="00061EE9" w:rsidP="00322243">
      <w:r w:rsidRPr="00322243">
        <w:t xml:space="preserve">The table below outlines the reporting requirements in the ACFR 2025-26 for providers of Home Care Packages </w:t>
      </w:r>
      <w:r w:rsidR="009578C1" w:rsidRPr="00322243">
        <w:t>P</w:t>
      </w:r>
      <w:r w:rsidRPr="00322243">
        <w:t xml:space="preserve">rogram, STRC </w:t>
      </w:r>
      <w:r w:rsidR="009578C1" w:rsidRPr="00322243">
        <w:t>P</w:t>
      </w:r>
      <w:r w:rsidRPr="00322243">
        <w:t xml:space="preserve">rogram and Support at Home program: </w:t>
      </w:r>
    </w:p>
    <w:tbl>
      <w:tblPr>
        <w:tblStyle w:val="PHNGreyTable"/>
        <w:tblW w:w="8926" w:type="dxa"/>
        <w:tblLayout w:type="fixed"/>
        <w:tblLook w:val="04A0" w:firstRow="1" w:lastRow="0" w:firstColumn="1" w:lastColumn="0" w:noHBand="0" w:noVBand="1"/>
      </w:tblPr>
      <w:tblGrid>
        <w:gridCol w:w="3256"/>
        <w:gridCol w:w="1559"/>
        <w:gridCol w:w="1134"/>
        <w:gridCol w:w="1276"/>
        <w:gridCol w:w="1701"/>
      </w:tblGrid>
      <w:tr w:rsidR="00D17953" w:rsidRPr="00EA55D0" w14:paraId="40D04FE4" w14:textId="77777777" w:rsidTr="008430E8">
        <w:trPr>
          <w:cnfStyle w:val="100000000000" w:firstRow="1" w:lastRow="0" w:firstColumn="0" w:lastColumn="0" w:oddVBand="0" w:evenVBand="0" w:oddHBand="0" w:evenHBand="0" w:firstRowFirstColumn="0" w:firstRowLastColumn="0" w:lastRowFirstColumn="0" w:lastRowLastColumn="0"/>
          <w:trHeight w:val="317"/>
          <w:tblHeader/>
        </w:trPr>
        <w:tc>
          <w:tcPr>
            <w:tcW w:w="3256" w:type="dxa"/>
            <w:vMerge w:val="restart"/>
            <w:tcBorders>
              <w:top w:val="single" w:sz="4" w:space="0" w:color="auto"/>
              <w:left w:val="single" w:sz="4" w:space="0" w:color="auto"/>
              <w:bottom w:val="single" w:sz="4" w:space="0" w:color="auto"/>
              <w:right w:val="single" w:sz="4" w:space="0" w:color="auto"/>
            </w:tcBorders>
            <w:hideMark/>
          </w:tcPr>
          <w:p w14:paraId="4E1DC85B" w14:textId="77777777" w:rsidR="00061EE9" w:rsidRPr="00EA55D0" w:rsidRDefault="00061EE9" w:rsidP="008430E8">
            <w:pPr>
              <w:pStyle w:val="TableHeaderWhite"/>
              <w:rPr>
                <w:rFonts w:cs="Arial"/>
                <w:b/>
                <w:lang w:val="en-AU" w:eastAsia="zh-CN" w:bidi="th-TH"/>
              </w:rPr>
            </w:pPr>
            <w:r w:rsidRPr="00EA55D0">
              <w:rPr>
                <w:rFonts w:cs="Arial"/>
                <w:b/>
                <w:lang w:val="en-AU" w:eastAsia="zh-CN" w:bidi="th-TH"/>
              </w:rPr>
              <w:t>Form Name</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79C1D67" w14:textId="77777777" w:rsidR="00061EE9" w:rsidRPr="00EA55D0" w:rsidRDefault="00061EE9" w:rsidP="008430E8">
            <w:pPr>
              <w:pStyle w:val="TableHeaderWhite"/>
              <w:rPr>
                <w:rFonts w:cs="Arial"/>
                <w:b/>
                <w:lang w:val="en-AU" w:eastAsia="zh-CN" w:bidi="th-TH"/>
              </w:rPr>
            </w:pPr>
            <w:r w:rsidRPr="00EA55D0">
              <w:rPr>
                <w:rFonts w:cs="Arial"/>
                <w:b/>
                <w:lang w:val="en-AU" w:eastAsia="zh-CN" w:bidi="th-TH"/>
              </w:rPr>
              <w:t>Data Collection Level</w:t>
            </w:r>
          </w:p>
        </w:tc>
        <w:tc>
          <w:tcPr>
            <w:tcW w:w="2410" w:type="dxa"/>
            <w:gridSpan w:val="2"/>
            <w:tcBorders>
              <w:top w:val="single" w:sz="4" w:space="0" w:color="auto"/>
              <w:left w:val="single" w:sz="4" w:space="0" w:color="auto"/>
              <w:bottom w:val="single" w:sz="4" w:space="0" w:color="auto"/>
              <w:right w:val="single" w:sz="4" w:space="0" w:color="auto"/>
            </w:tcBorders>
            <w:hideMark/>
          </w:tcPr>
          <w:p w14:paraId="6B20EA28" w14:textId="77777777" w:rsidR="00061EE9" w:rsidRPr="00EA55D0" w:rsidRDefault="00061EE9" w:rsidP="008430E8">
            <w:pPr>
              <w:pStyle w:val="TableHeaderWhite"/>
              <w:rPr>
                <w:rFonts w:cs="Arial"/>
                <w:lang w:val="en-AU" w:eastAsia="zh-CN" w:bidi="th-TH"/>
              </w:rPr>
            </w:pPr>
            <w:r w:rsidRPr="00EA55D0">
              <w:rPr>
                <w:rFonts w:cs="Arial"/>
                <w:b/>
                <w:lang w:val="en-AU" w:eastAsia="zh-CN" w:bidi="th-TH"/>
              </w:rPr>
              <w:t>Pre-1 November 2025</w:t>
            </w:r>
          </w:p>
        </w:tc>
        <w:tc>
          <w:tcPr>
            <w:tcW w:w="1701" w:type="dxa"/>
            <w:tcBorders>
              <w:top w:val="single" w:sz="4" w:space="0" w:color="auto"/>
              <w:left w:val="single" w:sz="4" w:space="0" w:color="auto"/>
              <w:bottom w:val="single" w:sz="4" w:space="0" w:color="auto"/>
              <w:right w:val="single" w:sz="4" w:space="0" w:color="auto"/>
            </w:tcBorders>
          </w:tcPr>
          <w:p w14:paraId="68C3F664" w14:textId="77777777" w:rsidR="00061EE9" w:rsidRPr="00EA55D0" w:rsidRDefault="00061EE9" w:rsidP="008430E8">
            <w:pPr>
              <w:pStyle w:val="TableHeaderWhite"/>
              <w:rPr>
                <w:rFonts w:cs="Arial"/>
                <w:b/>
                <w:lang w:val="en-AU" w:eastAsia="zh-CN" w:bidi="th-TH"/>
              </w:rPr>
            </w:pPr>
            <w:r w:rsidRPr="00EA55D0">
              <w:rPr>
                <w:rFonts w:cs="Arial"/>
                <w:b/>
                <w:lang w:val="en-AU" w:eastAsia="zh-CN" w:bidi="th-TH"/>
              </w:rPr>
              <w:t>Post-1 November 2025</w:t>
            </w:r>
          </w:p>
        </w:tc>
      </w:tr>
      <w:tr w:rsidR="00D17953" w:rsidRPr="00EA55D0" w14:paraId="6CDFC997" w14:textId="77777777" w:rsidTr="008430E8">
        <w:trPr>
          <w:cnfStyle w:val="100000000000" w:firstRow="1" w:lastRow="0" w:firstColumn="0" w:lastColumn="0" w:oddVBand="0" w:evenVBand="0" w:oddHBand="0" w:evenHBand="0" w:firstRowFirstColumn="0" w:firstRowLastColumn="0" w:lastRowFirstColumn="0" w:lastRowLastColumn="0"/>
          <w:trHeight w:val="474"/>
          <w:tblHeader/>
        </w:trPr>
        <w:tc>
          <w:tcPr>
            <w:tcW w:w="3256" w:type="dxa"/>
            <w:vMerge/>
            <w:tcBorders>
              <w:top w:val="single" w:sz="4" w:space="0" w:color="auto"/>
            </w:tcBorders>
            <w:hideMark/>
          </w:tcPr>
          <w:p w14:paraId="1295B772" w14:textId="77777777" w:rsidR="00061EE9" w:rsidRPr="00EA55D0" w:rsidRDefault="00061EE9" w:rsidP="008430E8">
            <w:pPr>
              <w:pStyle w:val="TableHeaderWhite"/>
              <w:rPr>
                <w:rFonts w:cs="Arial"/>
                <w:b/>
                <w:lang w:val="en-AU" w:eastAsia="zh-CN" w:bidi="th-TH"/>
              </w:rPr>
            </w:pPr>
          </w:p>
        </w:tc>
        <w:tc>
          <w:tcPr>
            <w:tcW w:w="1559" w:type="dxa"/>
            <w:vMerge/>
            <w:tcBorders>
              <w:top w:val="single" w:sz="4" w:space="0" w:color="auto"/>
            </w:tcBorders>
            <w:hideMark/>
          </w:tcPr>
          <w:p w14:paraId="14AB4D2F" w14:textId="77777777" w:rsidR="00061EE9" w:rsidRPr="00EA55D0" w:rsidRDefault="00061EE9" w:rsidP="008430E8">
            <w:pPr>
              <w:pStyle w:val="TableHeaderWhite"/>
              <w:rPr>
                <w:rFonts w:cs="Arial"/>
                <w:b/>
                <w:lang w:val="en-AU" w:eastAsia="zh-CN" w:bidi="th-TH"/>
              </w:rPr>
            </w:pPr>
          </w:p>
        </w:tc>
        <w:tc>
          <w:tcPr>
            <w:tcW w:w="1134" w:type="dxa"/>
            <w:tcBorders>
              <w:top w:val="single" w:sz="4" w:space="0" w:color="auto"/>
            </w:tcBorders>
            <w:shd w:val="clear" w:color="auto" w:fill="1E1545" w:themeFill="text1"/>
            <w:hideMark/>
          </w:tcPr>
          <w:p w14:paraId="0ABCC378" w14:textId="77777777" w:rsidR="00061EE9" w:rsidRPr="00EA55D0" w:rsidRDefault="00061EE9" w:rsidP="008430E8">
            <w:pPr>
              <w:pStyle w:val="TableHeaderWhite"/>
              <w:rPr>
                <w:rFonts w:cs="Arial"/>
                <w:lang w:val="en-AU"/>
              </w:rPr>
            </w:pPr>
            <w:r w:rsidRPr="00EA55D0">
              <w:rPr>
                <w:rFonts w:cs="Arial"/>
                <w:lang w:val="en-AU"/>
              </w:rPr>
              <w:t>Home Care</w:t>
            </w:r>
          </w:p>
        </w:tc>
        <w:tc>
          <w:tcPr>
            <w:tcW w:w="1276" w:type="dxa"/>
            <w:tcBorders>
              <w:top w:val="single" w:sz="4" w:space="0" w:color="auto"/>
            </w:tcBorders>
            <w:shd w:val="clear" w:color="auto" w:fill="1E1545" w:themeFill="text1"/>
            <w:hideMark/>
          </w:tcPr>
          <w:p w14:paraId="06A37956" w14:textId="77777777" w:rsidR="00061EE9" w:rsidRPr="00EA55D0" w:rsidRDefault="00061EE9" w:rsidP="008430E8">
            <w:pPr>
              <w:pStyle w:val="TableHeaderWhite"/>
              <w:rPr>
                <w:rFonts w:cs="Arial"/>
                <w:lang w:val="en-AU"/>
              </w:rPr>
            </w:pPr>
            <w:r w:rsidRPr="00EA55D0">
              <w:rPr>
                <w:rFonts w:cs="Arial"/>
                <w:lang w:val="en-AU"/>
              </w:rPr>
              <w:t>STRC</w:t>
            </w:r>
          </w:p>
        </w:tc>
        <w:tc>
          <w:tcPr>
            <w:tcW w:w="1701" w:type="dxa"/>
            <w:shd w:val="clear" w:color="auto" w:fill="1E1545" w:themeFill="text1"/>
          </w:tcPr>
          <w:p w14:paraId="48728832" w14:textId="77777777" w:rsidR="00061EE9" w:rsidRPr="00EA55D0" w:rsidRDefault="00061EE9" w:rsidP="008430E8">
            <w:pPr>
              <w:pStyle w:val="TableHeaderWhite"/>
              <w:rPr>
                <w:rFonts w:cs="Arial"/>
                <w:lang w:val="en-AU"/>
              </w:rPr>
            </w:pPr>
            <w:r w:rsidRPr="00EA55D0">
              <w:rPr>
                <w:rFonts w:cs="Arial"/>
                <w:lang w:val="en-AU"/>
              </w:rPr>
              <w:t>Support at Home</w:t>
            </w:r>
          </w:p>
        </w:tc>
      </w:tr>
      <w:tr w:rsidR="00061EE9" w:rsidRPr="00EA55D0" w14:paraId="1A612EA3" w14:textId="77777777" w:rsidTr="008430E8">
        <w:trPr>
          <w:trHeight w:val="567"/>
        </w:trPr>
        <w:tc>
          <w:tcPr>
            <w:tcW w:w="3256" w:type="dxa"/>
            <w:hideMark/>
          </w:tcPr>
          <w:p w14:paraId="6045A77B" w14:textId="77777777" w:rsidR="00061EE9" w:rsidRPr="008430E8" w:rsidRDefault="00061EE9" w:rsidP="008430E8">
            <w:pPr>
              <w:rPr>
                <w:lang w:eastAsia="zh-CN" w:bidi="th-TH"/>
              </w:rPr>
            </w:pPr>
            <w:r w:rsidRPr="008430E8">
              <w:rPr>
                <w:lang w:eastAsia="zh-CN" w:bidi="th-TH"/>
              </w:rPr>
              <w:t xml:space="preserve">Home Care Income and Expenditure Statement </w:t>
            </w:r>
          </w:p>
        </w:tc>
        <w:tc>
          <w:tcPr>
            <w:tcW w:w="1559" w:type="dxa"/>
            <w:hideMark/>
          </w:tcPr>
          <w:p w14:paraId="6B36FCD0" w14:textId="77777777" w:rsidR="00061EE9" w:rsidRPr="008430E8" w:rsidRDefault="00061EE9" w:rsidP="008430E8">
            <w:pPr>
              <w:rPr>
                <w:lang w:eastAsia="zh-CN" w:bidi="th-TH"/>
              </w:rPr>
            </w:pPr>
            <w:r w:rsidRPr="008430E8">
              <w:rPr>
                <w:lang w:eastAsia="zh-CN" w:bidi="th-TH"/>
              </w:rPr>
              <w:t>Program level</w:t>
            </w:r>
          </w:p>
        </w:tc>
        <w:tc>
          <w:tcPr>
            <w:tcW w:w="1134" w:type="dxa"/>
            <w:hideMark/>
          </w:tcPr>
          <w:p w14:paraId="378D9D51" w14:textId="77777777" w:rsidR="00061EE9" w:rsidRPr="008430E8" w:rsidRDefault="00061EE9" w:rsidP="008430E8">
            <w:pPr>
              <w:pStyle w:val="TableTextcentre-strong"/>
              <w:rPr>
                <w:lang w:eastAsia="zh-CN" w:bidi="th-TH"/>
              </w:rPr>
            </w:pPr>
            <w:r w:rsidRPr="008430E8">
              <w:rPr>
                <w:lang w:eastAsia="zh-CN" w:bidi="th-TH"/>
              </w:rPr>
              <w:t>YES</w:t>
            </w:r>
          </w:p>
        </w:tc>
        <w:tc>
          <w:tcPr>
            <w:tcW w:w="1276" w:type="dxa"/>
            <w:hideMark/>
          </w:tcPr>
          <w:p w14:paraId="4ED8F9AD" w14:textId="77777777" w:rsidR="00061EE9" w:rsidRPr="00322243" w:rsidRDefault="00061EE9" w:rsidP="008430E8">
            <w:pPr>
              <w:pStyle w:val="Tabletextcentre"/>
              <w:rPr>
                <w:lang w:eastAsia="zh-CN" w:bidi="th-TH"/>
              </w:rPr>
            </w:pPr>
            <w:r w:rsidRPr="00322243">
              <w:rPr>
                <w:lang w:eastAsia="zh-CN" w:bidi="th-TH"/>
              </w:rPr>
              <w:t>NO</w:t>
            </w:r>
          </w:p>
        </w:tc>
        <w:tc>
          <w:tcPr>
            <w:tcW w:w="1701" w:type="dxa"/>
          </w:tcPr>
          <w:p w14:paraId="74EF4619" w14:textId="77777777" w:rsidR="00061EE9" w:rsidRPr="00322243" w:rsidRDefault="00061EE9" w:rsidP="008430E8">
            <w:pPr>
              <w:pStyle w:val="Tabletextcentre"/>
              <w:rPr>
                <w:lang w:bidi="th-TH"/>
              </w:rPr>
            </w:pPr>
            <w:r w:rsidRPr="00322243">
              <w:rPr>
                <w:lang w:bidi="th-TH"/>
              </w:rPr>
              <w:t>NO</w:t>
            </w:r>
          </w:p>
        </w:tc>
      </w:tr>
      <w:tr w:rsidR="00061EE9" w:rsidRPr="00EA55D0" w14:paraId="56E48A0F" w14:textId="77777777" w:rsidTr="008430E8">
        <w:trPr>
          <w:trHeight w:val="567"/>
        </w:trPr>
        <w:tc>
          <w:tcPr>
            <w:tcW w:w="3256" w:type="dxa"/>
            <w:hideMark/>
          </w:tcPr>
          <w:p w14:paraId="1D46D8F1" w14:textId="77777777" w:rsidR="00061EE9" w:rsidRPr="008430E8" w:rsidRDefault="00061EE9" w:rsidP="008430E8">
            <w:pPr>
              <w:rPr>
                <w:lang w:eastAsia="zh-CN" w:bidi="th-TH"/>
              </w:rPr>
            </w:pPr>
            <w:r w:rsidRPr="008430E8">
              <w:rPr>
                <w:lang w:eastAsia="zh-CN" w:bidi="th-TH"/>
              </w:rPr>
              <w:t>STRC Income and Expenditure Statement</w:t>
            </w:r>
          </w:p>
        </w:tc>
        <w:tc>
          <w:tcPr>
            <w:tcW w:w="1559" w:type="dxa"/>
            <w:hideMark/>
          </w:tcPr>
          <w:p w14:paraId="41FD5218" w14:textId="77777777" w:rsidR="00061EE9" w:rsidRPr="008430E8" w:rsidRDefault="00061EE9" w:rsidP="008430E8">
            <w:pPr>
              <w:rPr>
                <w:lang w:eastAsia="zh-CN" w:bidi="th-TH"/>
              </w:rPr>
            </w:pPr>
            <w:r w:rsidRPr="008430E8">
              <w:rPr>
                <w:lang w:eastAsia="zh-CN" w:bidi="th-TH"/>
              </w:rPr>
              <w:t>Program level</w:t>
            </w:r>
          </w:p>
        </w:tc>
        <w:tc>
          <w:tcPr>
            <w:tcW w:w="1134" w:type="dxa"/>
            <w:hideMark/>
          </w:tcPr>
          <w:p w14:paraId="2E433391" w14:textId="77777777" w:rsidR="00061EE9" w:rsidRPr="00322243" w:rsidRDefault="00061EE9" w:rsidP="008430E8">
            <w:pPr>
              <w:pStyle w:val="Tabletextcentre"/>
              <w:rPr>
                <w:lang w:eastAsia="zh-CN" w:bidi="th-TH"/>
              </w:rPr>
            </w:pPr>
            <w:r w:rsidRPr="00322243">
              <w:rPr>
                <w:lang w:eastAsia="zh-CN" w:bidi="th-TH"/>
              </w:rPr>
              <w:t>NO</w:t>
            </w:r>
          </w:p>
        </w:tc>
        <w:tc>
          <w:tcPr>
            <w:tcW w:w="1276" w:type="dxa"/>
            <w:hideMark/>
          </w:tcPr>
          <w:p w14:paraId="631E1B23" w14:textId="77777777" w:rsidR="00061EE9" w:rsidRPr="008430E8" w:rsidRDefault="00061EE9" w:rsidP="008430E8">
            <w:pPr>
              <w:pStyle w:val="TableTextcentre-strong"/>
              <w:rPr>
                <w:lang w:eastAsia="zh-CN" w:bidi="th-TH"/>
              </w:rPr>
            </w:pPr>
            <w:r w:rsidRPr="008430E8">
              <w:rPr>
                <w:lang w:eastAsia="zh-CN" w:bidi="th-TH"/>
              </w:rPr>
              <w:t>YES</w:t>
            </w:r>
          </w:p>
        </w:tc>
        <w:tc>
          <w:tcPr>
            <w:tcW w:w="1701" w:type="dxa"/>
          </w:tcPr>
          <w:p w14:paraId="15040946" w14:textId="77777777" w:rsidR="00061EE9" w:rsidRPr="00322243" w:rsidRDefault="00061EE9" w:rsidP="008430E8">
            <w:pPr>
              <w:pStyle w:val="Tabletextcentre"/>
              <w:rPr>
                <w:lang w:bidi="th-TH"/>
              </w:rPr>
            </w:pPr>
            <w:r w:rsidRPr="00322243">
              <w:rPr>
                <w:lang w:bidi="th-TH"/>
              </w:rPr>
              <w:t>NO</w:t>
            </w:r>
          </w:p>
        </w:tc>
      </w:tr>
      <w:tr w:rsidR="00061EE9" w:rsidRPr="00EA55D0" w14:paraId="3E44F574" w14:textId="77777777" w:rsidTr="008430E8">
        <w:trPr>
          <w:trHeight w:val="567"/>
        </w:trPr>
        <w:tc>
          <w:tcPr>
            <w:tcW w:w="3256" w:type="dxa"/>
          </w:tcPr>
          <w:p w14:paraId="1891542B" w14:textId="77777777" w:rsidR="00061EE9" w:rsidRPr="008430E8" w:rsidRDefault="00061EE9" w:rsidP="008430E8">
            <w:pPr>
              <w:rPr>
                <w:lang w:bidi="th-TH"/>
              </w:rPr>
            </w:pPr>
            <w:r w:rsidRPr="008430E8">
              <w:rPr>
                <w:lang w:bidi="th-TH"/>
              </w:rPr>
              <w:t>Support at Home Income and Expenditure Statement</w:t>
            </w:r>
          </w:p>
        </w:tc>
        <w:tc>
          <w:tcPr>
            <w:tcW w:w="1559" w:type="dxa"/>
          </w:tcPr>
          <w:p w14:paraId="1A56AC9F" w14:textId="77777777" w:rsidR="00061EE9" w:rsidRPr="008430E8" w:rsidRDefault="00061EE9" w:rsidP="008430E8">
            <w:pPr>
              <w:rPr>
                <w:lang w:bidi="th-TH"/>
              </w:rPr>
            </w:pPr>
            <w:r w:rsidRPr="008430E8">
              <w:rPr>
                <w:lang w:bidi="th-TH"/>
              </w:rPr>
              <w:t>Program level</w:t>
            </w:r>
          </w:p>
        </w:tc>
        <w:tc>
          <w:tcPr>
            <w:tcW w:w="1134" w:type="dxa"/>
          </w:tcPr>
          <w:p w14:paraId="0A290FAE" w14:textId="77777777" w:rsidR="00061EE9" w:rsidRPr="00322243" w:rsidRDefault="00061EE9" w:rsidP="008430E8">
            <w:pPr>
              <w:pStyle w:val="Tabletextcentre"/>
              <w:rPr>
                <w:lang w:bidi="th-TH"/>
              </w:rPr>
            </w:pPr>
            <w:r w:rsidRPr="00322243">
              <w:rPr>
                <w:lang w:bidi="th-TH"/>
              </w:rPr>
              <w:t>NO</w:t>
            </w:r>
          </w:p>
        </w:tc>
        <w:tc>
          <w:tcPr>
            <w:tcW w:w="1276" w:type="dxa"/>
          </w:tcPr>
          <w:p w14:paraId="644B375D" w14:textId="77777777" w:rsidR="00061EE9" w:rsidRPr="00322243" w:rsidRDefault="00061EE9" w:rsidP="008430E8">
            <w:pPr>
              <w:pStyle w:val="Tabletextcentre"/>
              <w:rPr>
                <w:lang w:bidi="th-TH"/>
              </w:rPr>
            </w:pPr>
            <w:r w:rsidRPr="00322243">
              <w:rPr>
                <w:lang w:bidi="th-TH"/>
              </w:rPr>
              <w:t>NO</w:t>
            </w:r>
          </w:p>
        </w:tc>
        <w:tc>
          <w:tcPr>
            <w:tcW w:w="1701" w:type="dxa"/>
          </w:tcPr>
          <w:p w14:paraId="3497CA9F" w14:textId="77777777" w:rsidR="00061EE9" w:rsidRPr="008430E8" w:rsidRDefault="00061EE9" w:rsidP="008430E8">
            <w:pPr>
              <w:pStyle w:val="TableTextcentre-strong"/>
              <w:rPr>
                <w:lang w:bidi="th-TH"/>
              </w:rPr>
            </w:pPr>
            <w:r w:rsidRPr="008430E8">
              <w:rPr>
                <w:lang w:bidi="th-TH"/>
              </w:rPr>
              <w:t>YES</w:t>
            </w:r>
          </w:p>
        </w:tc>
      </w:tr>
    </w:tbl>
    <w:p w14:paraId="4169348E" w14:textId="2170C8E3" w:rsidR="00695790" w:rsidRPr="00271D9E" w:rsidRDefault="00695790" w:rsidP="00271D9E">
      <w:pPr>
        <w:pStyle w:val="Heading2"/>
      </w:pPr>
      <w:bookmarkStart w:id="5" w:name="_Toc209078242"/>
      <w:r w:rsidRPr="00271D9E">
        <w:t>Declaration</w:t>
      </w:r>
    </w:p>
    <w:p w14:paraId="7C11F563" w14:textId="77777777" w:rsidR="00695790" w:rsidRPr="00EA55D0" w:rsidRDefault="00695790" w:rsidP="00695790">
      <w:pPr>
        <w:rPr>
          <w:rFonts w:cs="Arial"/>
        </w:rPr>
      </w:pPr>
      <w:r w:rsidRPr="00EA55D0">
        <w:rPr>
          <w:rFonts w:cs="Arial"/>
        </w:rPr>
        <w:t xml:space="preserve">The ACFR declaration will become available to download from the portal once all the required sections of the ACFR have been successfully completed. </w:t>
      </w:r>
    </w:p>
    <w:p w14:paraId="57FFD3F2" w14:textId="746555D6" w:rsidR="00695790" w:rsidRPr="00BD34E9" w:rsidRDefault="00695790" w:rsidP="00695790">
      <w:pPr>
        <w:rPr>
          <w:rFonts w:cs="Arial"/>
        </w:rPr>
      </w:pPr>
      <w:r w:rsidRPr="00BD34E9">
        <w:rPr>
          <w:rFonts w:cs="Arial"/>
        </w:rPr>
        <w:t xml:space="preserve">Subsection 166-310(3) of the Rules requires that the ACFR </w:t>
      </w:r>
      <w:r w:rsidR="001E3B8E" w:rsidRPr="0077568C">
        <w:t>must be in the approved</w:t>
      </w:r>
      <w:r w:rsidR="00E64AA7">
        <w:t xml:space="preserve"> report</w:t>
      </w:r>
      <w:r w:rsidR="001E3B8E" w:rsidRPr="0077568C">
        <w:t xml:space="preserve"> form and signed by a member of the governing body of the registered provider.</w:t>
      </w:r>
    </w:p>
    <w:p w14:paraId="0C72C3DB" w14:textId="4F6B1844" w:rsidR="00695790" w:rsidRPr="00BD34E9" w:rsidRDefault="00695790" w:rsidP="00695790">
      <w:pPr>
        <w:rPr>
          <w:rFonts w:cs="Arial"/>
        </w:rPr>
      </w:pPr>
      <w:r w:rsidRPr="00BD34E9">
        <w:rPr>
          <w:rFonts w:cs="Arial"/>
        </w:rPr>
        <w:t xml:space="preserve">Section 7 of the Act, </w:t>
      </w:r>
      <w:r w:rsidR="00E64AA7">
        <w:rPr>
          <w:rFonts w:cs="Arial"/>
        </w:rPr>
        <w:t xml:space="preserve">defines </w:t>
      </w:r>
      <w:r w:rsidRPr="00BD34E9">
        <w:rPr>
          <w:rFonts w:cs="Arial"/>
        </w:rPr>
        <w:t>governing body of a registered provider as:</w:t>
      </w:r>
    </w:p>
    <w:p w14:paraId="29D07357" w14:textId="46998AB1" w:rsidR="00695790" w:rsidRPr="00322243" w:rsidRDefault="00695790" w:rsidP="00E22085">
      <w:pPr>
        <w:pStyle w:val="ListNumber3"/>
      </w:pPr>
      <w:r w:rsidRPr="00BD34E9">
        <w:t xml:space="preserve">if the registered provider is a body corporate incorporated, or taken to be incorporated, under the </w:t>
      </w:r>
      <w:r w:rsidRPr="00BD34E9">
        <w:rPr>
          <w:i/>
          <w:iCs/>
        </w:rPr>
        <w:t>Corporations Act 2001</w:t>
      </w:r>
      <w:r w:rsidRPr="00BD34E9">
        <w:t>, that has a board of directors—</w:t>
      </w:r>
      <w:r w:rsidRPr="00322243">
        <w:t xml:space="preserve">the board of directors; or </w:t>
      </w:r>
    </w:p>
    <w:p w14:paraId="3CE58EB9" w14:textId="22EF5D5D" w:rsidR="00695790" w:rsidRPr="00322243" w:rsidRDefault="00695790" w:rsidP="00E22085">
      <w:pPr>
        <w:pStyle w:val="ListNumber3"/>
      </w:pPr>
      <w:r w:rsidRPr="00322243">
        <w:t xml:space="preserve">otherwise—the person or the group of </w:t>
      </w:r>
      <w:proofErr w:type="gramStart"/>
      <w:r w:rsidRPr="00322243">
        <w:t>persons</w:t>
      </w:r>
      <w:proofErr w:type="gramEnd"/>
      <w:r w:rsidRPr="00322243">
        <w:t xml:space="preserve"> responsible for the executive decisions of the registered provider. </w:t>
      </w:r>
    </w:p>
    <w:p w14:paraId="08AF0B9B" w14:textId="77777777" w:rsidR="0077568C" w:rsidRPr="00EC4889" w:rsidRDefault="00695790" w:rsidP="00EC4889">
      <w:pPr>
        <w:rPr>
          <w:rStyle w:val="Strong"/>
        </w:rPr>
      </w:pPr>
      <w:r w:rsidRPr="00EC4889">
        <w:rPr>
          <w:rStyle w:val="Strong"/>
        </w:rPr>
        <w:t>To avoid delays in submitting the ACFR, it is recommended that providers have at least two signatories available to ensure coverage in the event the regular signatory is not available.</w:t>
      </w:r>
    </w:p>
    <w:p w14:paraId="4BE22B42" w14:textId="107FDC58" w:rsidR="008C4CF6" w:rsidRPr="00271D9E" w:rsidRDefault="008C4CF6" w:rsidP="00271D9E">
      <w:pPr>
        <w:pStyle w:val="Heading2"/>
      </w:pPr>
      <w:r w:rsidRPr="00271D9E">
        <w:t>Submission Due Date</w:t>
      </w:r>
      <w:bookmarkEnd w:id="5"/>
    </w:p>
    <w:p w14:paraId="7FC693F1" w14:textId="6C479A19" w:rsidR="006F1812" w:rsidRDefault="006F1812" w:rsidP="00B174CE">
      <w:pPr>
        <w:rPr>
          <w:rFonts w:cs="Arial"/>
        </w:rPr>
      </w:pPr>
      <w:r w:rsidRPr="006F1812">
        <w:rPr>
          <w:rFonts w:cs="Arial"/>
        </w:rPr>
        <w:t>Subsection 166-310(3) of the Aged Care Rules 2025 sets out that ACFRs are due within 4 months after the end of each reporting period for the registered provider. For providers reporting on the standard financial year ending 30 June, the ACFR must be lodged by 31 October each year</w:t>
      </w:r>
      <w:r w:rsidR="00431B4F">
        <w:rPr>
          <w:rFonts w:cs="Arial"/>
        </w:rPr>
        <w:t>.</w:t>
      </w:r>
    </w:p>
    <w:p w14:paraId="3BE29E23" w14:textId="03D470FC" w:rsidR="00E82075" w:rsidRDefault="00E82075" w:rsidP="00B174CE">
      <w:pPr>
        <w:rPr>
          <w:rFonts w:cs="Arial"/>
        </w:rPr>
      </w:pPr>
      <w:r w:rsidRPr="00EA55D0">
        <w:rPr>
          <w:rFonts w:cs="Arial"/>
        </w:rPr>
        <w:t>Providers are encouraged to complete and lodge their ACFR early so that there is adequate time to address any issues and finalise all components of the ACFR.</w:t>
      </w:r>
    </w:p>
    <w:p w14:paraId="4F2F3716" w14:textId="178ACD79" w:rsidR="00B12719" w:rsidRPr="00271D9E" w:rsidRDefault="00B12719" w:rsidP="00271D9E">
      <w:pPr>
        <w:pStyle w:val="Heading2"/>
      </w:pPr>
      <w:r w:rsidRPr="00271D9E">
        <w:t>Late Submissions</w:t>
      </w:r>
    </w:p>
    <w:p w14:paraId="3111A08D" w14:textId="5E980233" w:rsidR="003C1654" w:rsidRPr="00D934A4" w:rsidRDefault="003C1654" w:rsidP="003C1654">
      <w:pPr>
        <w:rPr>
          <w:rFonts w:cs="Arial"/>
        </w:rPr>
      </w:pPr>
      <w:r w:rsidRPr="00D934A4">
        <w:rPr>
          <w:rFonts w:cs="Arial"/>
        </w:rPr>
        <w:t xml:space="preserve">There is no legislative authority to grant an extension to the due date. </w:t>
      </w:r>
    </w:p>
    <w:p w14:paraId="0C4903EA" w14:textId="1EC39127" w:rsidR="003C1654" w:rsidRPr="00D934A4" w:rsidRDefault="003C1654" w:rsidP="003C1654">
      <w:pPr>
        <w:rPr>
          <w:rFonts w:cs="Arial"/>
        </w:rPr>
      </w:pPr>
      <w:r w:rsidRPr="00D934A4">
        <w:rPr>
          <w:rFonts w:cs="Arial"/>
        </w:rPr>
        <w:t xml:space="preserve">The Aged Care Quality and Safety Commission (ACQSC) monitors compliance with lodgement timeframes. They may take formal compliance action where other regulatory approaches, such as reminders and cautioning of providers, do not result in timely lodgement. </w:t>
      </w:r>
    </w:p>
    <w:p w14:paraId="66AA4105" w14:textId="5DDB8C23" w:rsidR="00463497" w:rsidRPr="00271D9E" w:rsidRDefault="00463497" w:rsidP="00271D9E">
      <w:pPr>
        <w:pStyle w:val="Heading2"/>
      </w:pPr>
      <w:r w:rsidRPr="00271D9E">
        <w:t xml:space="preserve">Non-compliance with reporting obligations </w:t>
      </w:r>
    </w:p>
    <w:p w14:paraId="30473B01" w14:textId="77777777" w:rsidR="006D4C9A" w:rsidRPr="00D934A4" w:rsidRDefault="006D4C9A" w:rsidP="006D4C9A">
      <w:pPr>
        <w:rPr>
          <w:rFonts w:cs="Arial"/>
        </w:rPr>
      </w:pPr>
      <w:r w:rsidRPr="00D934A4">
        <w:rPr>
          <w:rFonts w:cs="Arial"/>
        </w:rPr>
        <w:t>Where a provider fails to meet reporting obligations, the ACQSC will consider a range of regulatory actions. Depending on the nature and extent of the non-compliance, this may involve engaging with a provider via telephone/email, issuing a notice requiring the production of information, or taking enforceable regulatory action. </w:t>
      </w:r>
    </w:p>
    <w:p w14:paraId="37AF6730" w14:textId="77777777" w:rsidR="006D4C9A" w:rsidRPr="00D934A4" w:rsidRDefault="006D4C9A" w:rsidP="006D4C9A">
      <w:pPr>
        <w:rPr>
          <w:rFonts w:cs="Arial"/>
        </w:rPr>
      </w:pPr>
      <w:r w:rsidRPr="00D934A4">
        <w:rPr>
          <w:rFonts w:cs="Arial"/>
        </w:rPr>
        <w:t>The ACQSC maintains records of providers’ compliance with reporting requirements. This is considered in conjunction with other performance information, including quality of care, to determine the provider’s overall risk profile and inform the ACQSC’s response to the non-compliance issue(s). The approach taken will be proportionate and risk based. </w:t>
      </w:r>
    </w:p>
    <w:p w14:paraId="5F1668E6" w14:textId="77777777" w:rsidR="006D4C9A" w:rsidRPr="00D934A4" w:rsidRDefault="006D4C9A" w:rsidP="006D4C9A">
      <w:pPr>
        <w:rPr>
          <w:rFonts w:cs="Arial"/>
        </w:rPr>
      </w:pPr>
      <w:r w:rsidRPr="00D934A4">
        <w:rPr>
          <w:rFonts w:cs="Arial"/>
        </w:rPr>
        <w:t>The ACQSC considers factors such as: </w:t>
      </w:r>
    </w:p>
    <w:p w14:paraId="79C33A95" w14:textId="77777777" w:rsidR="006D4C9A" w:rsidRPr="00D934A4" w:rsidRDefault="006D4C9A" w:rsidP="005274C5">
      <w:pPr>
        <w:pStyle w:val="ListBullet"/>
      </w:pPr>
      <w:r w:rsidRPr="00D934A4">
        <w:t>the frequency and timing of the non-reporting </w:t>
      </w:r>
    </w:p>
    <w:p w14:paraId="51AB7012" w14:textId="77777777" w:rsidR="006D4C9A" w:rsidRPr="00D934A4" w:rsidRDefault="006D4C9A" w:rsidP="005274C5">
      <w:pPr>
        <w:pStyle w:val="ListBullet"/>
      </w:pPr>
      <w:r w:rsidRPr="00D934A4">
        <w:t>the consequences of the non-reporting  </w:t>
      </w:r>
    </w:p>
    <w:p w14:paraId="38F74BD0" w14:textId="77777777" w:rsidR="006D4C9A" w:rsidRPr="00D934A4" w:rsidRDefault="006D4C9A" w:rsidP="005274C5">
      <w:pPr>
        <w:pStyle w:val="ListBullet"/>
      </w:pPr>
      <w:r w:rsidRPr="00D934A4">
        <w:t>whether the provider has advised the ACQSC or the department (where relevant) of the reporting delay, provided a reasonable explanation for the delay and has a reasonable plan to comply with the requirement and ensure ongoing compliance. </w:t>
      </w:r>
    </w:p>
    <w:p w14:paraId="0089C1B1" w14:textId="68F8326D" w:rsidR="00A10745" w:rsidRPr="00271D9E" w:rsidRDefault="00E57968" w:rsidP="00271D9E">
      <w:pPr>
        <w:pStyle w:val="Heading2"/>
      </w:pPr>
      <w:bookmarkStart w:id="6" w:name="_Toc209078243"/>
      <w:r w:rsidRPr="00271D9E">
        <w:t>A</w:t>
      </w:r>
      <w:r w:rsidR="00A10745" w:rsidRPr="00271D9E">
        <w:t>lternate Financial Year</w:t>
      </w:r>
      <w:bookmarkEnd w:id="6"/>
    </w:p>
    <w:p w14:paraId="7FD97808" w14:textId="143F87CD" w:rsidR="00E82075" w:rsidRPr="00D57880" w:rsidRDefault="00E82075" w:rsidP="00D57880">
      <w:r w:rsidRPr="00D57880">
        <w:t xml:space="preserve">Some providers have a financial year that is different to the standard financial year from 1 July to 30 June. Providers can request an application form </w:t>
      </w:r>
      <w:r w:rsidR="00EF3C69" w:rsidRPr="00D57880">
        <w:t xml:space="preserve">to report their ACFR </w:t>
      </w:r>
      <w:r w:rsidRPr="00D57880">
        <w:t>for a</w:t>
      </w:r>
      <w:r w:rsidR="00EF3C69" w:rsidRPr="00D57880">
        <w:t>n alternative</w:t>
      </w:r>
      <w:r w:rsidRPr="00D57880">
        <w:t xml:space="preserve"> financial year by </w:t>
      </w:r>
      <w:hyperlink r:id="rId18" w:history="1">
        <w:r w:rsidRPr="00D57880">
          <w:rPr>
            <w:rStyle w:val="Hyperlink"/>
          </w:rPr>
          <w:t>contacting Forms Administration</w:t>
        </w:r>
      </w:hyperlink>
      <w:r w:rsidRPr="00D57880">
        <w:t xml:space="preserve">. </w:t>
      </w:r>
    </w:p>
    <w:p w14:paraId="54DECA82" w14:textId="6BCAD8E9" w:rsidR="00E82075" w:rsidRPr="00EA55D0" w:rsidRDefault="00E82075" w:rsidP="00B64109">
      <w:pPr>
        <w:rPr>
          <w:rFonts w:cs="Arial"/>
        </w:rPr>
      </w:pPr>
      <w:r w:rsidRPr="00EA55D0">
        <w:rPr>
          <w:rFonts w:cs="Arial"/>
        </w:rPr>
        <w:t xml:space="preserve">An alternate financial year can only be approved if the </w:t>
      </w:r>
      <w:r w:rsidR="007874F0">
        <w:rPr>
          <w:rFonts w:cs="Arial"/>
        </w:rPr>
        <w:t>System Governor</w:t>
      </w:r>
      <w:r w:rsidRPr="00EA55D0">
        <w:rPr>
          <w:rFonts w:cs="Arial"/>
        </w:rPr>
        <w:t xml:space="preserve"> is satisfied, on reasonable grounds, that it would be impracticable for a provider to prepare a financial report for the standard financial year. In general, a determination will only be available where a provider does not currently have the systems or processes in place that would reasonably allow them to meet the requirement of reporting for the standard financial year.</w:t>
      </w:r>
    </w:p>
    <w:p w14:paraId="020BC3F5" w14:textId="2589D774" w:rsidR="00E82075" w:rsidRPr="00EA55D0" w:rsidRDefault="00E82075" w:rsidP="00B64109">
      <w:pPr>
        <w:rPr>
          <w:rFonts w:cs="Arial"/>
        </w:rPr>
      </w:pPr>
      <w:r w:rsidRPr="00EA55D0">
        <w:rPr>
          <w:rFonts w:cs="Arial"/>
        </w:rPr>
        <w:t xml:space="preserve">Please note, the department has 28 days in which to process any application for alternate arrangements. Requests for a different financial year must be made by </w:t>
      </w:r>
      <w:r w:rsidRPr="00EA55D0">
        <w:rPr>
          <w:rFonts w:cs="Arial"/>
        </w:rPr>
        <w:br/>
        <w:t xml:space="preserve">31 </w:t>
      </w:r>
      <w:r w:rsidR="00396D27">
        <w:rPr>
          <w:rFonts w:cs="Arial"/>
        </w:rPr>
        <w:t>July</w:t>
      </w:r>
      <w:r w:rsidRPr="00EA55D0">
        <w:rPr>
          <w:rFonts w:cs="Arial"/>
        </w:rPr>
        <w:t xml:space="preserve"> each year.</w:t>
      </w:r>
    </w:p>
    <w:p w14:paraId="541E703E" w14:textId="1BB625D5" w:rsidR="00277C8D" w:rsidRPr="00271D9E" w:rsidRDefault="00133012" w:rsidP="00271D9E">
      <w:pPr>
        <w:pStyle w:val="Heading2"/>
      </w:pPr>
      <w:bookmarkStart w:id="7" w:name="_Toc209078244"/>
      <w:r w:rsidRPr="00271D9E">
        <w:t xml:space="preserve">Audit </w:t>
      </w:r>
      <w:r w:rsidR="000C5B72" w:rsidRPr="00271D9E">
        <w:t>requirements</w:t>
      </w:r>
      <w:bookmarkEnd w:id="7"/>
    </w:p>
    <w:p w14:paraId="47DC21BC" w14:textId="1DFB0A9E" w:rsidR="00552A31" w:rsidRPr="00EA55D0" w:rsidRDefault="00552A31" w:rsidP="00552A31">
      <w:pPr>
        <w:rPr>
          <w:rFonts w:cs="Arial"/>
        </w:rPr>
      </w:pPr>
      <w:r w:rsidRPr="00EA55D0">
        <w:rPr>
          <w:rFonts w:cs="Arial"/>
        </w:rPr>
        <w:t xml:space="preserve">The </w:t>
      </w:r>
      <w:r w:rsidR="00D377EC" w:rsidRPr="00EA55D0">
        <w:rPr>
          <w:rFonts w:cs="Arial"/>
        </w:rPr>
        <w:t>General-Purpose</w:t>
      </w:r>
      <w:r w:rsidRPr="00EA55D0">
        <w:rPr>
          <w:rFonts w:cs="Arial"/>
        </w:rPr>
        <w:t xml:space="preserve"> Financial Statement (GPFS) and the </w:t>
      </w:r>
      <w:r w:rsidR="007A2147" w:rsidRPr="00EA55D0">
        <w:rPr>
          <w:rFonts w:cs="Arial"/>
        </w:rPr>
        <w:t xml:space="preserve">Annual Prudential Compliance Statement (APCS) </w:t>
      </w:r>
      <w:r w:rsidRPr="00EA55D0">
        <w:rPr>
          <w:rFonts w:cs="Arial"/>
        </w:rPr>
        <w:t>sections of the ACFR are required to be audited.</w:t>
      </w:r>
      <w:r w:rsidR="000C65BF" w:rsidRPr="00EA55D0">
        <w:rPr>
          <w:rFonts w:cs="Arial"/>
        </w:rPr>
        <w:t xml:space="preserve"> </w:t>
      </w:r>
      <w:r w:rsidR="00DB3042" w:rsidRPr="00EA55D0">
        <w:rPr>
          <w:rFonts w:cs="Arial"/>
        </w:rPr>
        <w:t xml:space="preserve">Commencing in the ACFR 2025-26, all residential aged care providers must prepare and submit an externally audited </w:t>
      </w:r>
      <w:hyperlink r:id="rId19" w:history="1">
        <w:r w:rsidR="00DB3042" w:rsidRPr="00EA55D0">
          <w:rPr>
            <w:rStyle w:val="Hyperlink"/>
            <w:rFonts w:cs="Arial"/>
          </w:rPr>
          <w:t>Care Minutes Performance Statement</w:t>
        </w:r>
      </w:hyperlink>
      <w:r w:rsidR="00DB3042" w:rsidRPr="00EA55D0">
        <w:rPr>
          <w:rFonts w:cs="Arial"/>
        </w:rPr>
        <w:t xml:space="preserve"> (further information on this requirement is included in this Guidance and FAQs document). </w:t>
      </w:r>
      <w:r w:rsidRPr="00EA55D0">
        <w:rPr>
          <w:rFonts w:cs="Arial"/>
        </w:rPr>
        <w:t xml:space="preserve"> All other sections do not need to be audited – this includes the Registered Provider Permitted Uses Reconciliation which does not form part of the APCS.</w:t>
      </w:r>
    </w:p>
    <w:p w14:paraId="0B7003CD" w14:textId="29314ED5" w:rsidR="00610675" w:rsidRPr="00271D9E" w:rsidRDefault="00610675" w:rsidP="00271D9E">
      <w:pPr>
        <w:pStyle w:val="Heading2"/>
      </w:pPr>
      <w:r w:rsidRPr="00271D9E">
        <w:t>Completing the ACFR</w:t>
      </w:r>
    </w:p>
    <w:p w14:paraId="634E8472" w14:textId="1BE8CC9A" w:rsidR="00610675" w:rsidRPr="00EA55D0" w:rsidRDefault="00610675" w:rsidP="00610675">
      <w:pPr>
        <w:rPr>
          <w:rFonts w:cs="Arial"/>
        </w:rPr>
      </w:pPr>
      <w:r w:rsidRPr="00EA55D0">
        <w:rPr>
          <w:rFonts w:cs="Arial"/>
        </w:rPr>
        <w:t xml:space="preserve">The ACFR </w:t>
      </w:r>
      <w:r w:rsidR="00D52AFD" w:rsidRPr="00EA55D0">
        <w:rPr>
          <w:rFonts w:cs="Arial"/>
        </w:rPr>
        <w:t xml:space="preserve">is completed via the </w:t>
      </w:r>
      <w:hyperlink r:id="rId20" w:history="1">
        <w:r w:rsidR="00D52AFD" w:rsidRPr="00EA55D0">
          <w:rPr>
            <w:rStyle w:val="Hyperlink"/>
            <w:rFonts w:cs="Arial"/>
          </w:rPr>
          <w:t>Forms Administration portal</w:t>
        </w:r>
      </w:hyperlink>
      <w:r w:rsidR="00D52AFD" w:rsidRPr="00EA55D0">
        <w:rPr>
          <w:rFonts w:cs="Arial"/>
        </w:rPr>
        <w:t>.</w:t>
      </w:r>
    </w:p>
    <w:p w14:paraId="6E6A0E27" w14:textId="750FAA73" w:rsidR="00546DB9" w:rsidRPr="00271D9E" w:rsidRDefault="00CD6F15" w:rsidP="00271D9E">
      <w:pPr>
        <w:pStyle w:val="Heading2"/>
      </w:pPr>
      <w:r w:rsidRPr="00271D9E">
        <w:t>Financial Reporting Help Desks</w:t>
      </w:r>
    </w:p>
    <w:p w14:paraId="2ADFD2AB" w14:textId="58704B95" w:rsidR="001F351D" w:rsidRPr="00EA55D0" w:rsidRDefault="001F351D" w:rsidP="00322243">
      <w:pPr>
        <w:pStyle w:val="ListBullet"/>
      </w:pPr>
      <w:r w:rsidRPr="00EA55D0">
        <w:t xml:space="preserve">If you have questions about completing the QFR &amp; ACFR, contact the </w:t>
      </w:r>
      <w:r w:rsidRPr="00EA55D0">
        <w:rPr>
          <w:b/>
          <w:bCs/>
        </w:rPr>
        <w:t>Forms Administration Help Desk</w:t>
      </w:r>
      <w:r w:rsidRPr="00EA55D0">
        <w:t xml:space="preserve"> on </w:t>
      </w:r>
      <w:r w:rsidRPr="00EA55D0">
        <w:rPr>
          <w:b/>
          <w:bCs/>
        </w:rPr>
        <w:t>(02) 4403 0640</w:t>
      </w:r>
      <w:r w:rsidRPr="00EA55D0">
        <w:t xml:space="preserve"> or at </w:t>
      </w:r>
      <w:hyperlink r:id="rId21" w:history="1">
        <w:r w:rsidR="00E537CD" w:rsidRPr="00E537CD">
          <w:rPr>
            <w:rStyle w:val="Hyperlink"/>
          </w:rPr>
          <w:t>formsadministration@health.com.au</w:t>
        </w:r>
      </w:hyperlink>
      <w:r w:rsidRPr="00EA55D0">
        <w:t>. They can provide support with:</w:t>
      </w:r>
    </w:p>
    <w:p w14:paraId="67A1AB3B" w14:textId="77777777" w:rsidR="001F351D" w:rsidRPr="00322243" w:rsidRDefault="001F351D" w:rsidP="00322243">
      <w:pPr>
        <w:pStyle w:val="ListBullet2"/>
      </w:pPr>
      <w:r w:rsidRPr="00EA55D0">
        <w:t>Submission related quest</w:t>
      </w:r>
      <w:r w:rsidRPr="00322243">
        <w:t>ions</w:t>
      </w:r>
    </w:p>
    <w:p w14:paraId="4032F0B8" w14:textId="77777777" w:rsidR="001F351D" w:rsidRPr="00322243" w:rsidRDefault="001F351D" w:rsidP="00322243">
      <w:pPr>
        <w:pStyle w:val="ListBullet2"/>
      </w:pPr>
      <w:r w:rsidRPr="00322243">
        <w:t>Re-opening the portal for resubmissions</w:t>
      </w:r>
    </w:p>
    <w:p w14:paraId="08D0DC7F" w14:textId="2E9133BE" w:rsidR="001F351D" w:rsidRPr="00322243" w:rsidRDefault="001F351D" w:rsidP="00322243">
      <w:pPr>
        <w:pStyle w:val="ListBullet2"/>
      </w:pPr>
      <w:r w:rsidRPr="00322243">
        <w:t xml:space="preserve">General reporting queries </w:t>
      </w:r>
    </w:p>
    <w:p w14:paraId="4FA7A4EA" w14:textId="77777777" w:rsidR="001F351D" w:rsidRPr="00EA55D0" w:rsidRDefault="001F351D" w:rsidP="00322243">
      <w:pPr>
        <w:pStyle w:val="ListBullet"/>
      </w:pPr>
      <w:r w:rsidRPr="00EA55D0">
        <w:t xml:space="preserve">If you have questions about your specific financial reporting data, contact the </w:t>
      </w:r>
      <w:r w:rsidRPr="00EA55D0">
        <w:rPr>
          <w:b/>
          <w:bCs/>
        </w:rPr>
        <w:t>Financial Reporting Operations Team Help Desk</w:t>
      </w:r>
      <w:r w:rsidRPr="00EA55D0">
        <w:t xml:space="preserve"> at </w:t>
      </w:r>
      <w:hyperlink r:id="rId22" w:history="1">
        <w:r w:rsidRPr="00EA55D0">
          <w:rPr>
            <w:rStyle w:val="Hyperlink"/>
          </w:rPr>
          <w:t>ACFRQFRQueries@Health.gov.au</w:t>
        </w:r>
      </w:hyperlink>
      <w:r w:rsidRPr="00EA55D0">
        <w:t>. They can provide support with:</w:t>
      </w:r>
    </w:p>
    <w:p w14:paraId="6D6E885C" w14:textId="77777777" w:rsidR="001F351D" w:rsidRPr="00EA55D0" w:rsidRDefault="001F351D" w:rsidP="00322243">
      <w:pPr>
        <w:pStyle w:val="ListBullet2"/>
      </w:pPr>
      <w:r w:rsidRPr="00EA55D0">
        <w:t>Submission related questions</w:t>
      </w:r>
    </w:p>
    <w:p w14:paraId="44722C14" w14:textId="77777777" w:rsidR="001F351D" w:rsidRPr="00EA55D0" w:rsidRDefault="001F351D" w:rsidP="00322243">
      <w:pPr>
        <w:pStyle w:val="ListBullet2"/>
      </w:pPr>
      <w:r w:rsidRPr="00EA55D0">
        <w:t>Support at Home financial reporting questions</w:t>
      </w:r>
    </w:p>
    <w:p w14:paraId="2828E776" w14:textId="7767D35D" w:rsidR="001F351D" w:rsidRPr="00EA55D0" w:rsidRDefault="001F351D" w:rsidP="00322243">
      <w:pPr>
        <w:pStyle w:val="ListBullet2"/>
      </w:pPr>
      <w:r w:rsidRPr="00EA55D0">
        <w:t>Changes to reporting from 1 November 2025 questions</w:t>
      </w:r>
    </w:p>
    <w:p w14:paraId="44446E9C" w14:textId="10F51021" w:rsidR="001F351D" w:rsidRPr="00EA55D0" w:rsidRDefault="001F351D" w:rsidP="00322243">
      <w:pPr>
        <w:pStyle w:val="ListBullet"/>
      </w:pPr>
      <w:r w:rsidRPr="00EA55D0">
        <w:t xml:space="preserve">If you have questions about residential direct care reporting and data quality checks, contact the </w:t>
      </w:r>
      <w:r w:rsidRPr="00EA55D0">
        <w:rPr>
          <w:b/>
          <w:bCs/>
        </w:rPr>
        <w:t xml:space="preserve">Residential Care </w:t>
      </w:r>
      <w:r w:rsidR="00D82AD2">
        <w:rPr>
          <w:b/>
          <w:bCs/>
        </w:rPr>
        <w:t xml:space="preserve">QFR &amp; ACFR </w:t>
      </w:r>
      <w:r w:rsidRPr="00EA55D0">
        <w:rPr>
          <w:b/>
          <w:bCs/>
        </w:rPr>
        <w:t>Help Desk</w:t>
      </w:r>
      <w:r w:rsidRPr="00EA55D0">
        <w:t xml:space="preserve"> at </w:t>
      </w:r>
      <w:hyperlink r:id="rId23" w:history="1">
        <w:r w:rsidRPr="00EA55D0">
          <w:rPr>
            <w:rStyle w:val="Hyperlink"/>
          </w:rPr>
          <w:t>QFRACFRHelp@health.gov.au</w:t>
        </w:r>
      </w:hyperlink>
      <w:r w:rsidRPr="00EA55D0">
        <w:t>. They can provide support with:</w:t>
      </w:r>
    </w:p>
    <w:p w14:paraId="10544139" w14:textId="4CC1ACA4" w:rsidR="001F351D" w:rsidRPr="00EA55D0" w:rsidRDefault="001F351D" w:rsidP="00322243">
      <w:pPr>
        <w:pStyle w:val="ListBullet2"/>
      </w:pPr>
      <w:r w:rsidRPr="00EA55D0">
        <w:t xml:space="preserve">Residential Labour Costs &amp; Hours </w:t>
      </w:r>
      <w:r w:rsidR="00BF2998">
        <w:t>reporting questions</w:t>
      </w:r>
    </w:p>
    <w:p w14:paraId="0B56E66D" w14:textId="77777777" w:rsidR="001F351D" w:rsidRPr="00EA55D0" w:rsidRDefault="001F351D" w:rsidP="00322243">
      <w:pPr>
        <w:pStyle w:val="ListBullet2"/>
      </w:pPr>
      <w:r w:rsidRPr="00EA55D0">
        <w:t>Care Minutes reporting questions</w:t>
      </w:r>
    </w:p>
    <w:p w14:paraId="1E39C845" w14:textId="28078662" w:rsidR="007A284D" w:rsidRDefault="001F351D" w:rsidP="00322243">
      <w:pPr>
        <w:pStyle w:val="ListBullet2"/>
      </w:pPr>
      <w:r w:rsidRPr="00EA55D0">
        <w:t xml:space="preserve">Residential </w:t>
      </w:r>
      <w:r w:rsidR="00BF2998">
        <w:t xml:space="preserve">Labour Costs and Hours </w:t>
      </w:r>
      <w:r w:rsidRPr="00EA55D0">
        <w:t>data quality check</w:t>
      </w:r>
      <w:r w:rsidR="00BF2998">
        <w:t>s</w:t>
      </w:r>
    </w:p>
    <w:p w14:paraId="70508939" w14:textId="11B716BD" w:rsidR="007A284D" w:rsidRPr="00EA55D0" w:rsidRDefault="007A284D" w:rsidP="00322243">
      <w:pPr>
        <w:pStyle w:val="ListBullet"/>
      </w:pPr>
      <w:r w:rsidRPr="00EA55D0">
        <w:t xml:space="preserve">If you have questions about </w:t>
      </w:r>
      <w:r w:rsidR="008D0326">
        <w:t>the Annual Prudential Compliance Statement</w:t>
      </w:r>
      <w:r w:rsidRPr="00EA55D0">
        <w:t xml:space="preserve">, contact the </w:t>
      </w:r>
      <w:r w:rsidR="008D0326" w:rsidRPr="00CD4BBC">
        <w:rPr>
          <w:b/>
          <w:bCs/>
        </w:rPr>
        <w:t>Aged Care Quality and Safety Commission’s Prudential Supervision Team</w:t>
      </w:r>
      <w:r w:rsidRPr="00EA55D0">
        <w:t xml:space="preserve"> at</w:t>
      </w:r>
      <w:r w:rsidR="00872874">
        <w:t xml:space="preserve"> </w:t>
      </w:r>
      <w:hyperlink r:id="rId24" w:history="1">
        <w:r w:rsidR="00B01617" w:rsidRPr="00ED0CE0">
          <w:rPr>
            <w:rStyle w:val="Hyperlink"/>
          </w:rPr>
          <w:t>prudential@agedcarequality.gov.au</w:t>
        </w:r>
      </w:hyperlink>
      <w:r w:rsidRPr="00EA55D0">
        <w:t>. They can provide support with:</w:t>
      </w:r>
    </w:p>
    <w:p w14:paraId="5CAD46FE" w14:textId="55E71980" w:rsidR="007A284D" w:rsidRPr="00EA55D0" w:rsidRDefault="00082D02" w:rsidP="00322243">
      <w:pPr>
        <w:pStyle w:val="ListBullet2"/>
      </w:pPr>
      <w:r>
        <w:t>Annual Prudential Compliance Statement (APCS) related questions</w:t>
      </w:r>
    </w:p>
    <w:p w14:paraId="7E895EB4" w14:textId="1DCA21B0" w:rsidR="007A284D" w:rsidRDefault="00082D02" w:rsidP="00322243">
      <w:pPr>
        <w:pStyle w:val="ListBullet2"/>
      </w:pPr>
      <w:r>
        <w:t>Understanding your obligations when overcharging is identified</w:t>
      </w:r>
    </w:p>
    <w:p w14:paraId="42708560" w14:textId="79DE0A9A" w:rsidR="00746792" w:rsidRDefault="00082D02" w:rsidP="00322243">
      <w:pPr>
        <w:pStyle w:val="ListBullet2"/>
      </w:pPr>
      <w:r>
        <w:t>Changes to APCS reporting from 1 November questions</w:t>
      </w:r>
    </w:p>
    <w:p w14:paraId="206B5760" w14:textId="2CB513E3" w:rsidR="00746792" w:rsidRPr="00EA55D0" w:rsidRDefault="00746792" w:rsidP="00322243">
      <w:pPr>
        <w:pStyle w:val="ListBullet"/>
      </w:pPr>
      <w:r w:rsidRPr="00EA55D0">
        <w:t xml:space="preserve">If you have questions about </w:t>
      </w:r>
      <w:r>
        <w:t>the Care Minutes Performance Statement</w:t>
      </w:r>
      <w:r w:rsidRPr="00EA55D0">
        <w:t xml:space="preserve">, contact the </w:t>
      </w:r>
      <w:r w:rsidR="00DE04C5">
        <w:t>Residential</w:t>
      </w:r>
      <w:r>
        <w:t xml:space="preserve"> Risk and Funding Risk Policy </w:t>
      </w:r>
      <w:r w:rsidR="00497A7E">
        <w:t xml:space="preserve">team </w:t>
      </w:r>
      <w:r w:rsidRPr="00EA55D0">
        <w:t>at</w:t>
      </w:r>
      <w:r w:rsidR="00497A7E">
        <w:t xml:space="preserve"> </w:t>
      </w:r>
      <w:hyperlink r:id="rId25" w:history="1">
        <w:r w:rsidR="00AF05AB" w:rsidRPr="00C720BA">
          <w:rPr>
            <w:rStyle w:val="Hyperlink"/>
          </w:rPr>
          <w:t>CMPSQueries@health.gov.au</w:t>
        </w:r>
      </w:hyperlink>
      <w:r w:rsidRPr="00EA55D0">
        <w:t>. They can provide support with:</w:t>
      </w:r>
    </w:p>
    <w:p w14:paraId="4349AA9B" w14:textId="77777777" w:rsidR="00AF05AB" w:rsidRDefault="00AF05AB" w:rsidP="00322243">
      <w:pPr>
        <w:pStyle w:val="ListBullet2"/>
      </w:pPr>
      <w:r>
        <w:t>Understanding your reporting obligations</w:t>
      </w:r>
    </w:p>
    <w:p w14:paraId="70453006" w14:textId="3BD176F4" w:rsidR="00746792" w:rsidRPr="00EA55D0" w:rsidRDefault="00AF05AB" w:rsidP="00322243">
      <w:pPr>
        <w:pStyle w:val="ListBullet2"/>
      </w:pPr>
      <w:r>
        <w:t>How this reporting will affect your Care Minutes funding</w:t>
      </w:r>
    </w:p>
    <w:p w14:paraId="590BCF1C" w14:textId="30190166" w:rsidR="00920E7A" w:rsidRPr="00271D9E" w:rsidRDefault="00920E7A" w:rsidP="00271D9E">
      <w:pPr>
        <w:pStyle w:val="Heading2"/>
      </w:pPr>
      <w:r w:rsidRPr="00271D9E">
        <w:t>Other resources</w:t>
      </w:r>
    </w:p>
    <w:p w14:paraId="35154382" w14:textId="77777777" w:rsidR="00920E7A" w:rsidRPr="005274C5" w:rsidRDefault="00920E7A" w:rsidP="005274C5">
      <w:r w:rsidRPr="005274C5">
        <w:t xml:space="preserve">There are additional resources provided on the </w:t>
      </w:r>
      <w:hyperlink r:id="rId26" w:history="1">
        <w:r w:rsidRPr="005274C5">
          <w:rPr>
            <w:rStyle w:val="Hyperlink"/>
          </w:rPr>
          <w:t>department’s website</w:t>
        </w:r>
      </w:hyperlink>
      <w:r w:rsidRPr="005274C5">
        <w:t xml:space="preserve"> and </w:t>
      </w:r>
      <w:hyperlink r:id="rId27" w:history="1">
        <w:r w:rsidRPr="005274C5">
          <w:rPr>
            <w:rStyle w:val="Hyperlink"/>
          </w:rPr>
          <w:t>Forms Administration website</w:t>
        </w:r>
      </w:hyperlink>
      <w:r w:rsidRPr="005274C5">
        <w:t xml:space="preserve"> to assist providers completing the ACFR. </w:t>
      </w:r>
    </w:p>
    <w:p w14:paraId="0BCBA001" w14:textId="77777777" w:rsidR="00920E7A" w:rsidRPr="00EA55D0" w:rsidRDefault="00920E7A" w:rsidP="00920E7A">
      <w:pPr>
        <w:rPr>
          <w:rFonts w:cs="Arial"/>
        </w:rPr>
      </w:pPr>
      <w:r w:rsidRPr="00EA55D0">
        <w:rPr>
          <w:rFonts w:cs="Arial"/>
        </w:rPr>
        <w:t>These include:</w:t>
      </w:r>
    </w:p>
    <w:p w14:paraId="522D9AD3" w14:textId="101706D5" w:rsidR="00920E7A" w:rsidRPr="00322243" w:rsidRDefault="00920E7A" w:rsidP="00322243">
      <w:pPr>
        <w:pStyle w:val="ListBullet"/>
      </w:pPr>
      <w:r w:rsidRPr="00EA55D0">
        <w:t>AC</w:t>
      </w:r>
      <w:r w:rsidRPr="00322243">
        <w:t xml:space="preserve">FR </w:t>
      </w:r>
      <w:r w:rsidR="002D6759" w:rsidRPr="00322243">
        <w:t>non-</w:t>
      </w:r>
      <w:proofErr w:type="spellStart"/>
      <w:r w:rsidR="002D6759" w:rsidRPr="00322243">
        <w:t>uploadable</w:t>
      </w:r>
      <w:proofErr w:type="spellEnd"/>
      <w:r w:rsidR="002D6759" w:rsidRPr="00322243">
        <w:t xml:space="preserve"> </w:t>
      </w:r>
      <w:r w:rsidRPr="00322243">
        <w:t xml:space="preserve">template </w:t>
      </w:r>
    </w:p>
    <w:p w14:paraId="3A996F4A" w14:textId="77777777" w:rsidR="00920E7A" w:rsidRPr="00322243" w:rsidRDefault="00920E7A" w:rsidP="00322243">
      <w:pPr>
        <w:pStyle w:val="ListBullet"/>
      </w:pPr>
      <w:r w:rsidRPr="00322243">
        <w:t>ACFR definitions</w:t>
      </w:r>
    </w:p>
    <w:p w14:paraId="2B4F2D2C" w14:textId="77777777" w:rsidR="00920E7A" w:rsidRPr="00322243" w:rsidRDefault="00920E7A" w:rsidP="00322243">
      <w:pPr>
        <w:pStyle w:val="ListBullet"/>
      </w:pPr>
      <w:r w:rsidRPr="00322243">
        <w:t>APCS resources</w:t>
      </w:r>
    </w:p>
    <w:p w14:paraId="46105789" w14:textId="0D32F0CD" w:rsidR="002E334B" w:rsidRPr="00322243" w:rsidRDefault="002E334B" w:rsidP="00322243">
      <w:r w:rsidRPr="00322243">
        <w:br w:type="page"/>
      </w:r>
    </w:p>
    <w:p w14:paraId="764CA0D1" w14:textId="62F0FF89" w:rsidR="00D0338A" w:rsidRPr="00322243" w:rsidRDefault="002837E6" w:rsidP="00322243">
      <w:r w:rsidRPr="00EA55D0">
        <w:rPr>
          <w:rFonts w:cs="Arial"/>
          <w:noProof/>
        </w:rPr>
        <mc:AlternateContent>
          <mc:Choice Requires="wps">
            <w:drawing>
              <wp:anchor distT="0" distB="0" distL="114300" distR="114300" simplePos="0" relativeHeight="251658240" behindDoc="1" locked="0" layoutInCell="1" allowOverlap="1" wp14:anchorId="3914CA5D" wp14:editId="3171D7AF">
                <wp:simplePos x="0" y="0"/>
                <wp:positionH relativeFrom="page">
                  <wp:align>right</wp:align>
                </wp:positionH>
                <wp:positionV relativeFrom="margin">
                  <wp:posOffset>-683643</wp:posOffset>
                </wp:positionV>
                <wp:extent cx="7560000" cy="10692000"/>
                <wp:effectExtent l="0" t="0" r="3175" b="0"/>
                <wp:wrapNone/>
                <wp:docPr id="350943660" name="Rectangle 3509436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E6A23" id="Rectangle 350943660" o:spid="_x0000_s1026" alt="&quot;&quot;" style="position:absolute;margin-left:544.1pt;margin-top:-53.85pt;width:595.3pt;height:841.9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5&#10;y48x3wAAAAsBAAAPAAAAZHJzL2Rvd25yZXYueG1sTI/BTsMwEETvSPyDtZW4tXZAJDSNUyFEr0hN&#10;K8TRjZc4SryOYicNf497gtusZjXzptgvtmczjr51JCHZCGBItdMtNRLOp8P6BZgPirTqHaGEH/Sw&#10;L+/vCpVrd6UjzlVoWAwhnysJJoQh59zXBq3yGzcgRe/bjVaFeI4N16O6xnDb80chUm5VS7HBqAHf&#10;DNZdNVkJzdfhfV46g+7on6qpG7bnj08t5cNqed0BC7iEv2e44Ud0KCPTxU2kPeslxCFBwjoRWQbs&#10;5idbkQK7RPWcpQnwsuD/N5S/AAAA//8DAFBLAQItABQABgAIAAAAIQC2gziS/gAAAOEBAAATAAAA&#10;AAAAAAAAAAAAAAAAAABbQ29udGVudF9UeXBlc10ueG1sUEsBAi0AFAAGAAgAAAAhADj9If/WAAAA&#10;lAEAAAsAAAAAAAAAAAAAAAAALwEAAF9yZWxzLy5yZWxzUEsBAi0AFAAGAAgAAAAhANDZRIh9AgAA&#10;YAUAAA4AAAAAAAAAAAAAAAAALgIAAGRycy9lMm9Eb2MueG1sUEsBAi0AFAAGAAgAAAAhADnLjzHf&#10;AAAACwEAAA8AAAAAAAAAAAAAAAAA1wQAAGRycy9kb3ducmV2LnhtbFBLBQYAAAAABAAEAPMAAADj&#10;BQAAAAA=&#10;" fillcolor="#1e1545 [3213]" stroked="f" strokeweight="2pt">
                <w10:wrap anchorx="page" anchory="margin"/>
              </v:rect>
            </w:pict>
          </mc:Fallback>
        </mc:AlternateContent>
      </w:r>
    </w:p>
    <w:p w14:paraId="66017B90" w14:textId="08E23A61" w:rsidR="00D0338A" w:rsidRPr="00EA55D0" w:rsidRDefault="00CE4784" w:rsidP="002837E6">
      <w:pPr>
        <w:pStyle w:val="Chapternumbers"/>
      </w:pPr>
      <w:r>
        <w:t>2</w:t>
      </w:r>
    </w:p>
    <w:p w14:paraId="08C1E0E1" w14:textId="18977B2C" w:rsidR="00D0338A" w:rsidRPr="005274C5" w:rsidRDefault="00D0338A" w:rsidP="00F255A4">
      <w:pPr>
        <w:pStyle w:val="Titleforpagesbetweensections"/>
      </w:pPr>
      <w:r w:rsidRPr="00EA55D0">
        <w:t xml:space="preserve">Changes to the </w:t>
      </w:r>
      <w:r w:rsidR="00FA2DBB" w:rsidRPr="00EA55D0">
        <w:t>AC</w:t>
      </w:r>
      <w:r w:rsidRPr="00EA55D0">
        <w:t xml:space="preserve">FR </w:t>
      </w:r>
      <w:r w:rsidR="00E80461" w:rsidRPr="00EA55D0">
        <w:t>for 2025-26</w:t>
      </w:r>
      <w:r w:rsidRPr="005274C5">
        <w:br w:type="page"/>
      </w:r>
    </w:p>
    <w:p w14:paraId="30D52887" w14:textId="3D4CA558" w:rsidR="00D0338A" w:rsidRPr="00EA55D0" w:rsidRDefault="00D0338A" w:rsidP="00E22085">
      <w:pPr>
        <w:pStyle w:val="Heading1"/>
      </w:pPr>
      <w:bookmarkStart w:id="8" w:name="_Toc209078249"/>
      <w:bookmarkStart w:id="9" w:name="_Toc224723289"/>
      <w:r w:rsidRPr="00EA55D0">
        <w:t xml:space="preserve">Changes to the </w:t>
      </w:r>
      <w:r w:rsidR="00FA2DBB" w:rsidRPr="00EA55D0">
        <w:t>AC</w:t>
      </w:r>
      <w:r w:rsidRPr="00EA55D0">
        <w:t>FR</w:t>
      </w:r>
      <w:bookmarkEnd w:id="8"/>
      <w:bookmarkEnd w:id="9"/>
      <w:r w:rsidRPr="00EA55D0">
        <w:t xml:space="preserve"> </w:t>
      </w:r>
    </w:p>
    <w:p w14:paraId="5A4C3CFD" w14:textId="50DECF14" w:rsidR="00D25108" w:rsidRPr="00271D9E" w:rsidRDefault="00D25108" w:rsidP="00271D9E">
      <w:pPr>
        <w:pStyle w:val="Heading2"/>
      </w:pPr>
      <w:bookmarkStart w:id="10" w:name="_Toc207281685"/>
      <w:bookmarkStart w:id="11" w:name="_Toc209078250"/>
      <w:r w:rsidRPr="00271D9E">
        <w:t xml:space="preserve">Introduction of the new </w:t>
      </w:r>
      <w:r w:rsidR="00B36E80" w:rsidRPr="00271D9E">
        <w:t xml:space="preserve">Aged Care </w:t>
      </w:r>
      <w:r w:rsidRPr="00271D9E">
        <w:t>Act</w:t>
      </w:r>
      <w:r w:rsidR="00B36E80" w:rsidRPr="00271D9E">
        <w:t xml:space="preserve"> </w:t>
      </w:r>
      <w:r w:rsidR="008A7FE3" w:rsidRPr="00271D9E">
        <w:t xml:space="preserve">2024 </w:t>
      </w:r>
      <w:r w:rsidR="00B36E80" w:rsidRPr="00271D9E">
        <w:t>and Support at Home program</w:t>
      </w:r>
      <w:bookmarkEnd w:id="10"/>
      <w:bookmarkEnd w:id="11"/>
    </w:p>
    <w:p w14:paraId="7C809978" w14:textId="4FEDED31" w:rsidR="00D0338A" w:rsidRPr="00EA55D0" w:rsidRDefault="00D0338A" w:rsidP="00D0338A">
      <w:pPr>
        <w:rPr>
          <w:rFonts w:cs="Arial"/>
        </w:rPr>
      </w:pPr>
      <w:r w:rsidRPr="00EA55D0">
        <w:rPr>
          <w:rFonts w:cs="Arial"/>
        </w:rPr>
        <w:t xml:space="preserve">From 1 November 2025 aged care providers will transition to </w:t>
      </w:r>
      <w:r w:rsidR="000A5D3E" w:rsidRPr="00EA55D0">
        <w:rPr>
          <w:rFonts w:cs="Arial"/>
        </w:rPr>
        <w:t>being a R</w:t>
      </w:r>
      <w:r w:rsidRPr="00EA55D0">
        <w:rPr>
          <w:rFonts w:cs="Arial"/>
        </w:rPr>
        <w:t xml:space="preserve">egistered </w:t>
      </w:r>
      <w:r w:rsidR="000A5D3E" w:rsidRPr="00EA55D0">
        <w:rPr>
          <w:rFonts w:cs="Arial"/>
        </w:rPr>
        <w:t>P</w:t>
      </w:r>
      <w:r w:rsidRPr="00EA55D0">
        <w:rPr>
          <w:rFonts w:cs="Arial"/>
        </w:rPr>
        <w:t xml:space="preserve">rovider under the </w:t>
      </w:r>
      <w:r w:rsidR="00B36E80" w:rsidRPr="00EA55D0">
        <w:rPr>
          <w:rFonts w:cs="Arial"/>
        </w:rPr>
        <w:t xml:space="preserve">new </w:t>
      </w:r>
      <w:r w:rsidR="008A7FE3" w:rsidRPr="00BD77C0">
        <w:rPr>
          <w:rFonts w:cs="Arial"/>
          <w:i/>
          <w:iCs/>
        </w:rPr>
        <w:t xml:space="preserve">Aged Care </w:t>
      </w:r>
      <w:r w:rsidR="00B36E80" w:rsidRPr="00BD77C0">
        <w:rPr>
          <w:rFonts w:cs="Arial"/>
          <w:i/>
          <w:iCs/>
        </w:rPr>
        <w:t>Act</w:t>
      </w:r>
      <w:r w:rsidR="008A7FE3" w:rsidRPr="00BD77C0">
        <w:rPr>
          <w:rFonts w:cs="Arial"/>
          <w:i/>
          <w:iCs/>
        </w:rPr>
        <w:t xml:space="preserve"> 2024</w:t>
      </w:r>
      <w:r w:rsidR="008A7FE3">
        <w:rPr>
          <w:rFonts w:cs="Arial"/>
        </w:rPr>
        <w:t xml:space="preserve"> (the Act)</w:t>
      </w:r>
      <w:r w:rsidR="004154B9" w:rsidRPr="00EA55D0">
        <w:rPr>
          <w:rFonts w:cs="Arial"/>
        </w:rPr>
        <w:t xml:space="preserve">. </w:t>
      </w:r>
      <w:r w:rsidRPr="00EA55D0">
        <w:rPr>
          <w:rFonts w:cs="Arial"/>
        </w:rPr>
        <w:t xml:space="preserve">Providers delivering the Home Care Packages Program and </w:t>
      </w:r>
      <w:r w:rsidR="00887FD2">
        <w:rPr>
          <w:rFonts w:cs="Arial"/>
        </w:rPr>
        <w:t>Short-Term Restorative Care</w:t>
      </w:r>
      <w:r w:rsidRPr="00EA55D0">
        <w:rPr>
          <w:rFonts w:cs="Arial"/>
        </w:rPr>
        <w:t xml:space="preserve"> Program will transition to the new Support at Home </w:t>
      </w:r>
      <w:r w:rsidR="009077D2" w:rsidRPr="00EA55D0">
        <w:rPr>
          <w:rFonts w:cs="Arial"/>
        </w:rPr>
        <w:t>p</w:t>
      </w:r>
      <w:r w:rsidRPr="00EA55D0">
        <w:rPr>
          <w:rFonts w:cs="Arial"/>
        </w:rPr>
        <w:t>rogram. </w:t>
      </w:r>
    </w:p>
    <w:p w14:paraId="39733B41" w14:textId="00215DAE" w:rsidR="002625F2" w:rsidRPr="00EA55D0" w:rsidRDefault="00E039DE" w:rsidP="00E039DE">
      <w:pPr>
        <w:rPr>
          <w:rFonts w:cs="Arial"/>
        </w:rPr>
      </w:pPr>
      <w:r w:rsidRPr="00EA55D0">
        <w:rPr>
          <w:rFonts w:cs="Arial"/>
        </w:rPr>
        <w:t xml:space="preserve">Even though the </w:t>
      </w:r>
      <w:r w:rsidRPr="00EA55D0">
        <w:rPr>
          <w:rFonts w:cs="Arial"/>
          <w:i/>
          <w:iCs/>
        </w:rPr>
        <w:t>Aged Care Act 1997</w:t>
      </w:r>
      <w:r w:rsidRPr="00EA55D0">
        <w:rPr>
          <w:rFonts w:cs="Arial"/>
        </w:rPr>
        <w:t xml:space="preserve"> and the new Act are both relevant legislation within the 2025-26 financial year, providers will be required to complete only one ACFR for the period. </w:t>
      </w:r>
      <w:r w:rsidR="002625F2" w:rsidRPr="00EA55D0">
        <w:rPr>
          <w:rFonts w:cs="Arial"/>
        </w:rPr>
        <w:t xml:space="preserve">Providers will be required to complete the reporting under their Registered Provider structure. </w:t>
      </w:r>
    </w:p>
    <w:p w14:paraId="79590108" w14:textId="14764583" w:rsidR="00CF0A21" w:rsidRPr="00EA55D0" w:rsidRDefault="00CF0A21" w:rsidP="00E039DE">
      <w:pPr>
        <w:rPr>
          <w:rFonts w:cs="Arial"/>
        </w:rPr>
      </w:pPr>
      <w:r w:rsidRPr="00EA55D0">
        <w:rPr>
          <w:rFonts w:cs="Arial"/>
        </w:rPr>
        <w:t>If your organisational structure change</w:t>
      </w:r>
      <w:r w:rsidR="00E64AA7">
        <w:rPr>
          <w:rFonts w:cs="Arial"/>
        </w:rPr>
        <w:t>d</w:t>
      </w:r>
      <w:r w:rsidRPr="00EA55D0">
        <w:rPr>
          <w:rFonts w:cs="Arial"/>
        </w:rPr>
        <w:t xml:space="preserve"> when you bec</w:t>
      </w:r>
      <w:r w:rsidR="00E64AA7">
        <w:rPr>
          <w:rFonts w:cs="Arial"/>
        </w:rPr>
        <w:t>a</w:t>
      </w:r>
      <w:r w:rsidRPr="00EA55D0">
        <w:rPr>
          <w:rFonts w:cs="Arial"/>
        </w:rPr>
        <w:t xml:space="preserve">me a Registered Provider, we encourage you to consider how this will impact your financial reporting. </w:t>
      </w:r>
    </w:p>
    <w:p w14:paraId="027E4266" w14:textId="54577012" w:rsidR="00BA640D" w:rsidRPr="00EA55D0" w:rsidRDefault="00011B0F" w:rsidP="00E039DE">
      <w:pPr>
        <w:rPr>
          <w:rFonts w:cs="Arial"/>
        </w:rPr>
      </w:pPr>
      <w:r w:rsidRPr="00EA55D0">
        <w:rPr>
          <w:rFonts w:cs="Arial"/>
        </w:rPr>
        <w:t>The department has made several changes to the</w:t>
      </w:r>
      <w:r w:rsidR="00D04B7F" w:rsidRPr="00EA55D0">
        <w:rPr>
          <w:rFonts w:cs="Arial"/>
        </w:rPr>
        <w:t xml:space="preserve"> </w:t>
      </w:r>
      <w:r w:rsidR="00A47A4A" w:rsidRPr="00EA55D0">
        <w:rPr>
          <w:rFonts w:cs="Arial"/>
        </w:rPr>
        <w:t>ACFR</w:t>
      </w:r>
      <w:r w:rsidR="0019066F" w:rsidRPr="00EA55D0">
        <w:rPr>
          <w:rFonts w:cs="Arial"/>
        </w:rPr>
        <w:t xml:space="preserve"> </w:t>
      </w:r>
      <w:r w:rsidR="003B7365" w:rsidRPr="00EA55D0">
        <w:rPr>
          <w:rFonts w:cs="Arial"/>
        </w:rPr>
        <w:t>2025-26,</w:t>
      </w:r>
      <w:r w:rsidR="0019066F" w:rsidRPr="00EA55D0">
        <w:rPr>
          <w:rFonts w:cs="Arial"/>
        </w:rPr>
        <w:t xml:space="preserve"> </w:t>
      </w:r>
      <w:r w:rsidR="00D04B7F" w:rsidRPr="00EA55D0">
        <w:rPr>
          <w:rFonts w:cs="Arial"/>
        </w:rPr>
        <w:t xml:space="preserve">to reflect </w:t>
      </w:r>
      <w:r w:rsidR="003B7365" w:rsidRPr="00EA55D0">
        <w:rPr>
          <w:rFonts w:cs="Arial"/>
        </w:rPr>
        <w:t xml:space="preserve">the changes from 1 November 2025, </w:t>
      </w:r>
      <w:r w:rsidR="0019066F" w:rsidRPr="00EA55D0">
        <w:rPr>
          <w:rFonts w:cs="Arial"/>
        </w:rPr>
        <w:t xml:space="preserve">which are detailed </w:t>
      </w:r>
      <w:r w:rsidR="003B7365" w:rsidRPr="00EA55D0">
        <w:rPr>
          <w:rFonts w:cs="Arial"/>
        </w:rPr>
        <w:t>below</w:t>
      </w:r>
      <w:r w:rsidR="0019066F" w:rsidRPr="00EA55D0">
        <w:rPr>
          <w:rFonts w:cs="Arial"/>
        </w:rPr>
        <w:t xml:space="preserve">. </w:t>
      </w:r>
    </w:p>
    <w:p w14:paraId="3F860798" w14:textId="30150624" w:rsidR="00A3355E" w:rsidRPr="00EA55D0" w:rsidRDefault="00DD3EB2" w:rsidP="00E039DE">
      <w:pPr>
        <w:rPr>
          <w:rFonts w:cs="Arial"/>
        </w:rPr>
      </w:pPr>
      <w:r w:rsidRPr="00EA55D0">
        <w:rPr>
          <w:rFonts w:eastAsiaTheme="minorHAnsi"/>
          <w:lang w:eastAsia="en-AU"/>
        </w:rPr>
        <w:t xml:space="preserve">There are changes to the financial reporting for providers who deliver residential aged care, the Home Care Packages Program, and the new Support at Home program. </w:t>
      </w:r>
      <w:r w:rsidR="00A3355E" w:rsidRPr="00EA55D0">
        <w:rPr>
          <w:rFonts w:cs="Arial"/>
        </w:rPr>
        <w:t xml:space="preserve">Providers delivering </w:t>
      </w:r>
      <w:r w:rsidR="00E843B7">
        <w:rPr>
          <w:rFonts w:cs="Arial"/>
        </w:rPr>
        <w:t xml:space="preserve">services under the </w:t>
      </w:r>
      <w:r w:rsidR="00A3355E" w:rsidRPr="00EA55D0">
        <w:rPr>
          <w:rFonts w:cs="Arial"/>
        </w:rPr>
        <w:t xml:space="preserve">Multi-Purpose Services </w:t>
      </w:r>
      <w:r w:rsidR="00E843B7">
        <w:rPr>
          <w:rFonts w:cs="Arial"/>
        </w:rPr>
        <w:t xml:space="preserve">Program </w:t>
      </w:r>
      <w:r w:rsidR="00A3355E" w:rsidRPr="00EA55D0">
        <w:rPr>
          <w:rFonts w:cs="Arial"/>
        </w:rPr>
        <w:t>will continue to complete the Annual Prudential Compliance Statement</w:t>
      </w:r>
      <w:r w:rsidR="00043D9D">
        <w:rPr>
          <w:rFonts w:cs="Arial"/>
        </w:rPr>
        <w:t xml:space="preserve"> (APCS)</w:t>
      </w:r>
      <w:r w:rsidR="00A3355E" w:rsidRPr="00EA55D0">
        <w:rPr>
          <w:rFonts w:cs="Arial"/>
        </w:rPr>
        <w:t xml:space="preserve"> </w:t>
      </w:r>
      <w:r w:rsidR="000F3F6F" w:rsidRPr="00EA55D0">
        <w:rPr>
          <w:rFonts w:cs="Arial"/>
        </w:rPr>
        <w:t xml:space="preserve">only. </w:t>
      </w:r>
    </w:p>
    <w:p w14:paraId="3196139C" w14:textId="57002475" w:rsidR="001E78DE" w:rsidRPr="00271D9E" w:rsidRDefault="009E1DEB" w:rsidP="00271D9E">
      <w:pPr>
        <w:pStyle w:val="Heading2"/>
      </w:pPr>
      <w:r w:rsidRPr="00271D9E">
        <w:t>T</w:t>
      </w:r>
      <w:r w:rsidR="00B330A1" w:rsidRPr="00271D9E">
        <w:t>ermin</w:t>
      </w:r>
      <w:r w:rsidR="001E78DE" w:rsidRPr="00271D9E">
        <w:t xml:space="preserve">ology and Legislative References </w:t>
      </w:r>
    </w:p>
    <w:p w14:paraId="180635DE" w14:textId="6BCAA3D8" w:rsidR="00A239B3" w:rsidRPr="00322243" w:rsidRDefault="001E78DE" w:rsidP="00322243">
      <w:r w:rsidRPr="00322243">
        <w:t>You will notice u</w:t>
      </w:r>
      <w:r w:rsidR="00D0338A" w:rsidRPr="00322243">
        <w:t xml:space="preserve">pdated terminology and legislative references throughout the </w:t>
      </w:r>
      <w:r w:rsidR="009615AB" w:rsidRPr="00322243">
        <w:t>AC</w:t>
      </w:r>
      <w:r w:rsidRPr="00322243">
        <w:t>FR</w:t>
      </w:r>
      <w:r w:rsidR="004F389D" w:rsidRPr="00322243">
        <w:t xml:space="preserve">, </w:t>
      </w:r>
      <w:r w:rsidR="00B9522B" w:rsidRPr="00322243">
        <w:t>APCS</w:t>
      </w:r>
      <w:r w:rsidR="004F389D" w:rsidRPr="00322243">
        <w:t xml:space="preserve"> </w:t>
      </w:r>
      <w:r w:rsidR="00B9522B" w:rsidRPr="00322243">
        <w:t xml:space="preserve">and </w:t>
      </w:r>
      <w:r w:rsidR="004F389D" w:rsidRPr="00322243">
        <w:t>Declaration Form</w:t>
      </w:r>
      <w:r w:rsidR="00D0338A" w:rsidRPr="00322243">
        <w:t xml:space="preserve"> to align with the new Act and Rules</w:t>
      </w:r>
      <w:r w:rsidR="00B4284E" w:rsidRPr="00322243">
        <w:t>,</w:t>
      </w:r>
      <w:r w:rsidR="00D0338A" w:rsidRPr="00322243">
        <w:t xml:space="preserve"> </w:t>
      </w:r>
      <w:r w:rsidR="00DA0F45" w:rsidRPr="00322243">
        <w:t>R</w:t>
      </w:r>
      <w:r w:rsidR="00D0338A" w:rsidRPr="00322243">
        <w:t xml:space="preserve">egistered </w:t>
      </w:r>
      <w:r w:rsidR="00DA0F45" w:rsidRPr="00322243">
        <w:t>P</w:t>
      </w:r>
      <w:r w:rsidR="00D0338A" w:rsidRPr="00322243">
        <w:t xml:space="preserve">rovider </w:t>
      </w:r>
      <w:r w:rsidR="002F41AA" w:rsidRPr="00322243">
        <w:t xml:space="preserve">and Support at Home program, which commence on 1 November 2025. </w:t>
      </w:r>
    </w:p>
    <w:p w14:paraId="1DFA049B" w14:textId="588280B0" w:rsidR="00A239B3" w:rsidRPr="00D934A4" w:rsidRDefault="00A239B3" w:rsidP="00A239B3">
      <w:pPr>
        <w:pStyle w:val="SubjectHeading"/>
      </w:pPr>
      <w:r>
        <w:t>Residential aged care</w:t>
      </w:r>
      <w:r w:rsidRPr="00D934A4">
        <w:t xml:space="preserve"> changes</w:t>
      </w:r>
    </w:p>
    <w:p w14:paraId="2518EA2B" w14:textId="782723B4" w:rsidR="003F2646" w:rsidRPr="00271D9E" w:rsidRDefault="003F2646" w:rsidP="00271D9E">
      <w:pPr>
        <w:pStyle w:val="Heading2"/>
      </w:pPr>
      <w:r w:rsidRPr="00271D9E">
        <w:t>Removal of Amortisation and Impairment of Bed Licen</w:t>
      </w:r>
      <w:r w:rsidR="00E64E89" w:rsidRPr="00271D9E">
        <w:t>c</w:t>
      </w:r>
      <w:r w:rsidRPr="00271D9E">
        <w:t xml:space="preserve">es </w:t>
      </w:r>
    </w:p>
    <w:p w14:paraId="27B84A63" w14:textId="77777777" w:rsidR="000B5AF1" w:rsidRPr="00322243" w:rsidRDefault="003F2646" w:rsidP="00322243">
      <w:r w:rsidRPr="00322243">
        <w:t>With the move to allocating residential aged care places directly to older people from 1 November 2025 bed licences no longer have any value, therefore</w:t>
      </w:r>
      <w:r w:rsidR="00FA4C79" w:rsidRPr="00322243">
        <w:t xml:space="preserve"> the</w:t>
      </w:r>
      <w:r w:rsidR="003C25A5" w:rsidRPr="00322243">
        <w:t>:</w:t>
      </w:r>
    </w:p>
    <w:p w14:paraId="5AC5DBCF" w14:textId="180CF835" w:rsidR="000B5AF1" w:rsidRPr="00EA55D0" w:rsidRDefault="0024674B" w:rsidP="00322243">
      <w:pPr>
        <w:pStyle w:val="ListBullet"/>
      </w:pPr>
      <w:r w:rsidRPr="00EA55D0">
        <w:t>“</w:t>
      </w:r>
      <w:r w:rsidR="003F2646" w:rsidRPr="00EA55D0">
        <w:t>Amortisation and Impairment of Bed Licen</w:t>
      </w:r>
      <w:r w:rsidR="004D0787" w:rsidRPr="00EA55D0">
        <w:t>c</w:t>
      </w:r>
      <w:r w:rsidR="003F2646" w:rsidRPr="00EA55D0">
        <w:t>es</w:t>
      </w:r>
      <w:r w:rsidR="00FA4C79" w:rsidRPr="00EA55D0">
        <w:t>” expense item</w:t>
      </w:r>
      <w:r w:rsidR="003F2646" w:rsidRPr="00EA55D0">
        <w:t xml:space="preserve"> has been removed from </w:t>
      </w:r>
      <w:r w:rsidR="003E235C" w:rsidRPr="00EA55D0">
        <w:t xml:space="preserve">the </w:t>
      </w:r>
      <w:r w:rsidR="00FA4C79" w:rsidRPr="00EA55D0">
        <w:t>“</w:t>
      </w:r>
      <w:r w:rsidR="003E235C" w:rsidRPr="00EA55D0">
        <w:t xml:space="preserve">Consolidated </w:t>
      </w:r>
      <w:r w:rsidR="001751C7" w:rsidRPr="00EA55D0">
        <w:t>Segment Report</w:t>
      </w:r>
      <w:r w:rsidR="00FA4C79" w:rsidRPr="00EA55D0">
        <w:t>”</w:t>
      </w:r>
      <w:r w:rsidR="001751C7" w:rsidRPr="00EA55D0">
        <w:t xml:space="preserve"> </w:t>
      </w:r>
      <w:r w:rsidR="003F2646" w:rsidRPr="00EA55D0">
        <w:t xml:space="preserve">and </w:t>
      </w:r>
      <w:r w:rsidR="00AB6E4D" w:rsidRPr="00EA55D0">
        <w:t>the “Registered Provider Income and Expenditure Statement”</w:t>
      </w:r>
    </w:p>
    <w:p w14:paraId="6473BD7D" w14:textId="7F610270" w:rsidR="000B5AF1" w:rsidRPr="00EA55D0" w:rsidRDefault="003F2646" w:rsidP="00322243">
      <w:pPr>
        <w:pStyle w:val="ListBullet"/>
      </w:pPr>
      <w:r w:rsidRPr="00EA55D0">
        <w:t>Intangible Assets definition has been updated to remove Bed Licen</w:t>
      </w:r>
      <w:r w:rsidR="004D0787" w:rsidRPr="00EA55D0">
        <w:t>c</w:t>
      </w:r>
      <w:r w:rsidRPr="00EA55D0">
        <w:t>es</w:t>
      </w:r>
      <w:r w:rsidR="00AF47C2" w:rsidRPr="00EA55D0">
        <w:t xml:space="preserve"> throughout the ACFR</w:t>
      </w:r>
    </w:p>
    <w:p w14:paraId="3CCF78AF" w14:textId="3E1A302C" w:rsidR="00E00AE0" w:rsidRPr="00271D9E" w:rsidRDefault="00E00AE0" w:rsidP="00271D9E">
      <w:pPr>
        <w:pStyle w:val="Heading2"/>
      </w:pPr>
      <w:r w:rsidRPr="00271D9E">
        <w:t>Renaming Available bed days to Operational bed days</w:t>
      </w:r>
    </w:p>
    <w:p w14:paraId="77EF5EB7" w14:textId="0B9432EA" w:rsidR="00D0338A" w:rsidRPr="00322243" w:rsidRDefault="00D0338A" w:rsidP="00322243">
      <w:r w:rsidRPr="00322243">
        <w:t>The allocation of places to older people has also resulted in the renaming of Available bed days to Operational bed days</w:t>
      </w:r>
      <w:r w:rsidR="00E2136B" w:rsidRPr="00322243">
        <w:t xml:space="preserve"> throughout</w:t>
      </w:r>
      <w:r w:rsidR="00B2798B" w:rsidRPr="00322243">
        <w:t xml:space="preserve"> the ACFR</w:t>
      </w:r>
      <w:r w:rsidR="006F0355" w:rsidRPr="00322243">
        <w:t xml:space="preserve">. </w:t>
      </w:r>
    </w:p>
    <w:p w14:paraId="493F342C" w14:textId="0DB6E799" w:rsidR="008539D4" w:rsidRPr="00271D9E" w:rsidRDefault="008539D4" w:rsidP="00271D9E">
      <w:pPr>
        <w:pStyle w:val="Heading2"/>
      </w:pPr>
      <w:r w:rsidRPr="00271D9E">
        <w:t>New, removed or amended data items in the “Residential Aged Care Home Income” and “Residential Aged Care Home Expenditure” forms</w:t>
      </w:r>
    </w:p>
    <w:p w14:paraId="4377ADB9" w14:textId="5DD9B88E" w:rsidR="00BF3607" w:rsidRPr="00EA55D0" w:rsidRDefault="003B4BA4" w:rsidP="00E83FBE">
      <w:pPr>
        <w:rPr>
          <w:rFonts w:cs="Arial"/>
        </w:rPr>
      </w:pPr>
      <w:r w:rsidRPr="00EA55D0">
        <w:rPr>
          <w:rFonts w:cs="Arial"/>
        </w:rPr>
        <w:t>D</w:t>
      </w:r>
      <w:r w:rsidR="00715EEB" w:rsidRPr="00EA55D0">
        <w:rPr>
          <w:rFonts w:cs="Arial"/>
        </w:rPr>
        <w:t xml:space="preserve">ata items have been </w:t>
      </w:r>
      <w:r w:rsidR="0010647E" w:rsidRPr="00EA55D0">
        <w:rPr>
          <w:rFonts w:cs="Arial"/>
        </w:rPr>
        <w:t>added</w:t>
      </w:r>
      <w:r w:rsidRPr="00EA55D0">
        <w:rPr>
          <w:rFonts w:cs="Arial"/>
        </w:rPr>
        <w:t xml:space="preserve"> to, removed from or changed in</w:t>
      </w:r>
      <w:r w:rsidR="0010647E" w:rsidRPr="00EA55D0">
        <w:rPr>
          <w:rFonts w:cs="Arial"/>
        </w:rPr>
        <w:t xml:space="preserve"> the </w:t>
      </w:r>
      <w:r w:rsidR="00802996">
        <w:rPr>
          <w:rFonts w:cs="Arial"/>
        </w:rPr>
        <w:t>“</w:t>
      </w:r>
      <w:r w:rsidR="0010647E" w:rsidRPr="00EA55D0">
        <w:rPr>
          <w:rFonts w:cs="Arial"/>
        </w:rPr>
        <w:t>Residential Aged Care Home Income</w:t>
      </w:r>
      <w:r w:rsidR="00802996">
        <w:rPr>
          <w:rFonts w:cs="Arial"/>
        </w:rPr>
        <w:t>”</w:t>
      </w:r>
      <w:r w:rsidR="0010647E" w:rsidRPr="00EA55D0">
        <w:rPr>
          <w:rFonts w:cs="Arial"/>
        </w:rPr>
        <w:t xml:space="preserve"> and </w:t>
      </w:r>
      <w:r w:rsidR="00802996">
        <w:rPr>
          <w:rFonts w:cs="Arial"/>
        </w:rPr>
        <w:t>“</w:t>
      </w:r>
      <w:r w:rsidR="0010647E" w:rsidRPr="00EA55D0">
        <w:rPr>
          <w:rFonts w:cs="Arial"/>
        </w:rPr>
        <w:t>Residential Aged Care Home Expenditure</w:t>
      </w:r>
      <w:r w:rsidR="00802996">
        <w:rPr>
          <w:rFonts w:cs="Arial"/>
        </w:rPr>
        <w:t>”</w:t>
      </w:r>
      <w:r w:rsidR="0010647E" w:rsidRPr="00EA55D0">
        <w:rPr>
          <w:rFonts w:cs="Arial"/>
        </w:rPr>
        <w:t xml:space="preserve"> forms</w:t>
      </w:r>
      <w:r w:rsidR="002E1EE2" w:rsidRPr="00EA55D0">
        <w:rPr>
          <w:rFonts w:cs="Arial"/>
        </w:rPr>
        <w:t xml:space="preserve">. </w:t>
      </w:r>
    </w:p>
    <w:p w14:paraId="14F8C231" w14:textId="18590FC3" w:rsidR="00E83FBE" w:rsidRPr="00EA55D0" w:rsidRDefault="00BF3607" w:rsidP="00E83FBE">
      <w:pPr>
        <w:rPr>
          <w:rFonts w:cs="Arial"/>
        </w:rPr>
      </w:pPr>
      <w:r w:rsidRPr="00EA55D0">
        <w:rPr>
          <w:rFonts w:cs="Arial"/>
        </w:rPr>
        <w:t xml:space="preserve">On the </w:t>
      </w:r>
      <w:r w:rsidR="00802996">
        <w:rPr>
          <w:rFonts w:cs="Arial"/>
        </w:rPr>
        <w:t>“</w:t>
      </w:r>
      <w:r w:rsidRPr="00EA55D0">
        <w:rPr>
          <w:rFonts w:cs="Arial"/>
        </w:rPr>
        <w:t>Residential Aged Care Home Income</w:t>
      </w:r>
      <w:r w:rsidR="00802996">
        <w:rPr>
          <w:rFonts w:cs="Arial"/>
        </w:rPr>
        <w:t>”</w:t>
      </w:r>
      <w:r w:rsidRPr="00EA55D0">
        <w:rPr>
          <w:rFonts w:cs="Arial"/>
        </w:rPr>
        <w:t xml:space="preserve"> form, t</w:t>
      </w:r>
      <w:r w:rsidR="002E1EE2" w:rsidRPr="00EA55D0">
        <w:rPr>
          <w:rFonts w:cs="Arial"/>
        </w:rPr>
        <w:t xml:space="preserve">hese </w:t>
      </w:r>
      <w:r w:rsidR="003B4CD4" w:rsidRPr="00EA55D0">
        <w:rPr>
          <w:rFonts w:cs="Arial"/>
        </w:rPr>
        <w:t>changes</w:t>
      </w:r>
      <w:r w:rsidR="002E1EE2" w:rsidRPr="00EA55D0">
        <w:rPr>
          <w:rFonts w:cs="Arial"/>
        </w:rPr>
        <w:t xml:space="preserve"> include:</w:t>
      </w:r>
    </w:p>
    <w:p w14:paraId="7B91425A" w14:textId="674BB99F" w:rsidR="002E1EE2" w:rsidRPr="00EA55D0" w:rsidRDefault="003B4CD4" w:rsidP="002E1EE2">
      <w:pPr>
        <w:pStyle w:val="ListBullet"/>
      </w:pPr>
      <w:r w:rsidRPr="00EA55D0">
        <w:t>Addition of “</w:t>
      </w:r>
      <w:r w:rsidR="009936C4" w:rsidRPr="00EA55D0">
        <w:t>Contribution to Hotelling Supplement</w:t>
      </w:r>
      <w:r w:rsidRPr="00EA55D0">
        <w:t>”</w:t>
      </w:r>
      <w:r w:rsidR="00162E34" w:rsidRPr="00EA55D0">
        <w:t xml:space="preserve"> under Hotel Services Income</w:t>
      </w:r>
    </w:p>
    <w:p w14:paraId="22F2767C" w14:textId="44336E4C" w:rsidR="009936C4" w:rsidRPr="00EA55D0" w:rsidRDefault="003B4CD4" w:rsidP="002E1EE2">
      <w:pPr>
        <w:pStyle w:val="ListBullet"/>
      </w:pPr>
      <w:r w:rsidRPr="00EA55D0">
        <w:t>Addition of “</w:t>
      </w:r>
      <w:r w:rsidR="009936C4" w:rsidRPr="00EA55D0">
        <w:t xml:space="preserve">Higher </w:t>
      </w:r>
      <w:r w:rsidR="00997B0B" w:rsidRPr="00EA55D0">
        <w:t>Everyday</w:t>
      </w:r>
      <w:r w:rsidR="009936C4" w:rsidRPr="00EA55D0">
        <w:t xml:space="preserve"> Living Fee</w:t>
      </w:r>
      <w:r w:rsidRPr="00EA55D0">
        <w:t>”</w:t>
      </w:r>
      <w:r w:rsidR="00162E34" w:rsidRPr="00EA55D0">
        <w:t xml:space="preserve"> under Hotel Services Income</w:t>
      </w:r>
      <w:r w:rsidR="43E3F833" w:rsidRPr="00EA55D0">
        <w:t xml:space="preserve"> – </w:t>
      </w:r>
      <w:r w:rsidR="007450FB">
        <w:t xml:space="preserve">to reflect </w:t>
      </w:r>
      <w:r w:rsidR="43E3F833" w:rsidRPr="00EA55D0">
        <w:t>the introduction of this new fee arrangement from 1 November 2025.</w:t>
      </w:r>
    </w:p>
    <w:p w14:paraId="36AA8CF4" w14:textId="08F7702B" w:rsidR="009936C4" w:rsidRPr="00EA55D0" w:rsidRDefault="003B4CD4" w:rsidP="002E1EE2">
      <w:pPr>
        <w:pStyle w:val="ListBullet"/>
      </w:pPr>
      <w:r w:rsidRPr="00EA55D0">
        <w:t>Addition of “</w:t>
      </w:r>
      <w:r w:rsidR="009936C4" w:rsidRPr="00EA55D0">
        <w:t>RAD Retention Reduction</w:t>
      </w:r>
      <w:r w:rsidRPr="00EA55D0">
        <w:t>”</w:t>
      </w:r>
      <w:r w:rsidR="00ED0A13" w:rsidRPr="00EA55D0">
        <w:t xml:space="preserve"> under Accommodation Income</w:t>
      </w:r>
    </w:p>
    <w:p w14:paraId="7E7BB920" w14:textId="4F2AEBBF" w:rsidR="003B4CD4" w:rsidRPr="00EA55D0" w:rsidRDefault="00530961" w:rsidP="000F6939">
      <w:pPr>
        <w:pStyle w:val="ListBullet"/>
        <w:rPr>
          <w:rFonts w:cs="Arial"/>
        </w:rPr>
      </w:pPr>
      <w:r w:rsidRPr="00EA55D0">
        <w:t>A</w:t>
      </w:r>
      <w:r w:rsidR="00EB21DC" w:rsidRPr="00EA55D0">
        <w:t>ddition of a</w:t>
      </w:r>
      <w:r w:rsidRPr="00EA55D0">
        <w:t xml:space="preserve"> question on how many residents were paying Higher Everyday Living Fees/Additional Services Fees/Extra Service Fees as at the end of the financial year. </w:t>
      </w:r>
    </w:p>
    <w:p w14:paraId="69508C81" w14:textId="49633882" w:rsidR="00E83FBE" w:rsidRPr="00EA55D0" w:rsidRDefault="00224109" w:rsidP="000F6939">
      <w:pPr>
        <w:pStyle w:val="ListBullet"/>
        <w:rPr>
          <w:rFonts w:cs="Arial"/>
        </w:rPr>
      </w:pPr>
      <w:r w:rsidRPr="00EA55D0">
        <w:rPr>
          <w:rFonts w:cs="Arial"/>
        </w:rPr>
        <w:t xml:space="preserve">“Resident Fees: Means Tested Care Fees” has also been renamed to remove the “Means Tested” words. </w:t>
      </w:r>
    </w:p>
    <w:p w14:paraId="69144195" w14:textId="0FC1DFF0" w:rsidR="00D43806" w:rsidRPr="00EA55D0" w:rsidRDefault="00D43806" w:rsidP="008C4CF6">
      <w:pPr>
        <w:rPr>
          <w:rFonts w:cs="Arial"/>
        </w:rPr>
      </w:pPr>
      <w:r w:rsidRPr="00EA55D0">
        <w:rPr>
          <w:rFonts w:cs="Arial"/>
        </w:rPr>
        <w:t xml:space="preserve">On the </w:t>
      </w:r>
      <w:r w:rsidR="006A3379">
        <w:rPr>
          <w:rFonts w:cs="Arial"/>
        </w:rPr>
        <w:t>“</w:t>
      </w:r>
      <w:r w:rsidRPr="00EA55D0">
        <w:rPr>
          <w:rFonts w:cs="Arial"/>
        </w:rPr>
        <w:t>Residential Aged Care Home Expenditure</w:t>
      </w:r>
      <w:r w:rsidR="006A3379">
        <w:rPr>
          <w:rFonts w:cs="Arial"/>
        </w:rPr>
        <w:t>”</w:t>
      </w:r>
      <w:r w:rsidRPr="00EA55D0">
        <w:rPr>
          <w:rFonts w:cs="Arial"/>
        </w:rPr>
        <w:t xml:space="preserve"> form, these changes include:</w:t>
      </w:r>
    </w:p>
    <w:p w14:paraId="1B39A158" w14:textId="0486C811" w:rsidR="003571A6" w:rsidRDefault="00F84FA6" w:rsidP="00E22085">
      <w:pPr>
        <w:pStyle w:val="ListBullet"/>
      </w:pPr>
      <w:r>
        <w:t>A new</w:t>
      </w:r>
      <w:r w:rsidR="003571A6">
        <w:t xml:space="preserve"> sub-category at the bottom of the </w:t>
      </w:r>
      <w:r w:rsidR="00AC474F" w:rsidRPr="007F57AB">
        <w:t>form</w:t>
      </w:r>
      <w:r w:rsidR="00882953" w:rsidRPr="007F57AB">
        <w:t xml:space="preserve"> </w:t>
      </w:r>
      <w:r>
        <w:t xml:space="preserve">has been added to report </w:t>
      </w:r>
      <w:r w:rsidR="00B20F8B">
        <w:t>expenses related to the deliver</w:t>
      </w:r>
      <w:r w:rsidR="00E636BA">
        <w:t>y</w:t>
      </w:r>
      <w:r w:rsidR="00B20F8B">
        <w:t xml:space="preserve"> of High Everyday Living / Additional Services / Extra Services</w:t>
      </w:r>
      <w:r w:rsidR="001E057D">
        <w:t xml:space="preserve"> (note these were previously proposed to be reported under “Hotel Expenses”)</w:t>
      </w:r>
      <w:r w:rsidR="00E636BA">
        <w:t>.</w:t>
      </w:r>
      <w:r w:rsidR="00151252">
        <w:t xml:space="preserve"> The two items are:</w:t>
      </w:r>
      <w:r w:rsidR="00E636BA">
        <w:t xml:space="preserve"> </w:t>
      </w:r>
    </w:p>
    <w:p w14:paraId="0566965F" w14:textId="6333BB8A" w:rsidR="004E2FAB" w:rsidRPr="00EA55D0" w:rsidRDefault="000455BF" w:rsidP="00E22085">
      <w:pPr>
        <w:pStyle w:val="ListBullet2"/>
      </w:pPr>
      <w:r w:rsidRPr="00EA55D0">
        <w:t xml:space="preserve"> “Higher Everyday Living/Additional Service</w:t>
      </w:r>
      <w:r w:rsidR="00537B89" w:rsidRPr="00EA55D0">
        <w:t>/Extra Service – staffing costs (non-agency)”</w:t>
      </w:r>
    </w:p>
    <w:p w14:paraId="2C03BA18" w14:textId="2533C11D" w:rsidR="00537B89" w:rsidRPr="00EA55D0" w:rsidRDefault="004E2FAB" w:rsidP="00E22085">
      <w:pPr>
        <w:pStyle w:val="ListBullet2"/>
      </w:pPr>
      <w:r w:rsidRPr="00EA55D0">
        <w:t xml:space="preserve"> </w:t>
      </w:r>
      <w:r w:rsidR="00537B89" w:rsidRPr="00EA55D0">
        <w:t>“</w:t>
      </w:r>
      <w:r w:rsidRPr="00EA55D0">
        <w:t xml:space="preserve">Higher Everyday Living/Additional Service/Extra Service </w:t>
      </w:r>
      <w:r w:rsidR="00F5440A" w:rsidRPr="00EA55D0">
        <w:t xml:space="preserve">- </w:t>
      </w:r>
      <w:r w:rsidR="00537B89" w:rsidRPr="00EA55D0">
        <w:t>consumables and contracting”.</w:t>
      </w:r>
    </w:p>
    <w:p w14:paraId="7A45AD01" w14:textId="7FB0CCEF" w:rsidR="00F802EF" w:rsidRPr="00322243" w:rsidRDefault="004B7136" w:rsidP="00322243">
      <w:pPr>
        <w:pStyle w:val="ListBullet"/>
      </w:pPr>
      <w:r w:rsidRPr="00EA55D0">
        <w:t xml:space="preserve">Two data items have been added to </w:t>
      </w:r>
      <w:r w:rsidR="008848A0" w:rsidRPr="00EA55D0">
        <w:t>“other direct care expenses” for</w:t>
      </w:r>
      <w:r w:rsidRPr="00EA55D0">
        <w:t xml:space="preserve"> “staff</w:t>
      </w:r>
      <w:r w:rsidR="00546AAB" w:rsidRPr="00EA55D0">
        <w:t>ing</w:t>
      </w:r>
      <w:r w:rsidRPr="00EA55D0">
        <w:t xml:space="preserve"> </w:t>
      </w:r>
      <w:r w:rsidR="00546AAB" w:rsidRPr="00EA55D0">
        <w:t>rete</w:t>
      </w:r>
      <w:r w:rsidR="00DB2FDB" w:rsidRPr="00EA55D0">
        <w:t>n</w:t>
      </w:r>
      <w:r w:rsidR="00546AAB" w:rsidRPr="00EA55D0">
        <w:t>tion</w:t>
      </w:r>
      <w:r w:rsidRPr="00EA55D0">
        <w:t xml:space="preserve"> – travel costs” for both agency and non-agency</w:t>
      </w:r>
      <w:r w:rsidR="00E55EBA" w:rsidRPr="00EA55D0">
        <w:t>, to capture travel related</w:t>
      </w:r>
      <w:r w:rsidR="00DC15A3" w:rsidRPr="00EA55D0">
        <w:t xml:space="preserve"> expenses for direct care staff </w:t>
      </w:r>
      <w:r w:rsidR="00DB2FDB" w:rsidRPr="00EA55D0">
        <w:t>that are paid for by the provider</w:t>
      </w:r>
      <w:r w:rsidR="00DC15A3" w:rsidRPr="00EA55D0">
        <w:t xml:space="preserve"> such as </w:t>
      </w:r>
      <w:r w:rsidR="00DC15A3" w:rsidRPr="00322243">
        <w:t xml:space="preserve">transport to and from the provider’s accommodation and </w:t>
      </w:r>
      <w:r w:rsidR="00977DEB" w:rsidRPr="00322243">
        <w:t xml:space="preserve">a </w:t>
      </w:r>
      <w:r w:rsidR="009D7E53" w:rsidRPr="00322243">
        <w:t>residential aged care home</w:t>
      </w:r>
      <w:r w:rsidR="00DC15A3" w:rsidRPr="00322243">
        <w:t xml:space="preserve">. </w:t>
      </w:r>
    </w:p>
    <w:p w14:paraId="1EDD019D" w14:textId="6D317381" w:rsidR="00B26248" w:rsidRDefault="009C0B5B" w:rsidP="00322243">
      <w:pPr>
        <w:pStyle w:val="ListBullet"/>
        <w:rPr>
          <w:rFonts w:eastAsiaTheme="minorEastAsia"/>
        </w:rPr>
      </w:pPr>
      <w:r w:rsidRPr="00322243">
        <w:t xml:space="preserve">Updates to </w:t>
      </w:r>
      <w:r w:rsidR="00CE76FD" w:rsidRPr="00322243">
        <w:t>labour expense definitions</w:t>
      </w:r>
      <w:r w:rsidRPr="00322243">
        <w:t xml:space="preserve"> to include </w:t>
      </w:r>
      <w:r w:rsidR="00CE76FD" w:rsidRPr="00322243">
        <w:t>t</w:t>
      </w:r>
      <w:r w:rsidR="002B5BBC" w:rsidRPr="00322243">
        <w:t xml:space="preserve">he labour cost of </w:t>
      </w:r>
      <w:r w:rsidR="003E57CA" w:rsidRPr="00322243">
        <w:t xml:space="preserve">staff attending </w:t>
      </w:r>
      <w:r w:rsidR="003E57CA">
        <w:rPr>
          <w:rFonts w:eastAsiaTheme="minorEastAsia"/>
        </w:rPr>
        <w:t xml:space="preserve">training </w:t>
      </w:r>
    </w:p>
    <w:p w14:paraId="6793A68A" w14:textId="2605D97F" w:rsidR="00DC20CF" w:rsidRPr="00E62EF9" w:rsidRDefault="00DC20CF" w:rsidP="00322243">
      <w:pPr>
        <w:pStyle w:val="ListBullet"/>
        <w:rPr>
          <w:rFonts w:eastAsiaTheme="minorEastAsia"/>
        </w:rPr>
      </w:pPr>
      <w:r w:rsidRPr="00E62EF9">
        <w:rPr>
          <w:rFonts w:eastAsiaTheme="minorEastAsia"/>
        </w:rPr>
        <w:t>The definition of </w:t>
      </w:r>
      <w:r w:rsidR="00E62EF9">
        <w:rPr>
          <w:rFonts w:eastAsiaTheme="minorEastAsia"/>
        </w:rPr>
        <w:t>“</w:t>
      </w:r>
      <w:r w:rsidRPr="00E62EF9">
        <w:rPr>
          <w:rFonts w:eastAsiaTheme="minorEastAsia"/>
        </w:rPr>
        <w:t>non</w:t>
      </w:r>
      <w:r w:rsidRPr="00E62EF9">
        <w:rPr>
          <w:rFonts w:eastAsiaTheme="minorEastAsia"/>
        </w:rPr>
        <w:noBreakHyphen/>
        <w:t>worked hours</w:t>
      </w:r>
      <w:r w:rsidR="00E62EF9">
        <w:rPr>
          <w:rFonts w:eastAsiaTheme="minorEastAsia"/>
          <w:i/>
          <w:iCs/>
        </w:rPr>
        <w:t>”</w:t>
      </w:r>
      <w:r w:rsidRPr="00E62EF9">
        <w:rPr>
          <w:rFonts w:eastAsiaTheme="minorEastAsia"/>
        </w:rPr>
        <w:t> has been updated to clarify:</w:t>
      </w:r>
    </w:p>
    <w:p w14:paraId="2668E483" w14:textId="77777777" w:rsidR="00DC20CF" w:rsidRPr="00E62EF9" w:rsidRDefault="00DC20CF" w:rsidP="00322243">
      <w:pPr>
        <w:pStyle w:val="ListBullet2"/>
      </w:pPr>
      <w:r w:rsidRPr="00E62EF9">
        <w:t>only direct care worker employees (Registered Nurses, Enrolled Nurses and Personal Care Workers/Assistants in Nursing) are included </w:t>
      </w:r>
    </w:p>
    <w:p w14:paraId="21132A0B" w14:textId="65B67BE4" w:rsidR="00DC20CF" w:rsidRPr="00E62EF9" w:rsidRDefault="00DC20CF" w:rsidP="00322243">
      <w:pPr>
        <w:pStyle w:val="ListBullet2"/>
      </w:pPr>
      <w:r w:rsidRPr="00E62EF9">
        <w:t>all paid leave hours (such as annual, long service or personal/carer’s leave) and paid training hours for employees are to be included </w:t>
      </w:r>
    </w:p>
    <w:p w14:paraId="026DBCED" w14:textId="7DBB2D96" w:rsidR="00DC20CF" w:rsidRPr="00322243" w:rsidRDefault="00DC20CF" w:rsidP="00322243">
      <w:pPr>
        <w:pStyle w:val="ListBullet2"/>
      </w:pPr>
      <w:r w:rsidRPr="00E62EF9">
        <w:t>that agency staff non</w:t>
      </w:r>
      <w:r w:rsidRPr="00E62EF9">
        <w:noBreakHyphen/>
        <w:t>worked hours are to be excluded. </w:t>
      </w:r>
    </w:p>
    <w:p w14:paraId="23FEB7D6" w14:textId="3CDF835E" w:rsidR="00813259" w:rsidRPr="00271D9E" w:rsidRDefault="00813259" w:rsidP="00271D9E">
      <w:pPr>
        <w:pStyle w:val="Heading2"/>
      </w:pPr>
      <w:r w:rsidRPr="00271D9E">
        <w:t>A new form labelled “Care Minute</w:t>
      </w:r>
      <w:r w:rsidR="00F51623" w:rsidRPr="00271D9E">
        <w:t>s</w:t>
      </w:r>
      <w:r w:rsidRPr="00271D9E">
        <w:t xml:space="preserve"> Performance Statement”</w:t>
      </w:r>
    </w:p>
    <w:p w14:paraId="50CB746B" w14:textId="561F66BC" w:rsidR="00465F8F" w:rsidRDefault="00813259" w:rsidP="00813259">
      <w:r w:rsidRPr="00EA55D0">
        <w:t>The Care Minute</w:t>
      </w:r>
      <w:r w:rsidR="00F51623" w:rsidRPr="00EA55D0">
        <w:t>s</w:t>
      </w:r>
      <w:r w:rsidRPr="00EA55D0">
        <w:t xml:space="preserve"> Performance Statement has been added to the 2025-26 ACFR</w:t>
      </w:r>
      <w:r w:rsidR="000D322A" w:rsidRPr="00EA55D0">
        <w:t xml:space="preserve"> to allow external audit of care expenses, care minutes and 24/7 Registered Nurse reporting. </w:t>
      </w:r>
      <w:r w:rsidR="000073C7">
        <w:t xml:space="preserve">As this requirement is effective from 1 November 2025, </w:t>
      </w:r>
      <w:r w:rsidR="00D20B96">
        <w:t xml:space="preserve">the </w:t>
      </w:r>
      <w:r w:rsidR="00AA59A6">
        <w:t xml:space="preserve">2025-26 </w:t>
      </w:r>
      <w:r w:rsidR="00D20B96">
        <w:t xml:space="preserve">Statement will cover the period from 1 November 2025 to </w:t>
      </w:r>
      <w:r w:rsidR="00385684">
        <w:t>30 June 202</w:t>
      </w:r>
      <w:r w:rsidR="00F216F5">
        <w:t>6</w:t>
      </w:r>
      <w:r w:rsidR="00207A60">
        <w:t xml:space="preserve">. </w:t>
      </w:r>
      <w:r w:rsidR="00A80AAC">
        <w:t>P</w:t>
      </w:r>
      <w:r w:rsidR="00207A60">
        <w:t>roviders will report</w:t>
      </w:r>
      <w:r w:rsidR="009F0113">
        <w:t xml:space="preserve"> care minutes and care expenses for </w:t>
      </w:r>
      <w:r w:rsidR="003A7FE3">
        <w:t>quarters 3 and 4 only and 24/7 registered nurse data f</w:t>
      </w:r>
      <w:r w:rsidR="00C81E8B">
        <w:t>or</w:t>
      </w:r>
      <w:r w:rsidR="003A7FE3">
        <w:t xml:space="preserve"> the </w:t>
      </w:r>
      <w:r w:rsidR="007E52C6">
        <w:t>8</w:t>
      </w:r>
      <w:r w:rsidR="00465F8F">
        <w:t xml:space="preserve"> months from November 2025</w:t>
      </w:r>
      <w:r w:rsidR="00F216F5">
        <w:t xml:space="preserve">. </w:t>
      </w:r>
    </w:p>
    <w:p w14:paraId="431AE557" w14:textId="31096744" w:rsidR="00813259" w:rsidRPr="00EA55D0" w:rsidRDefault="000D322A" w:rsidP="00813259">
      <w:r w:rsidRPr="00EA55D0">
        <w:t>More information about the new Statement can be f</w:t>
      </w:r>
      <w:r w:rsidR="00640FD8" w:rsidRPr="00EA55D0">
        <w:t>o</w:t>
      </w:r>
      <w:r w:rsidRPr="00EA55D0">
        <w:t xml:space="preserve">und here </w:t>
      </w:r>
      <w:hyperlink r:id="rId28" w:history="1">
        <w:r w:rsidR="00640FD8" w:rsidRPr="00EA55D0">
          <w:rPr>
            <w:rStyle w:val="Hyperlink"/>
          </w:rPr>
          <w:t>Care Minutes Performance Statement | Australian Government Department of Health, Disability and Ageing</w:t>
        </w:r>
      </w:hyperlink>
    </w:p>
    <w:p w14:paraId="5CBF50D1" w14:textId="65BF7C1F" w:rsidR="00961666" w:rsidRPr="00271D9E" w:rsidRDefault="002625EB" w:rsidP="00271D9E">
      <w:pPr>
        <w:pStyle w:val="Heading2"/>
      </w:pPr>
      <w:r w:rsidRPr="00271D9E">
        <w:t xml:space="preserve">Amended Annual Prudential Compliance Statement </w:t>
      </w:r>
      <w:r w:rsidR="00632306" w:rsidRPr="00271D9E">
        <w:t xml:space="preserve">(APCS) and </w:t>
      </w:r>
      <w:r w:rsidRPr="00271D9E">
        <w:t xml:space="preserve">Permitted Uses Reconciliation in line with the new Act and Rules </w:t>
      </w:r>
    </w:p>
    <w:p w14:paraId="06BFC4F6" w14:textId="0559205C" w:rsidR="001E08D5" w:rsidRDefault="00971222" w:rsidP="002625EB">
      <w:r>
        <w:t>With the comme</w:t>
      </w:r>
      <w:r w:rsidR="00311D54">
        <w:t xml:space="preserve">ncement of the </w:t>
      </w:r>
      <w:r w:rsidR="00532406">
        <w:t xml:space="preserve">new Act </w:t>
      </w:r>
      <w:r w:rsidR="00311D54">
        <w:t>and associated Rules on 1 November 2025</w:t>
      </w:r>
      <w:r w:rsidR="008852C8">
        <w:t xml:space="preserve">, the </w:t>
      </w:r>
      <w:r w:rsidR="002625EB" w:rsidRPr="00EA55D0">
        <w:t>APCS</w:t>
      </w:r>
      <w:r w:rsidR="00EA47CE" w:rsidRPr="00EA55D0">
        <w:t xml:space="preserve"> and Permitted Uses Reconciliation </w:t>
      </w:r>
      <w:r w:rsidR="00635606">
        <w:t xml:space="preserve">have been updated </w:t>
      </w:r>
      <w:r w:rsidR="008852C8">
        <w:t xml:space="preserve">to enable providers to report </w:t>
      </w:r>
      <w:r w:rsidR="00FA1AB7">
        <w:t xml:space="preserve">compliance with both the </w:t>
      </w:r>
      <w:r w:rsidR="002B2175">
        <w:t>old and new legislati</w:t>
      </w:r>
      <w:r w:rsidR="00D74691">
        <w:t>ve requirements.</w:t>
      </w:r>
      <w:r w:rsidR="0085689A">
        <w:t xml:space="preserve"> Providers should ensure they read each question carefully to </w:t>
      </w:r>
      <w:r w:rsidR="001E08D5">
        <w:t xml:space="preserve">understand </w:t>
      </w:r>
      <w:r w:rsidR="0085689A">
        <w:t xml:space="preserve">whether </w:t>
      </w:r>
      <w:r w:rsidR="00D74691">
        <w:t xml:space="preserve">the question covers the old legislation, </w:t>
      </w:r>
      <w:r w:rsidR="001E08D5">
        <w:t xml:space="preserve">the </w:t>
      </w:r>
      <w:r w:rsidR="00D74691">
        <w:t>new legislation or both.</w:t>
      </w:r>
    </w:p>
    <w:p w14:paraId="43A19941" w14:textId="473B231E" w:rsidR="002625EB" w:rsidRPr="00EA55D0" w:rsidRDefault="001E08D5" w:rsidP="002625EB">
      <w:r>
        <w:t>More information</w:t>
      </w:r>
      <w:r w:rsidR="00CC3BA5">
        <w:t xml:space="preserve"> about the 2025-26 </w:t>
      </w:r>
      <w:r w:rsidR="00A52613">
        <w:t xml:space="preserve">APCS </w:t>
      </w:r>
      <w:r w:rsidR="00F94BB1">
        <w:t xml:space="preserve">is provided on the </w:t>
      </w:r>
      <w:hyperlink r:id="rId29" w:history="1">
        <w:r w:rsidR="007B641D" w:rsidRPr="00EA55D0">
          <w:rPr>
            <w:rStyle w:val="Hyperlink"/>
            <w:rFonts w:cs="Arial"/>
          </w:rPr>
          <w:t>department’s website</w:t>
        </w:r>
      </w:hyperlink>
      <w:r w:rsidR="00F94BB1">
        <w:t>.</w:t>
      </w:r>
      <w:r w:rsidR="00F9163B" w:rsidRPr="00EA55D0">
        <w:t xml:space="preserve"> </w:t>
      </w:r>
    </w:p>
    <w:p w14:paraId="4A02D653" w14:textId="7E099C55" w:rsidR="005D7AB4" w:rsidRPr="00271D9E" w:rsidRDefault="00F143F9" w:rsidP="00271D9E">
      <w:pPr>
        <w:pStyle w:val="Heading2"/>
      </w:pPr>
      <w:r w:rsidRPr="00271D9E">
        <w:t>A</w:t>
      </w:r>
      <w:r w:rsidR="005D7AB4" w:rsidRPr="00271D9E">
        <w:t>mended data items in the “Survey of Aged Care Homes” form</w:t>
      </w:r>
    </w:p>
    <w:p w14:paraId="7F86519E" w14:textId="164A248A" w:rsidR="00D43806" w:rsidRDefault="00A82750" w:rsidP="008C4CF6">
      <w:pPr>
        <w:rPr>
          <w:rFonts w:cs="Arial"/>
        </w:rPr>
      </w:pPr>
      <w:r w:rsidRPr="00EA55D0">
        <w:rPr>
          <w:rFonts w:cs="Arial"/>
        </w:rPr>
        <w:t>Q</w:t>
      </w:r>
      <w:r w:rsidR="00F143F9" w:rsidRPr="00EA55D0">
        <w:rPr>
          <w:rFonts w:cs="Arial"/>
        </w:rPr>
        <w:t xml:space="preserve">uestions in the Survey of Aged Care Homes </w:t>
      </w:r>
      <w:r w:rsidR="0072753D">
        <w:rPr>
          <w:rFonts w:cs="Arial"/>
        </w:rPr>
        <w:t xml:space="preserve">on the </w:t>
      </w:r>
      <w:r w:rsidR="002B0ADE">
        <w:rPr>
          <w:rFonts w:cs="Arial"/>
        </w:rPr>
        <w:t xml:space="preserve">amount </w:t>
      </w:r>
      <w:r w:rsidR="00282994">
        <w:rPr>
          <w:rFonts w:cs="Arial"/>
        </w:rPr>
        <w:t xml:space="preserve">paid by lump sum and daily contribution </w:t>
      </w:r>
      <w:r w:rsidR="00F143F9" w:rsidRPr="00EA55D0">
        <w:rPr>
          <w:rFonts w:cs="Arial"/>
        </w:rPr>
        <w:t>have been amended</w:t>
      </w:r>
      <w:r w:rsidR="00C6648D" w:rsidRPr="00EA55D0">
        <w:rPr>
          <w:rFonts w:cs="Arial"/>
        </w:rPr>
        <w:t>.</w:t>
      </w:r>
      <w:r w:rsidR="00F143F9" w:rsidRPr="00EA55D0">
        <w:rPr>
          <w:rFonts w:cs="Arial"/>
        </w:rPr>
        <w:t xml:space="preserve"> </w:t>
      </w:r>
    </w:p>
    <w:p w14:paraId="290D4067" w14:textId="42D3342D" w:rsidR="00CD7276" w:rsidRPr="00D934A4" w:rsidRDefault="00CD7276" w:rsidP="00E22085">
      <w:pPr>
        <w:pStyle w:val="SubjectHeading"/>
        <w:pageBreakBefore/>
      </w:pPr>
      <w:r w:rsidRPr="00D934A4">
        <w:t>Home Care Packages Program changes</w:t>
      </w:r>
    </w:p>
    <w:p w14:paraId="4B71D491" w14:textId="51BF585F" w:rsidR="001221F0" w:rsidRPr="00271D9E" w:rsidRDefault="00F56E08" w:rsidP="00271D9E">
      <w:pPr>
        <w:pStyle w:val="Heading2"/>
      </w:pPr>
      <w:r w:rsidRPr="00271D9E">
        <w:t>Removal of Aged Care Planning Regions</w:t>
      </w:r>
    </w:p>
    <w:p w14:paraId="6E089948" w14:textId="4C6AAC05" w:rsidR="00932507" w:rsidRPr="00322243" w:rsidRDefault="00582F9A" w:rsidP="00322243">
      <w:r w:rsidRPr="00322243">
        <w:t xml:space="preserve">As aged care planning regions (ACPR) are no longer applicable under the new Act, the requirement to report financial information by ACPR has been removed. Instead, providers will report financial information at the total </w:t>
      </w:r>
      <w:r w:rsidR="00E72196" w:rsidRPr="00322243">
        <w:t xml:space="preserve">Home Care Packages </w:t>
      </w:r>
      <w:r w:rsidRPr="00322243">
        <w:t>program level.</w:t>
      </w:r>
    </w:p>
    <w:p w14:paraId="1FE7622A" w14:textId="23ACBD69" w:rsidR="006C7764" w:rsidRPr="00EA55D0" w:rsidRDefault="006C7764" w:rsidP="00932507">
      <w:pPr>
        <w:pStyle w:val="SubjectHeading"/>
      </w:pPr>
      <w:r w:rsidRPr="00EA55D0">
        <w:t xml:space="preserve">Support at Home </w:t>
      </w:r>
      <w:r w:rsidR="002D1D52" w:rsidRPr="00EA55D0">
        <w:t>program</w:t>
      </w:r>
      <w:r w:rsidRPr="00EA55D0">
        <w:t xml:space="preserve"> changes</w:t>
      </w:r>
    </w:p>
    <w:p w14:paraId="0AADB9DB" w14:textId="34AE1924" w:rsidR="006C7764" w:rsidRPr="00271D9E" w:rsidRDefault="00185177" w:rsidP="00271D9E">
      <w:pPr>
        <w:pStyle w:val="Heading2"/>
      </w:pPr>
      <w:r w:rsidRPr="00271D9E">
        <w:t xml:space="preserve">New </w:t>
      </w:r>
      <w:r w:rsidR="00D068EC" w:rsidRPr="00271D9E">
        <w:t>“</w:t>
      </w:r>
      <w:r w:rsidR="005B67A8" w:rsidRPr="00271D9E">
        <w:t>Support at Home Income and Expenditure Statement</w:t>
      </w:r>
      <w:r w:rsidR="00D068EC" w:rsidRPr="00271D9E">
        <w:t>”</w:t>
      </w:r>
    </w:p>
    <w:p w14:paraId="74571847" w14:textId="3356252B" w:rsidR="004F19E4" w:rsidRPr="00EA55D0" w:rsidRDefault="00487680" w:rsidP="00322243">
      <w:pPr>
        <w:rPr>
          <w:rFonts w:cs="Arial"/>
        </w:rPr>
      </w:pPr>
      <w:r w:rsidRPr="00EA55D0">
        <w:rPr>
          <w:rFonts w:eastAsiaTheme="minorHAnsi" w:cs="Arial"/>
        </w:rPr>
        <w:t xml:space="preserve">There is a new “Support at Home Income and Expenditure Statement” that aligns income and expense reporting to the Support at Home Service List. </w:t>
      </w:r>
    </w:p>
    <w:p w14:paraId="4ADF1ED2" w14:textId="21371CFB" w:rsidR="00695334" w:rsidRPr="00322243" w:rsidRDefault="00AA723B" w:rsidP="00322243">
      <w:r w:rsidRPr="00322243">
        <w:br w:type="page"/>
      </w:r>
    </w:p>
    <w:p w14:paraId="33E1FE22" w14:textId="1D038F2C" w:rsidR="00566E8C" w:rsidRPr="00322243" w:rsidRDefault="002837E6" w:rsidP="00322243">
      <w:r w:rsidRPr="00EA55D0">
        <w:rPr>
          <w:rFonts w:cs="Arial"/>
        </w:rPr>
        <mc:AlternateContent>
          <mc:Choice Requires="wps">
            <w:drawing>
              <wp:anchor distT="0" distB="0" distL="114300" distR="114300" simplePos="0" relativeHeight="251658241" behindDoc="1" locked="0" layoutInCell="1" allowOverlap="1" wp14:anchorId="60511531" wp14:editId="236F8901">
                <wp:simplePos x="0" y="0"/>
                <wp:positionH relativeFrom="page">
                  <wp:align>right</wp:align>
                </wp:positionH>
                <wp:positionV relativeFrom="margin">
                  <wp:posOffset>-1251176</wp:posOffset>
                </wp:positionV>
                <wp:extent cx="7560000" cy="10692000"/>
                <wp:effectExtent l="0" t="0" r="3175" b="0"/>
                <wp:wrapNone/>
                <wp:docPr id="50" name="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B3C4A" id="Rectangle 50" o:spid="_x0000_s1026" alt="&quot;&quot;" style="position:absolute;margin-left:544.1pt;margin-top:-98.5pt;width:595.3pt;height:841.9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C5&#10;hVBD3gAAAAsBAAAPAAAAZHJzL2Rvd25yZXYueG1sTI9BT4NAEIXvJv6HzZh4axfUICBLY4y9mpQ2&#10;xuOWHYHAzhJ2ofjvnZ709ibv5c33it1qB7Hg5DtHCuJtBAKpdqajRsHpuN+kIHzQZPTgCBX8oIdd&#10;eXtT6Ny4Cx1wqUIjuIR8rhW0IYy5lL5u0Wq/dSMSe99usjrwOTXSTPrC5XaQD1GUSKs74g+tHvGt&#10;xbqvZqug+dq/L2vfojv4x2rux+z08WmUur9bX19ABFzDXxiu+IwOJTOd3UzGi0EBDwkKNnH2zOrq&#10;x1mUgDizekqTFGRZyP8byl8AAAD//wMAUEsBAi0AFAAGAAgAAAAhALaDOJL+AAAA4QEAABMAAAAA&#10;AAAAAAAAAAAAAAAAAFtDb250ZW50X1R5cGVzXS54bWxQSwECLQAUAAYACAAAACEAOP0h/9YAAACU&#10;AQAACwAAAAAAAAAAAAAAAAAvAQAAX3JlbHMvLnJlbHNQSwECLQAUAAYACAAAACEA0NlEiH0CAABg&#10;BQAADgAAAAAAAAAAAAAAAAAuAgAAZHJzL2Uyb0RvYy54bWxQSwECLQAUAAYACAAAACEAuYVQQ94A&#10;AAALAQAADwAAAAAAAAAAAAAAAADXBAAAZHJzL2Rvd25yZXYueG1sUEsFBgAAAAAEAAQA8wAAAOIF&#10;AAAAAA==&#10;" fillcolor="#1e1545 [3213]" stroked="f" strokeweight="2pt">
                <w10:wrap anchorx="page" anchory="margin"/>
              </v:rect>
            </w:pict>
          </mc:Fallback>
        </mc:AlternateContent>
      </w:r>
    </w:p>
    <w:p w14:paraId="3D953522" w14:textId="4A5AEB59" w:rsidR="00A86D0E" w:rsidRPr="00EA55D0" w:rsidRDefault="002C5B37" w:rsidP="002837E6">
      <w:pPr>
        <w:pStyle w:val="Chapternumbers"/>
      </w:pPr>
      <w:r>
        <w:t>3</w:t>
      </w:r>
    </w:p>
    <w:p w14:paraId="71653543" w14:textId="45B81BD9" w:rsidR="009432BF" w:rsidRPr="005274C5" w:rsidRDefault="002C5B37" w:rsidP="00F255A4">
      <w:pPr>
        <w:pStyle w:val="Titleforpagesbetweensections"/>
      </w:pPr>
      <w:r>
        <w:t xml:space="preserve">General </w:t>
      </w:r>
      <w:r w:rsidR="000065A7" w:rsidRPr="00EA55D0">
        <w:t>Guidance</w:t>
      </w:r>
      <w:r w:rsidR="009432BF" w:rsidRPr="005274C5">
        <w:br w:type="page"/>
      </w:r>
    </w:p>
    <w:p w14:paraId="17AE9B58" w14:textId="160751BF" w:rsidR="00F212B6" w:rsidRPr="00A247D7" w:rsidRDefault="00513D86" w:rsidP="00E22085">
      <w:pPr>
        <w:pStyle w:val="Heading1"/>
      </w:pPr>
      <w:bookmarkStart w:id="12" w:name="_Toc209078251"/>
      <w:bookmarkStart w:id="13" w:name="_Toc224723290"/>
      <w:r>
        <w:t xml:space="preserve">General </w:t>
      </w:r>
      <w:r w:rsidR="00F61513" w:rsidRPr="00A247D7">
        <w:t>Guidance</w:t>
      </w:r>
      <w:bookmarkEnd w:id="12"/>
      <w:bookmarkEnd w:id="13"/>
    </w:p>
    <w:p w14:paraId="639BBCC1" w14:textId="31D7D3CB" w:rsidR="009504DF" w:rsidRPr="00271D9E" w:rsidRDefault="00F212B6" w:rsidP="00271D9E">
      <w:pPr>
        <w:pStyle w:val="Heading2"/>
      </w:pPr>
      <w:r w:rsidRPr="00271D9E">
        <w:t>General FAQs</w:t>
      </w:r>
      <w:r w:rsidR="009504DF" w:rsidRPr="00271D9E">
        <w:t xml:space="preserve"> </w:t>
      </w:r>
    </w:p>
    <w:p w14:paraId="2B965DA0" w14:textId="3FE4F08F" w:rsidR="00BA29E1" w:rsidRPr="003B54D8" w:rsidRDefault="00BA29E1" w:rsidP="00E22085">
      <w:pPr>
        <w:pStyle w:val="Heading3"/>
      </w:pPr>
      <w:r w:rsidRPr="003B54D8">
        <w:t>Do I have to complete multiple ACFR</w:t>
      </w:r>
      <w:r w:rsidR="00B06359" w:rsidRPr="003B54D8">
        <w:t>s</w:t>
      </w:r>
      <w:r w:rsidRPr="003B54D8">
        <w:t xml:space="preserve"> for 2025-26, given the new Act commences on 1 </w:t>
      </w:r>
      <w:r w:rsidR="00A21D77" w:rsidRPr="003B54D8">
        <w:t>November 2025?</w:t>
      </w:r>
    </w:p>
    <w:p w14:paraId="67ADAD0A" w14:textId="7735DB08" w:rsidR="00A21D77" w:rsidRPr="00EA55D0" w:rsidRDefault="00A21D77" w:rsidP="00A21D77">
      <w:r w:rsidRPr="00EA55D0">
        <w:t xml:space="preserve">No. </w:t>
      </w:r>
      <w:r w:rsidR="0047124A" w:rsidRPr="00EA55D0">
        <w:rPr>
          <w:rFonts w:cs="Arial"/>
        </w:rPr>
        <w:t xml:space="preserve">Even though the </w:t>
      </w:r>
      <w:r w:rsidR="0047124A" w:rsidRPr="00EA55D0">
        <w:rPr>
          <w:rFonts w:cs="Arial"/>
          <w:i/>
          <w:iCs/>
        </w:rPr>
        <w:t>Aged Care Act 1997</w:t>
      </w:r>
      <w:r w:rsidR="0047124A" w:rsidRPr="00EA55D0">
        <w:rPr>
          <w:rFonts w:cs="Arial"/>
        </w:rPr>
        <w:t xml:space="preserve"> and the new Act are both relevant legislation within the 2025-26 financial year, providers will be required to complete only one ACFR for the </w:t>
      </w:r>
      <w:r w:rsidR="001F68D8">
        <w:rPr>
          <w:rFonts w:cs="Arial"/>
        </w:rPr>
        <w:t xml:space="preserve">full </w:t>
      </w:r>
      <w:r w:rsidR="00DC268B">
        <w:rPr>
          <w:rFonts w:cs="Arial"/>
        </w:rPr>
        <w:t>12-month</w:t>
      </w:r>
      <w:r w:rsidR="001F68D8">
        <w:rPr>
          <w:rFonts w:cs="Arial"/>
        </w:rPr>
        <w:t xml:space="preserve"> </w:t>
      </w:r>
      <w:r w:rsidR="0047124A" w:rsidRPr="00EA55D0">
        <w:rPr>
          <w:rFonts w:cs="Arial"/>
        </w:rPr>
        <w:t>reporting period.</w:t>
      </w:r>
    </w:p>
    <w:p w14:paraId="5F2A6C72" w14:textId="4CED614F" w:rsidR="00760F78" w:rsidRPr="00C72F5C" w:rsidRDefault="00760F78" w:rsidP="006D27F3">
      <w:pPr>
        <w:pStyle w:val="Heading3"/>
      </w:pPr>
      <w:r w:rsidRPr="00C72F5C">
        <w:t>Is the ACFR and quarter 1 (July to September) Quarterly Financial Report (QFR) due at a similar time?</w:t>
      </w:r>
    </w:p>
    <w:p w14:paraId="798F415B" w14:textId="6BCE250B" w:rsidR="00760F78" w:rsidRPr="00D57880" w:rsidRDefault="00760F78" w:rsidP="00D57880">
      <w:r w:rsidRPr="00D57880">
        <w:t>Yes. The ACFR is due by 31 October</w:t>
      </w:r>
      <w:r w:rsidR="00866DC0" w:rsidRPr="00D57880">
        <w:t xml:space="preserve"> each year</w:t>
      </w:r>
      <w:r w:rsidRPr="00D57880">
        <w:t xml:space="preserve">. The </w:t>
      </w:r>
      <w:r w:rsidR="0083468E" w:rsidRPr="00D57880">
        <w:t>Q</w:t>
      </w:r>
      <w:r w:rsidRPr="00D57880">
        <w:t>uarter 1 (July to September) QFR is due by 4 November</w:t>
      </w:r>
      <w:r w:rsidR="00866DC0" w:rsidRPr="00D57880">
        <w:t xml:space="preserve"> each year</w:t>
      </w:r>
      <w:r w:rsidRPr="00D57880">
        <w:t>.</w:t>
      </w:r>
    </w:p>
    <w:p w14:paraId="22E7199C" w14:textId="49BAF8DA" w:rsidR="009D2D3D" w:rsidRPr="00C72F5C" w:rsidRDefault="009D2D3D" w:rsidP="006D27F3">
      <w:pPr>
        <w:pStyle w:val="Heading3"/>
      </w:pPr>
      <w:r w:rsidRPr="00C72F5C">
        <w:t>Does the ACFR need to match the QFR? </w:t>
      </w:r>
    </w:p>
    <w:p w14:paraId="16CE3DC1" w14:textId="77777777" w:rsidR="009D2D3D" w:rsidRPr="00D57880" w:rsidRDefault="009D2D3D" w:rsidP="00D57880">
      <w:r w:rsidRPr="00D57880">
        <w:t>The ACFR does not need to match the QFR. The four quarters of data in the QFR do not need to add up to the ACFR. The year-to-date values reported in quarter 4 QFR financial statement can differ to the ACFR where providers have not had the opportunity to input end of year adjustment journals in their quarter 4 QFR. Although items need to be categorised correctly in the QFR, the department does not expect the QFR to perfectly match the data reported in the ACFR.</w:t>
      </w:r>
    </w:p>
    <w:p w14:paraId="306C969F" w14:textId="24E9A547" w:rsidR="009504DF" w:rsidRPr="00226045" w:rsidRDefault="00D4493A" w:rsidP="006D27F3">
      <w:pPr>
        <w:pStyle w:val="Heading3"/>
      </w:pPr>
      <w:r w:rsidRPr="00226045">
        <w:t xml:space="preserve">Do I submit </w:t>
      </w:r>
      <w:r w:rsidR="00765DEF">
        <w:t xml:space="preserve">the </w:t>
      </w:r>
      <w:r w:rsidRPr="00226045">
        <w:t>ACFR and QFR in the same place?</w:t>
      </w:r>
    </w:p>
    <w:p w14:paraId="21E7F88B" w14:textId="38E02E53" w:rsidR="005E3FB7" w:rsidRPr="00D57880" w:rsidRDefault="005E3FB7" w:rsidP="00D57880">
      <w:r w:rsidRPr="00D57880">
        <w:t xml:space="preserve">No, the ACFR is completed on the </w:t>
      </w:r>
      <w:hyperlink r:id="rId30" w:history="1">
        <w:r w:rsidR="002D510A" w:rsidRPr="00D57880">
          <w:rPr>
            <w:rStyle w:val="Hyperlink"/>
          </w:rPr>
          <w:t>Forms Administration portal</w:t>
        </w:r>
      </w:hyperlink>
      <w:r w:rsidRPr="00D57880">
        <w:t xml:space="preserve"> and the QFR is submitted via the </w:t>
      </w:r>
      <w:hyperlink r:id="rId31" w:history="1">
        <w:r w:rsidRPr="00D57880">
          <w:rPr>
            <w:rStyle w:val="Hyperlink"/>
          </w:rPr>
          <w:t>Government Provider Management System</w:t>
        </w:r>
      </w:hyperlink>
      <w:r w:rsidRPr="00D57880">
        <w:t xml:space="preserve"> (GPMS).</w:t>
      </w:r>
    </w:p>
    <w:p w14:paraId="4BD8E640" w14:textId="327665B7" w:rsidR="00D16137" w:rsidRPr="00931907" w:rsidRDefault="003C455A" w:rsidP="006D27F3">
      <w:pPr>
        <w:pStyle w:val="Heading3"/>
      </w:pPr>
      <w:bookmarkStart w:id="14" w:name="_Hlk173749894"/>
      <w:r w:rsidRPr="00931907">
        <w:t xml:space="preserve">Do I have </w:t>
      </w:r>
      <w:r w:rsidR="008F529C" w:rsidRPr="00931907">
        <w:t xml:space="preserve">to </w:t>
      </w:r>
      <w:r w:rsidRPr="00931907">
        <w:t xml:space="preserve">enter </w:t>
      </w:r>
      <w:proofErr w:type="gramStart"/>
      <w:r w:rsidRPr="00931907">
        <w:t>all of</w:t>
      </w:r>
      <w:proofErr w:type="gramEnd"/>
      <w:r w:rsidRPr="00931907">
        <w:t xml:space="preserve"> the</w:t>
      </w:r>
      <w:r w:rsidR="00D16137" w:rsidRPr="00931907">
        <w:t xml:space="preserve"> ACFR</w:t>
      </w:r>
      <w:r w:rsidRPr="00931907">
        <w:t xml:space="preserve"> data manually</w:t>
      </w:r>
      <w:r w:rsidR="00D16137" w:rsidRPr="00931907">
        <w:t xml:space="preserve">? </w:t>
      </w:r>
    </w:p>
    <w:bookmarkEnd w:id="14"/>
    <w:p w14:paraId="5B05F619" w14:textId="79E5DBE8" w:rsidR="00D16137" w:rsidRPr="001C6DBC" w:rsidRDefault="00D16137" w:rsidP="00D16137">
      <w:r w:rsidRPr="001C6DBC">
        <w:t>In addition to entering data directly into the ACFR portal, the following sections of the ACFR can be imported via an upload template:</w:t>
      </w:r>
    </w:p>
    <w:p w14:paraId="7FC8E08E" w14:textId="585BA8FC" w:rsidR="00842B90" w:rsidRPr="001C6DBC" w:rsidRDefault="00842B90" w:rsidP="00D16137">
      <w:pPr>
        <w:pStyle w:val="ListBullet"/>
        <w:tabs>
          <w:tab w:val="num" w:pos="720"/>
        </w:tabs>
        <w:ind w:left="720"/>
      </w:pPr>
      <w:r w:rsidRPr="001C6DBC">
        <w:t>Consolidated Segment Report</w:t>
      </w:r>
    </w:p>
    <w:p w14:paraId="0EBEF68D" w14:textId="797E6837" w:rsidR="00D16137" w:rsidRPr="001C6DBC" w:rsidRDefault="00D16137" w:rsidP="00D16137">
      <w:pPr>
        <w:pStyle w:val="ListBullet"/>
        <w:tabs>
          <w:tab w:val="num" w:pos="720"/>
        </w:tabs>
        <w:ind w:left="720"/>
      </w:pPr>
      <w:r w:rsidRPr="001C6DBC">
        <w:t xml:space="preserve">Residential aged care home income </w:t>
      </w:r>
      <w:r w:rsidR="004E62E4">
        <w:t xml:space="preserve">and expenditure </w:t>
      </w:r>
      <w:r w:rsidRPr="001C6DBC">
        <w:t>statement</w:t>
      </w:r>
    </w:p>
    <w:p w14:paraId="14C496B8" w14:textId="77777777" w:rsidR="00D16137" w:rsidRPr="001C6DBC" w:rsidRDefault="00D16137" w:rsidP="00D16137">
      <w:pPr>
        <w:pStyle w:val="ListBullet"/>
        <w:tabs>
          <w:tab w:val="num" w:pos="720"/>
        </w:tabs>
        <w:ind w:left="720"/>
      </w:pPr>
      <w:r w:rsidRPr="001C6DBC">
        <w:t>Survey of Aged Care Homes (SACH)</w:t>
      </w:r>
    </w:p>
    <w:p w14:paraId="54D6DD32" w14:textId="77777777" w:rsidR="00D16137" w:rsidRPr="001C6DBC" w:rsidRDefault="00D16137" w:rsidP="00D16137">
      <w:r w:rsidRPr="001C6DBC">
        <w:t xml:space="preserve">All other sections of the ACFR need to be completed by entering data directly into the ACFR portal. </w:t>
      </w:r>
    </w:p>
    <w:p w14:paraId="51F0A486" w14:textId="3391DCB5" w:rsidR="00D16137" w:rsidRPr="001C6DBC" w:rsidRDefault="00D16137" w:rsidP="00D16137">
      <w:pPr>
        <w:rPr>
          <w:rStyle w:val="Hyperlink"/>
          <w:color w:val="1E1545" w:themeColor="text1"/>
        </w:rPr>
      </w:pPr>
      <w:r w:rsidRPr="001C6DBC">
        <w:t xml:space="preserve">To assist providers with the </w:t>
      </w:r>
      <w:r w:rsidR="007E7A4F" w:rsidRPr="001C6DBC">
        <w:t>R</w:t>
      </w:r>
      <w:r w:rsidRPr="001C6DBC">
        <w:t xml:space="preserve">egistered </w:t>
      </w:r>
      <w:r w:rsidR="007E7A4F" w:rsidRPr="001C6DBC">
        <w:t>P</w:t>
      </w:r>
      <w:r w:rsidRPr="001C6DBC">
        <w:t xml:space="preserve">rovider movement schedules, each movement schedule has an introductory ‘Yes/No’ question that will auto-populate zero values in all fields if ‘No’ is selected. Data entered in the movement schedules will also auto-populate corresponding data items in the </w:t>
      </w:r>
      <w:r w:rsidR="005E686F" w:rsidRPr="001C6DBC">
        <w:t>R</w:t>
      </w:r>
      <w:r w:rsidRPr="001C6DBC">
        <w:t xml:space="preserve">egistered </w:t>
      </w:r>
      <w:r w:rsidR="005E686F" w:rsidRPr="001C6DBC">
        <w:t>P</w:t>
      </w:r>
      <w:r w:rsidRPr="001C6DBC">
        <w:t>rovider and residential balance sheet sections of the ACFR. If further guidance is required on the upload process, please contact Forms Administration</w:t>
      </w:r>
      <w:r w:rsidRPr="001C6DBC">
        <w:rPr>
          <w:rStyle w:val="Hyperlink"/>
          <w:color w:val="1E1545" w:themeColor="text1"/>
          <w:u w:val="none"/>
        </w:rPr>
        <w:t>.</w:t>
      </w:r>
    </w:p>
    <w:p w14:paraId="17E48EF6" w14:textId="0328FDEB" w:rsidR="00D16137" w:rsidRPr="003B54D8" w:rsidRDefault="00D16137" w:rsidP="006D27F3">
      <w:pPr>
        <w:pStyle w:val="Heading3"/>
      </w:pPr>
      <w:bookmarkStart w:id="15" w:name="_Hlk173750123"/>
      <w:r w:rsidRPr="003B54D8">
        <w:t>What sections of the ACFR am I required to complete?</w:t>
      </w:r>
    </w:p>
    <w:bookmarkEnd w:id="15"/>
    <w:p w14:paraId="364D2485" w14:textId="3C74FA61" w:rsidR="00D16137" w:rsidRPr="00D57880" w:rsidRDefault="00173E26" w:rsidP="00D57880">
      <w:r w:rsidRPr="00D57880">
        <w:t xml:space="preserve">Refer to the </w:t>
      </w:r>
      <w:r w:rsidR="009223EE" w:rsidRPr="00D57880">
        <w:t>‘Reporting Requirements’ in the ‘Overview’ section of this guide</w:t>
      </w:r>
      <w:r w:rsidRPr="00D57880">
        <w:t xml:space="preserve">. </w:t>
      </w:r>
      <w:r w:rsidR="00A87F08" w:rsidRPr="00D57880">
        <w:t>Each</w:t>
      </w:r>
      <w:r w:rsidR="00470C7F" w:rsidRPr="00D57880">
        <w:t xml:space="preserve"> ACFR</w:t>
      </w:r>
      <w:r w:rsidR="00592C2C" w:rsidRPr="00D57880">
        <w:t xml:space="preserve"> </w:t>
      </w:r>
      <w:r w:rsidR="00470C7F" w:rsidRPr="00D57880">
        <w:t xml:space="preserve">is </w:t>
      </w:r>
      <w:r w:rsidR="00592C2C" w:rsidRPr="00D57880">
        <w:t>customised</w:t>
      </w:r>
      <w:r w:rsidR="0065021B" w:rsidRPr="00D57880">
        <w:t>, so that a</w:t>
      </w:r>
      <w:r w:rsidR="00D16137" w:rsidRPr="00D57880">
        <w:t xml:space="preserve"> provider should only see the sections they are required to complete based on their aged care operations. If the sections displayed are incorrect, please contact Forms Administration.</w:t>
      </w:r>
    </w:p>
    <w:p w14:paraId="7C06D8AF" w14:textId="56A1CB14" w:rsidR="004F0515" w:rsidRPr="00704620" w:rsidRDefault="004F0515" w:rsidP="006D27F3">
      <w:pPr>
        <w:pStyle w:val="Heading3"/>
      </w:pPr>
      <w:r w:rsidRPr="00704620">
        <w:t>Does the ACFR need to be completed in a certain order?</w:t>
      </w:r>
    </w:p>
    <w:p w14:paraId="2DB3B5C0" w14:textId="77777777" w:rsidR="004F0515" w:rsidRPr="00D57880" w:rsidRDefault="004F0515" w:rsidP="00D57880">
      <w:r w:rsidRPr="00D57880">
        <w:t xml:space="preserve">Whilst providers can complete the ACFR sections in any order they choose, several sections contain links that auto-populate other sections of the ACFR and therefore should be completed earlier in the process. </w:t>
      </w:r>
    </w:p>
    <w:p w14:paraId="62504A1C" w14:textId="77777777" w:rsidR="004F0515" w:rsidRPr="001C6DBC" w:rsidRDefault="004F0515" w:rsidP="004F0515">
      <w:r w:rsidRPr="001C6DBC">
        <w:t xml:space="preserve">All Registered Provider movement schedules auto-populate information into both the registered provider and residential Balance Sheet. Likewise, the ‘Compliance with Permitted Uses for Accommodation Payments’ section of the Annual Prudential Compliance Statement (APCS) and the Registered Provider cash flow statement auto-populate data into the ‘Registered Provider Permitted Uses Reconciliation’. </w:t>
      </w:r>
    </w:p>
    <w:p w14:paraId="20B2F8FF" w14:textId="17F8ACA4" w:rsidR="00EF0D9E" w:rsidRPr="00704620" w:rsidRDefault="00EF0D9E" w:rsidP="006D27F3">
      <w:pPr>
        <w:pStyle w:val="Heading3"/>
      </w:pPr>
      <w:r w:rsidRPr="00704620">
        <w:t xml:space="preserve">Could the reporting template be populated with zeros by default? Then we would add data </w:t>
      </w:r>
      <w:r w:rsidR="005B7E9E">
        <w:t xml:space="preserve">only </w:t>
      </w:r>
      <w:r w:rsidRPr="00704620">
        <w:t>where necessary.</w:t>
      </w:r>
    </w:p>
    <w:p w14:paraId="7B4EFFA9" w14:textId="62EF5F16" w:rsidR="00EF0D9E" w:rsidRPr="001C6DBC" w:rsidRDefault="00EF0D9E" w:rsidP="00EF0D9E">
      <w:r w:rsidRPr="001C6DBC">
        <w:rPr>
          <w:rFonts w:eastAsia="Arial" w:cs="Arial"/>
        </w:rPr>
        <w:t>The template is designed so that providers need to input a value in each field that is applicable to their care type. This ensures completeness of data and reduces the risk of data oversight</w:t>
      </w:r>
      <w:r w:rsidR="00B933B8" w:rsidRPr="001C6DBC">
        <w:rPr>
          <w:rFonts w:eastAsia="Arial" w:cs="Arial"/>
        </w:rPr>
        <w:t>.</w:t>
      </w:r>
    </w:p>
    <w:p w14:paraId="487EE226" w14:textId="3A03C90C" w:rsidR="00D16137" w:rsidRPr="00704620" w:rsidRDefault="00D16137" w:rsidP="006D27F3">
      <w:pPr>
        <w:pStyle w:val="Heading3"/>
      </w:pPr>
      <w:r w:rsidRPr="00704620">
        <w:t xml:space="preserve">f the Registered </w:t>
      </w:r>
      <w:r w:rsidR="0035793D">
        <w:t>P</w:t>
      </w:r>
      <w:r w:rsidRPr="00704620">
        <w:t xml:space="preserve">rovider is a franchisor that supports business processes to the franchise group but does not provide services directly, whose accounts are reported at the </w:t>
      </w:r>
      <w:r w:rsidR="0035793D">
        <w:t>R</w:t>
      </w:r>
      <w:r w:rsidRPr="00704620">
        <w:t xml:space="preserve">egistered </w:t>
      </w:r>
      <w:r w:rsidR="0035793D">
        <w:t>P</w:t>
      </w:r>
      <w:r w:rsidRPr="00704620">
        <w:t>rovider level?</w:t>
      </w:r>
    </w:p>
    <w:p w14:paraId="46B6B1DB" w14:textId="30E8EDED" w:rsidR="00D16137" w:rsidRPr="00D57880" w:rsidRDefault="00D16137" w:rsidP="00D57880">
      <w:r w:rsidRPr="001C6DBC">
        <w:t xml:space="preserve">The </w:t>
      </w:r>
      <w:r w:rsidR="007B12C5" w:rsidRPr="001C6DBC">
        <w:t>R</w:t>
      </w:r>
      <w:r w:rsidRPr="001C6DBC">
        <w:t xml:space="preserve">egistered </w:t>
      </w:r>
      <w:r w:rsidR="007B12C5" w:rsidRPr="001C6DBC">
        <w:t>P</w:t>
      </w:r>
      <w:r w:rsidRPr="001C6DBC">
        <w:t xml:space="preserve">rovider is responsible for the operations of all its services. If a franchisor is the </w:t>
      </w:r>
      <w:r w:rsidR="007B12C5" w:rsidRPr="001C6DBC">
        <w:t>R</w:t>
      </w:r>
      <w:r w:rsidRPr="001C6DBC">
        <w:t xml:space="preserve">egistered </w:t>
      </w:r>
      <w:r w:rsidR="007B12C5" w:rsidRPr="001C6DBC">
        <w:t>P</w:t>
      </w:r>
      <w:r w:rsidRPr="001C6DBC">
        <w:t xml:space="preserve">rovider, they are responsible for all services operating under their GPMS number. They are required to report the total income, expenses, assets, liabilities, and equity of all franchisees in its registered provider income statement and balance sheet. </w:t>
      </w:r>
    </w:p>
    <w:p w14:paraId="0FA00E8E" w14:textId="3E44B76A" w:rsidR="00D16137" w:rsidRPr="00704620" w:rsidRDefault="00D16137" w:rsidP="006D27F3">
      <w:pPr>
        <w:pStyle w:val="Heading3"/>
      </w:pPr>
      <w:r w:rsidRPr="00704620">
        <w:t>If a provider has exited or entered the market in the relevant financ</w:t>
      </w:r>
      <w:r w:rsidR="005F63B6" w:rsidRPr="00704620">
        <w:t>i</w:t>
      </w:r>
      <w:r w:rsidRPr="00704620">
        <w:t>al reporting period, do they need to submit an ACFR?</w:t>
      </w:r>
    </w:p>
    <w:p w14:paraId="0A5B1483" w14:textId="4615F3D1" w:rsidR="00D16137" w:rsidRPr="00D57880" w:rsidRDefault="00D16137" w:rsidP="00D57880">
      <w:r w:rsidRPr="001C6DBC">
        <w:t xml:space="preserve">Yes. </w:t>
      </w:r>
      <w:r w:rsidR="00406D39" w:rsidRPr="001C6DBC">
        <w:t>If a provider has exited the mar</w:t>
      </w:r>
      <w:r w:rsidR="006E3DB5" w:rsidRPr="001C6DBC">
        <w:t>ket during the year, they must still report</w:t>
      </w:r>
      <w:r w:rsidR="00163457" w:rsidRPr="001C6DBC">
        <w:t xml:space="preserve"> in the ACFR for the relevant year. If a new provider has entered the market during the year, they must report in the ACFR for the relevant year. </w:t>
      </w:r>
    </w:p>
    <w:p w14:paraId="7F728683" w14:textId="6D3D201E" w:rsidR="00D16137" w:rsidRPr="000B0A7A" w:rsidRDefault="00D16137" w:rsidP="006D27F3">
      <w:pPr>
        <w:pStyle w:val="Heading3"/>
      </w:pPr>
      <w:r w:rsidRPr="000B0A7A">
        <w:t>Would the department be open to a condensed QFR for Q4? This would reduce provider workloads during a busy time of the year. Could we integrate the fourth quarter QFR into the ACFR?</w:t>
      </w:r>
    </w:p>
    <w:p w14:paraId="679F39E9" w14:textId="77777777" w:rsidR="00D16137" w:rsidRPr="00322243" w:rsidRDefault="00D16137" w:rsidP="00322243">
      <w:r w:rsidRPr="00322243">
        <w:t>Data collected in the QFR provides important information to Government, and is used for care minutes reporting, Star Ratings calculations, and provides valuable information regarding the viability and performance of individual providers and the broader aged care sector. Quarterly reports are also used to inform sector-wide publications, such as the publication of finance and operations information on My Aged Care and the Quarterly Financial Snapshot.</w:t>
      </w:r>
    </w:p>
    <w:p w14:paraId="627D9641" w14:textId="77777777" w:rsidR="00D16137" w:rsidRPr="00322243" w:rsidRDefault="00D16137" w:rsidP="00322243">
      <w:r w:rsidRPr="00322243">
        <w:t>Integrating the fourth quarter QFR into the ACFR would mean that this data is not submitted until 31 October, which would delay the data’s availability for these purposes.</w:t>
      </w:r>
    </w:p>
    <w:p w14:paraId="06FA2A10" w14:textId="77777777" w:rsidR="00D16137" w:rsidRPr="00322243" w:rsidRDefault="00D16137" w:rsidP="00322243">
      <w:r w:rsidRPr="00322243">
        <w:t xml:space="preserve">The Department appreciates that the due date for Quarter 4 QFR occurs during a busy time of year, and we will raise this feedback with relevant teams in the Department.     </w:t>
      </w:r>
    </w:p>
    <w:p w14:paraId="462C513F" w14:textId="5D060B18" w:rsidR="00D16137" w:rsidRPr="00580E2D" w:rsidRDefault="00D16137" w:rsidP="006D27F3">
      <w:pPr>
        <w:pStyle w:val="Heading3"/>
      </w:pPr>
      <w:r w:rsidRPr="00580E2D">
        <w:t>Most of the information has been reported through the quarterly report. Why do we need to submit an annual one?</w:t>
      </w:r>
    </w:p>
    <w:p w14:paraId="5C1C1AE6" w14:textId="6C111A48" w:rsidR="00E82CE6" w:rsidRPr="00322243" w:rsidRDefault="00E82CE6" w:rsidP="00322243">
      <w:r w:rsidRPr="00322243">
        <w:t>While the data submitted in the QFR should be consistent with the ACFR submission, the reports are different. There are certain circumstances where the data submitted will not match perfectly. This can be due to:</w:t>
      </w:r>
    </w:p>
    <w:p w14:paraId="3D40C6EA" w14:textId="2A918CB0" w:rsidR="00E82CE6" w:rsidRPr="001C6DBC" w:rsidRDefault="00E82CE6" w:rsidP="008430E8">
      <w:pPr>
        <w:pStyle w:val="ListBullet"/>
        <w:rPr>
          <w:rFonts w:eastAsia="Arial"/>
        </w:rPr>
      </w:pPr>
      <w:r w:rsidRPr="001C6DBC">
        <w:rPr>
          <w:rFonts w:eastAsia="Arial"/>
        </w:rPr>
        <w:t xml:space="preserve">adjustments made in quarterly or annual reports </w:t>
      </w:r>
    </w:p>
    <w:p w14:paraId="791BE548" w14:textId="77777777" w:rsidR="00E82CE6" w:rsidRPr="001C6DBC" w:rsidRDefault="00E82CE6" w:rsidP="008430E8">
      <w:pPr>
        <w:pStyle w:val="ListBullet"/>
        <w:rPr>
          <w:rFonts w:eastAsia="Arial"/>
        </w:rPr>
      </w:pPr>
      <w:r w:rsidRPr="001C6DBC">
        <w:rPr>
          <w:rFonts w:eastAsia="Arial"/>
        </w:rPr>
        <w:t>accruals which may affect when expenses are recognised.</w:t>
      </w:r>
    </w:p>
    <w:p w14:paraId="2D35C8E3" w14:textId="6EDF5FDA" w:rsidR="00D16137" w:rsidRPr="005274C5" w:rsidRDefault="00E82CE6" w:rsidP="005274C5">
      <w:r w:rsidRPr="005274C5">
        <w:t xml:space="preserve">In addition, not all sections of the QFR replicate the ACFR and some information is only collected in the ACFR. The ACFR is more comprehensive than the QFR in terms of reporting coverage – this includes collecting information relating to compliance with prudential requirements, </w:t>
      </w:r>
      <w:r w:rsidR="000E5757" w:rsidRPr="005274C5">
        <w:t>r</w:t>
      </w:r>
      <w:r w:rsidRPr="005274C5">
        <w:t xml:space="preserve">efundable </w:t>
      </w:r>
      <w:r w:rsidR="000E5757" w:rsidRPr="005274C5">
        <w:t>a</w:t>
      </w:r>
      <w:r w:rsidRPr="005274C5">
        <w:t xml:space="preserve">ccommodation </w:t>
      </w:r>
      <w:r w:rsidR="000E5757" w:rsidRPr="005274C5">
        <w:t xml:space="preserve">payments </w:t>
      </w:r>
      <w:r w:rsidRPr="005274C5">
        <w:t xml:space="preserve">permitted uses and residential building activity. </w:t>
      </w:r>
    </w:p>
    <w:p w14:paraId="3C32682C" w14:textId="178EB97C" w:rsidR="006E5380" w:rsidRPr="00B9028F" w:rsidRDefault="006E5380" w:rsidP="006D27F3">
      <w:pPr>
        <w:pStyle w:val="Heading3"/>
      </w:pPr>
      <w:r w:rsidRPr="00B9028F">
        <w:t xml:space="preserve">Can you combine the data collection with </w:t>
      </w:r>
      <w:proofErr w:type="spellStart"/>
      <w:r w:rsidRPr="00B9028F">
        <w:t>StewartBrown</w:t>
      </w:r>
      <w:proofErr w:type="spellEnd"/>
      <w:r w:rsidRPr="00B9028F">
        <w:t xml:space="preserve"> Survey data?</w:t>
      </w:r>
    </w:p>
    <w:p w14:paraId="74D3449C" w14:textId="58BC75D8" w:rsidR="006E5380" w:rsidRPr="001C6DBC" w:rsidRDefault="006E5380" w:rsidP="006E5380">
      <w:pPr>
        <w:rPr>
          <w:rFonts w:eastAsia="Arial" w:cs="Arial"/>
          <w:b/>
          <w:bCs/>
        </w:rPr>
      </w:pPr>
      <w:r w:rsidRPr="001C6DBC">
        <w:rPr>
          <w:rFonts w:eastAsia="Arial" w:cs="Arial"/>
        </w:rPr>
        <w:t xml:space="preserve">The </w:t>
      </w:r>
      <w:proofErr w:type="spellStart"/>
      <w:r w:rsidRPr="001C6DBC">
        <w:rPr>
          <w:rFonts w:eastAsia="Arial" w:cs="Arial"/>
        </w:rPr>
        <w:t>StewartBrown</w:t>
      </w:r>
      <w:proofErr w:type="spellEnd"/>
      <w:r w:rsidRPr="001C6DBC">
        <w:rPr>
          <w:rFonts w:eastAsia="Arial" w:cs="Arial"/>
        </w:rPr>
        <w:t xml:space="preserve"> survey data is an optional (pay to use) benchmarking service that </w:t>
      </w:r>
      <w:proofErr w:type="spellStart"/>
      <w:r w:rsidRPr="001C6DBC">
        <w:rPr>
          <w:rFonts w:eastAsia="Arial" w:cs="Arial"/>
        </w:rPr>
        <w:t>StewartBrown</w:t>
      </w:r>
      <w:proofErr w:type="spellEnd"/>
      <w:r w:rsidRPr="001C6DBC">
        <w:rPr>
          <w:rFonts w:eastAsia="Arial" w:cs="Arial"/>
        </w:rPr>
        <w:t xml:space="preserve"> (a private company) operates for providers who wish to participate in their survey, whereas the QFR and ACFR are legislative requirements that all aged care providers must complete as part of their responsibilities of being a </w:t>
      </w:r>
      <w:r w:rsidR="004C184D" w:rsidRPr="001C6DBC">
        <w:rPr>
          <w:rFonts w:eastAsia="Arial" w:cs="Arial"/>
        </w:rPr>
        <w:t>Registered</w:t>
      </w:r>
      <w:r w:rsidRPr="001C6DBC">
        <w:rPr>
          <w:rFonts w:eastAsia="Arial" w:cs="Arial"/>
        </w:rPr>
        <w:t xml:space="preserve"> </w:t>
      </w:r>
      <w:r w:rsidR="004C184D" w:rsidRPr="001C6DBC">
        <w:rPr>
          <w:rFonts w:eastAsia="Arial" w:cs="Arial"/>
        </w:rPr>
        <w:t>P</w:t>
      </w:r>
      <w:r w:rsidRPr="001C6DBC">
        <w:rPr>
          <w:rFonts w:eastAsia="Arial" w:cs="Arial"/>
        </w:rPr>
        <w:t xml:space="preserve">rovider. For these reasons, these datasets cannot be combined. </w:t>
      </w:r>
    </w:p>
    <w:p w14:paraId="4C664AF2" w14:textId="4D3F01A4" w:rsidR="006E5380" w:rsidRPr="00B7303C" w:rsidRDefault="006E5380" w:rsidP="006D27F3">
      <w:pPr>
        <w:pStyle w:val="Heading3"/>
      </w:pPr>
      <w:r w:rsidRPr="00B7303C">
        <w:t xml:space="preserve">Why is the sector being advised of changes to reporting requirements after the </w:t>
      </w:r>
      <w:r w:rsidR="00A57D68" w:rsidRPr="00B7303C">
        <w:t xml:space="preserve">2025-26 </w:t>
      </w:r>
      <w:r w:rsidRPr="00B7303C">
        <w:t>reporting period has commenced?</w:t>
      </w:r>
    </w:p>
    <w:p w14:paraId="7FA89601" w14:textId="267BB417" w:rsidR="00FE2ED8" w:rsidRPr="001C6DBC" w:rsidRDefault="006E5380" w:rsidP="00FE2ED8">
      <w:pPr>
        <w:rPr>
          <w:rFonts w:eastAsia="Arial" w:cs="Arial"/>
        </w:rPr>
      </w:pPr>
      <w:r w:rsidRPr="001C6DBC">
        <w:rPr>
          <w:rFonts w:eastAsia="Arial" w:cs="Arial"/>
        </w:rPr>
        <w:t>While we aim to advise the sector of changes to the reporting in advance,</w:t>
      </w:r>
      <w:r w:rsidR="00A57D68" w:rsidRPr="001C6DBC">
        <w:rPr>
          <w:rFonts w:eastAsia="Arial" w:cs="Arial"/>
        </w:rPr>
        <w:t xml:space="preserve"> f</w:t>
      </w:r>
      <w:r w:rsidR="008F7B03" w:rsidRPr="001C6DBC">
        <w:rPr>
          <w:rFonts w:eastAsia="Arial" w:cs="Arial"/>
        </w:rPr>
        <w:t>inancial reporting in the 2025-26 financial</w:t>
      </w:r>
      <w:r w:rsidRPr="001C6DBC">
        <w:rPr>
          <w:rFonts w:eastAsia="Arial" w:cs="Arial"/>
        </w:rPr>
        <w:t xml:space="preserve"> </w:t>
      </w:r>
      <w:r w:rsidR="00D37F63" w:rsidRPr="001C6DBC">
        <w:rPr>
          <w:rFonts w:eastAsia="Arial" w:cs="Arial"/>
        </w:rPr>
        <w:t xml:space="preserve">year is unique given the commencement of major aged care reforms </w:t>
      </w:r>
      <w:r w:rsidR="00A442FE" w:rsidRPr="001C6DBC">
        <w:rPr>
          <w:rFonts w:eastAsia="Arial" w:cs="Arial"/>
        </w:rPr>
        <w:t xml:space="preserve">commencing </w:t>
      </w:r>
      <w:r w:rsidR="00D37F63" w:rsidRPr="001C6DBC">
        <w:rPr>
          <w:rFonts w:eastAsia="Arial" w:cs="Arial"/>
        </w:rPr>
        <w:t>on 1 November 2025</w:t>
      </w:r>
      <w:r w:rsidR="00D85BCB" w:rsidRPr="001C6DBC">
        <w:rPr>
          <w:rFonts w:eastAsia="Arial" w:cs="Arial"/>
        </w:rPr>
        <w:t>, which has delayed</w:t>
      </w:r>
      <w:r w:rsidR="00D73D49" w:rsidRPr="001C6DBC">
        <w:rPr>
          <w:rFonts w:eastAsia="Arial" w:cs="Arial"/>
        </w:rPr>
        <w:t xml:space="preserve"> the communication of reporting requirements.</w:t>
      </w:r>
      <w:r w:rsidR="00D85BCB" w:rsidRPr="001C6DBC">
        <w:rPr>
          <w:rFonts w:eastAsia="Arial" w:cs="Arial"/>
        </w:rPr>
        <w:t xml:space="preserve"> </w:t>
      </w:r>
      <w:r w:rsidR="00D37F63" w:rsidRPr="001C6DBC">
        <w:rPr>
          <w:rFonts w:eastAsia="Arial" w:cs="Arial"/>
        </w:rPr>
        <w:t xml:space="preserve">The department </w:t>
      </w:r>
      <w:r w:rsidR="008F7B03" w:rsidRPr="001C6DBC">
        <w:rPr>
          <w:rFonts w:eastAsia="Arial" w:cs="Arial"/>
        </w:rPr>
        <w:t>will continue to update the sector on any further changes throughout the year.</w:t>
      </w:r>
      <w:r w:rsidRPr="001C6DBC">
        <w:rPr>
          <w:rFonts w:eastAsia="Arial" w:cs="Arial"/>
        </w:rPr>
        <w:t xml:space="preserve">  </w:t>
      </w:r>
    </w:p>
    <w:p w14:paraId="5C882023" w14:textId="047AF1B8" w:rsidR="00FE2ED8" w:rsidRPr="00B7303C" w:rsidRDefault="00FE2ED8" w:rsidP="006D27F3">
      <w:pPr>
        <w:pStyle w:val="Heading3"/>
      </w:pPr>
      <w:r w:rsidRPr="00B7303C">
        <w:t>Are not-for-profits required to complete the payroll tax data items in the ACFR? </w:t>
      </w:r>
      <w:r w:rsidRPr="00B7303C" w:rsidDel="00366ADE">
        <w:t xml:space="preserve"> </w:t>
      </w:r>
    </w:p>
    <w:p w14:paraId="5DBE4595" w14:textId="70AD157B" w:rsidR="007F7A3F" w:rsidRPr="00EA55D0" w:rsidRDefault="00FE2ED8" w:rsidP="00FE2ED8">
      <w:pPr>
        <w:rPr>
          <w:rFonts w:cs="Arial"/>
        </w:rPr>
      </w:pPr>
      <w:r w:rsidRPr="001C6DBC">
        <w:rPr>
          <w:rFonts w:cs="Arial"/>
        </w:rPr>
        <w:t>As payroll tax is not applicable for not-for-profit providers, these providers should input zero for this data item. </w:t>
      </w:r>
      <w:r w:rsidR="007F7A3F" w:rsidRPr="00EA55D0">
        <w:rPr>
          <w:rFonts w:cs="Arial"/>
        </w:rPr>
        <w:br w:type="page"/>
      </w:r>
    </w:p>
    <w:p w14:paraId="2FFC5D16" w14:textId="510D1AEC" w:rsidR="00FF6148" w:rsidRPr="00EA55D0" w:rsidRDefault="002837E6" w:rsidP="002837E6">
      <w:pPr>
        <w:pStyle w:val="Chapternumbers"/>
      </w:pPr>
      <w:bookmarkStart w:id="16" w:name="_Toc205804585"/>
      <w:bookmarkStart w:id="17" w:name="_Toc209078252"/>
      <w:bookmarkStart w:id="18" w:name="_Hlk132793393"/>
      <w:bookmarkStart w:id="19" w:name="_Toc224723291"/>
      <w:r w:rsidRPr="00EA55D0">
        <w:rPr>
          <w:noProof/>
        </w:rPr>
        <mc:AlternateContent>
          <mc:Choice Requires="wps">
            <w:drawing>
              <wp:anchor distT="0" distB="0" distL="114300" distR="114300" simplePos="0" relativeHeight="251658246" behindDoc="1" locked="0" layoutInCell="1" allowOverlap="1" wp14:anchorId="07295D39" wp14:editId="5A9029C4">
                <wp:simplePos x="0" y="0"/>
                <wp:positionH relativeFrom="page">
                  <wp:posOffset>-102637</wp:posOffset>
                </wp:positionH>
                <wp:positionV relativeFrom="page">
                  <wp:posOffset>-240533</wp:posOffset>
                </wp:positionV>
                <wp:extent cx="8531225" cy="11396345"/>
                <wp:effectExtent l="0" t="0" r="3175" b="0"/>
                <wp:wrapNone/>
                <wp:docPr id="1304627770" name="Rectangle 13046277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31225" cy="113963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BF7E5" id="Rectangle 1304627770" o:spid="_x0000_s1026" alt="&quot;&quot;" style="position:absolute;margin-left:-8.1pt;margin-top:-18.95pt;width:671.75pt;height:897.3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wgVfQIAAGAFAAAOAAAAZHJzL2Uyb0RvYy54bWysVE1vGyEQvVfqf0Dcm/X6I02srCMrUapK&#10;URI1qXImLGSRWIYC9tr99R1gd+2mUQ9VfcDAvHkz83aGi8tdq8lWOK/AVLQ8mVAiDIdamdeKfn+6&#10;+XRGiQ/M1EyDERXdC08vVx8/XHR2KabQgK6FI0hi/LKzFW1CsMui8LwRLfMnYIVBowTXsoBH91rU&#10;jnXI3upiOpmcFh242jrgwnu8vc5Gukr8Ugoe7qX0IhBdUcwtpNWl9SWuxeqCLV8ds43ifRrsH7Jo&#10;mTIYdKS6ZoGRjVN/ULWKO/AgwwmHtgApFRepBqymnLyp5rFhVqRaUBxvR5n8/6Pld9tH++BQhs76&#10;pcdtrGInXRv/MT+yS2LtR7HELhCOl2eLWTmdLijhaCvL2fnpbL6IehYHf+t8+CKgJXFTUYefI6nE&#10;trc+ZOgAieE8aFXfKK3TIbaAuNKObBl+vLAre/LfUNpErIHolQnjTXEoJu3CXouI0+abkETVmP40&#10;JZL67BCEcS5MKLOpYbXIsRcT/A3Rh7RSoYkwMkuMP3L3BAMykwzcOcseH11FatPRefK3xLLz6JEi&#10;gwmjc6sMuPcINFbVR874QaQsTVTpBer9gyMO8pB4y28UfrZb5sMDczgVOD846eEeF6mhqyj0O0oa&#10;cD/fu494bFa0UtLhlFXU/9gwJyjRXw228Xk5n8exTIf54vMUD+7Y8nJsMZv2CrAXSnxTLE/biA96&#10;2EoH7TM+COsYFU3McIxdUR7ccLgKefrxSeFivU4wHEXLwq15tDySR1VjWz7tnpmzfe8G7Ps7GCaS&#10;Ld+0cMZGTwPrTQCpUn8fdO31xjFOjdM/OfGdOD4n1OFhXP0CAAD//wMAUEsDBBQABgAIAAAAIQBh&#10;cnKR4AAAAA0BAAAPAAAAZHJzL2Rvd25yZXYueG1sTI/BboMwDIbvk/YOkSvt1oaCBi0lVNO0XieV&#10;VdOOKfEIgiSIBMrefu5pu/2WP/3+XBwX07MZR986K2C7iYChrZ1qbSPg8nFa74D5IK2SvbMo4Ac9&#10;HMvHh0Lmyt3sGecqNIxKrM+lAB3CkHPua41G+o0b0NLu241GBhrHhqtR3qjc9DyOopQb2Vq6oOWA&#10;rxrrrpqMgObr9DYvnUZ39kk1dcP+8v6phHhaLS8HYAGX8AfDXZ/UoSSnq5us8qwXsN6mMaEUkmwP&#10;7E4kcZYAu1LKntMd8LLg/78ofwEAAP//AwBQSwECLQAUAAYACAAAACEAtoM4kv4AAADhAQAAEwAA&#10;AAAAAAAAAAAAAAAAAAAAW0NvbnRlbnRfVHlwZXNdLnhtbFBLAQItABQABgAIAAAAIQA4/SH/1gAA&#10;AJQBAAALAAAAAAAAAAAAAAAAAC8BAABfcmVscy8ucmVsc1BLAQItABQABgAIAAAAIQCEKwgVfQIA&#10;AGAFAAAOAAAAAAAAAAAAAAAAAC4CAABkcnMvZTJvRG9jLnhtbFBLAQItABQABgAIAAAAIQBhcnKR&#10;4AAAAA0BAAAPAAAAAAAAAAAAAAAAANcEAABkcnMvZG93bnJldi54bWxQSwUGAAAAAAQABADzAAAA&#10;5AUAAAAA&#10;" fillcolor="#1e1545 [3213]" stroked="f" strokeweight="2pt">
                <w10:wrap anchorx="page" anchory="page"/>
              </v:rect>
            </w:pict>
          </mc:Fallback>
        </mc:AlternateContent>
      </w:r>
      <w:bookmarkEnd w:id="19"/>
      <w:r w:rsidR="00FF6148">
        <w:t>4</w:t>
      </w:r>
    </w:p>
    <w:p w14:paraId="76A4B005" w14:textId="43111DB6" w:rsidR="00C01843" w:rsidRPr="005274C5" w:rsidRDefault="00FF6148" w:rsidP="00F255A4">
      <w:pPr>
        <w:pStyle w:val="Titleforpagesbetweensections"/>
      </w:pPr>
      <w:r>
        <w:t>Consolidated Segment Report</w:t>
      </w:r>
      <w:r w:rsidR="00C01843" w:rsidRPr="005274C5">
        <w:br w:type="page"/>
      </w:r>
    </w:p>
    <w:p w14:paraId="3F37D029" w14:textId="4CCD6FF2" w:rsidR="00520EED" w:rsidRPr="00EA55D0" w:rsidRDefault="008737FF" w:rsidP="00E22085">
      <w:pPr>
        <w:pStyle w:val="Heading1"/>
      </w:pPr>
      <w:bookmarkStart w:id="20" w:name="_Toc224723292"/>
      <w:bookmarkEnd w:id="16"/>
      <w:r w:rsidRPr="00EA55D0">
        <w:t>Consolidated Segment Report</w:t>
      </w:r>
      <w:bookmarkEnd w:id="17"/>
      <w:bookmarkEnd w:id="20"/>
    </w:p>
    <w:p w14:paraId="5B8E249E" w14:textId="77777777" w:rsidR="0037790D" w:rsidRPr="005274C5" w:rsidRDefault="00C75DBF" w:rsidP="005274C5">
      <w:r w:rsidRPr="005274C5">
        <w:t xml:space="preserve">The Consolidated Segment Report </w:t>
      </w:r>
      <w:r w:rsidR="000B2E29" w:rsidRPr="005274C5">
        <w:t xml:space="preserve">(CSR) </w:t>
      </w:r>
      <w:r w:rsidR="002F403E" w:rsidRPr="005274C5">
        <w:t xml:space="preserve">includes </w:t>
      </w:r>
      <w:r w:rsidR="005D5A61" w:rsidRPr="005274C5">
        <w:t xml:space="preserve">a Balance Sheet and Income and Expenditure Statement </w:t>
      </w:r>
      <w:r w:rsidR="000B2E29" w:rsidRPr="005274C5">
        <w:t xml:space="preserve">that </w:t>
      </w:r>
      <w:r w:rsidR="0037790D" w:rsidRPr="005274C5">
        <w:t>are segmented by:</w:t>
      </w:r>
    </w:p>
    <w:p w14:paraId="087D89F5" w14:textId="6686ABEE" w:rsidR="00A1469A" w:rsidRPr="00EA55D0" w:rsidRDefault="0037790D" w:rsidP="00EC4889">
      <w:pPr>
        <w:pStyle w:val="ListBullet"/>
      </w:pPr>
      <w:r w:rsidRPr="00EA55D0">
        <w:t>Centrally held</w:t>
      </w:r>
    </w:p>
    <w:p w14:paraId="3187C46B" w14:textId="1E50F607" w:rsidR="0037790D" w:rsidRPr="00EA55D0" w:rsidRDefault="0037790D" w:rsidP="00EC4889">
      <w:pPr>
        <w:pStyle w:val="ListBullet"/>
      </w:pPr>
      <w:r w:rsidRPr="00EA55D0">
        <w:t>Residential</w:t>
      </w:r>
    </w:p>
    <w:p w14:paraId="19A9B5BD" w14:textId="72BACA42" w:rsidR="0037790D" w:rsidRPr="00EA55D0" w:rsidRDefault="0037790D" w:rsidP="00EC4889">
      <w:pPr>
        <w:pStyle w:val="ListBullet"/>
      </w:pPr>
      <w:r w:rsidRPr="00EA55D0">
        <w:t>Support at Home</w:t>
      </w:r>
    </w:p>
    <w:p w14:paraId="08E7B165" w14:textId="479D1606" w:rsidR="0037790D" w:rsidRPr="00EA55D0" w:rsidRDefault="0037790D" w:rsidP="00EC4889">
      <w:pPr>
        <w:pStyle w:val="ListBullet"/>
      </w:pPr>
      <w:r w:rsidRPr="00EA55D0">
        <w:t>Community</w:t>
      </w:r>
    </w:p>
    <w:p w14:paraId="158B49BA" w14:textId="0A88D842" w:rsidR="0037790D" w:rsidRPr="00EA55D0" w:rsidRDefault="0037790D" w:rsidP="00EC4889">
      <w:pPr>
        <w:pStyle w:val="ListBullet"/>
      </w:pPr>
      <w:r w:rsidRPr="00EA55D0">
        <w:t>Retirement</w:t>
      </w:r>
    </w:p>
    <w:p w14:paraId="4255FEEC" w14:textId="2573FDE4" w:rsidR="0037790D" w:rsidRPr="00EA55D0" w:rsidRDefault="0037790D" w:rsidP="00EC4889">
      <w:pPr>
        <w:pStyle w:val="ListBullet"/>
      </w:pPr>
      <w:r w:rsidRPr="00EA55D0">
        <w:t>Other</w:t>
      </w:r>
    </w:p>
    <w:p w14:paraId="1531B175" w14:textId="77777777" w:rsidR="0051537D" w:rsidRDefault="0051537D" w:rsidP="0051537D">
      <w:pPr>
        <w:rPr>
          <w:rFonts w:cs="Arial"/>
        </w:rPr>
      </w:pPr>
      <w:r w:rsidRPr="00EA55D0">
        <w:rPr>
          <w:rFonts w:cs="Arial"/>
        </w:rPr>
        <w:t>Cash, financial assets and equity are only collected as a total and are not required to be segmented. Financial information is used by the department and the ACQSC to understand sector performance.</w:t>
      </w:r>
    </w:p>
    <w:p w14:paraId="6EBE9383" w14:textId="6F071BA2" w:rsidR="00F52AA2" w:rsidRPr="00271D9E" w:rsidRDefault="008345CE" w:rsidP="00271D9E">
      <w:pPr>
        <w:pStyle w:val="Heading2"/>
      </w:pPr>
      <w:bookmarkStart w:id="21" w:name="_Toc209078253"/>
      <w:r w:rsidRPr="00271D9E">
        <w:t>Ultimate Parent Entity or Registered Provider</w:t>
      </w:r>
      <w:bookmarkEnd w:id="21"/>
      <w:r w:rsidRPr="00271D9E">
        <w:t xml:space="preserve"> </w:t>
      </w:r>
    </w:p>
    <w:p w14:paraId="2102CC7A" w14:textId="5E642927" w:rsidR="00DE6F26" w:rsidRPr="00EA55D0" w:rsidRDefault="00DE6F26" w:rsidP="003D3585">
      <w:r w:rsidRPr="00EA55D0">
        <w:t xml:space="preserve">If the Registered Provider is part of a group and is not the parent entity of that group, the CSR needs to be completed at the ultimate </w:t>
      </w:r>
      <w:r w:rsidR="0033607E">
        <w:t xml:space="preserve">Australian </w:t>
      </w:r>
      <w:r w:rsidRPr="00EA55D0">
        <w:t>parent entity level</w:t>
      </w:r>
      <w:r w:rsidR="00DE54AD" w:rsidRPr="00EA55D0">
        <w:t>.</w:t>
      </w:r>
    </w:p>
    <w:p w14:paraId="65B35379" w14:textId="512D61B4" w:rsidR="003D3585" w:rsidRDefault="003D3585" w:rsidP="003D3585">
      <w:r w:rsidRPr="00EA55D0">
        <w:t xml:space="preserve">If the Registered Provider does not have a parent entity or group structure, the CSR is to be completed at the </w:t>
      </w:r>
      <w:r w:rsidR="005C1873" w:rsidRPr="00EA55D0">
        <w:t>R</w:t>
      </w:r>
      <w:r w:rsidRPr="00EA55D0">
        <w:t xml:space="preserve">egistered </w:t>
      </w:r>
      <w:r w:rsidR="005C1873" w:rsidRPr="00EA55D0">
        <w:t>P</w:t>
      </w:r>
      <w:r w:rsidRPr="00EA55D0">
        <w:t xml:space="preserve">rovider level with the total segment result and total segment net assets needing to agree to the respective totals in the </w:t>
      </w:r>
      <w:r w:rsidR="002166A8" w:rsidRPr="00EA55D0">
        <w:t>R</w:t>
      </w:r>
      <w:r w:rsidRPr="00EA55D0">
        <w:t xml:space="preserve">egistered </w:t>
      </w:r>
      <w:r w:rsidR="002166A8" w:rsidRPr="00EA55D0">
        <w:t>P</w:t>
      </w:r>
      <w:r w:rsidRPr="00EA55D0">
        <w:t xml:space="preserve">rovider </w:t>
      </w:r>
      <w:r w:rsidR="000A3BE9">
        <w:t>“</w:t>
      </w:r>
      <w:r w:rsidRPr="00EA55D0">
        <w:t>Income &amp; Expenditure Statement</w:t>
      </w:r>
      <w:r w:rsidR="000A3BE9">
        <w:t>”</w:t>
      </w:r>
      <w:r w:rsidRPr="00EA55D0">
        <w:t xml:space="preserve"> and </w:t>
      </w:r>
      <w:r w:rsidR="000A3BE9">
        <w:t>“</w:t>
      </w:r>
      <w:r w:rsidRPr="00EA55D0">
        <w:t>Registered Provider Balance Sheet</w:t>
      </w:r>
      <w:r w:rsidR="000A3BE9">
        <w:t>”</w:t>
      </w:r>
      <w:r w:rsidRPr="00EA55D0">
        <w:t>.</w:t>
      </w:r>
    </w:p>
    <w:p w14:paraId="2E5CAC57" w14:textId="347FEEF4" w:rsidR="00BD27D5" w:rsidRPr="00271D9E" w:rsidRDefault="00BD27D5" w:rsidP="00271D9E">
      <w:pPr>
        <w:pStyle w:val="Heading2"/>
      </w:pPr>
      <w:bookmarkStart w:id="22" w:name="_Toc209078254"/>
      <w:r w:rsidRPr="00271D9E">
        <w:t>Segments</w:t>
      </w:r>
      <w:bookmarkEnd w:id="22"/>
    </w:p>
    <w:p w14:paraId="3E8D268F" w14:textId="38CECCAE" w:rsidR="003D3585" w:rsidRPr="00EA55D0" w:rsidRDefault="003D3585" w:rsidP="003D3585">
      <w:r w:rsidRPr="00EA55D0">
        <w:t xml:space="preserve">The CSR must be prepared in accordance with the recognition and measurement requirements as specified in </w:t>
      </w:r>
      <w:hyperlink r:id="rId32" w:history="1">
        <w:r w:rsidRPr="00EA55D0">
          <w:rPr>
            <w:rStyle w:val="Hyperlink"/>
            <w:rFonts w:cs="Arial"/>
            <w:color w:val="1E1545" w:themeColor="text1"/>
          </w:rPr>
          <w:t>AASB 8 Operating Segments</w:t>
        </w:r>
      </w:hyperlink>
      <w:r w:rsidRPr="00EA55D0">
        <w:t>.</w:t>
      </w:r>
    </w:p>
    <w:p w14:paraId="480D1A5C" w14:textId="52C90F39" w:rsidR="003D3585" w:rsidRPr="00EA55D0" w:rsidRDefault="003D3585" w:rsidP="003D3585">
      <w:r w:rsidRPr="00EA55D0">
        <w:t xml:space="preserve">Where the </w:t>
      </w:r>
      <w:r w:rsidR="00006BC4" w:rsidRPr="00EA55D0">
        <w:t>R</w:t>
      </w:r>
      <w:r w:rsidRPr="00EA55D0">
        <w:t xml:space="preserve">egistered </w:t>
      </w:r>
      <w:r w:rsidR="00006BC4" w:rsidRPr="00EA55D0">
        <w:t>P</w:t>
      </w:r>
      <w:r w:rsidRPr="00EA55D0">
        <w:t xml:space="preserve">rovider does not have a parent entity and only delivers residential aged care, data </w:t>
      </w:r>
      <w:proofErr w:type="gramStart"/>
      <w:r w:rsidRPr="00EA55D0">
        <w:t>entered into</w:t>
      </w:r>
      <w:proofErr w:type="gramEnd"/>
      <w:r w:rsidRPr="00EA55D0">
        <w:t xml:space="preserve"> the CSR must agree with data </w:t>
      </w:r>
      <w:proofErr w:type="gramStart"/>
      <w:r w:rsidRPr="00EA55D0">
        <w:t>entered into</w:t>
      </w:r>
      <w:proofErr w:type="gramEnd"/>
      <w:r w:rsidRPr="00EA55D0">
        <w:t xml:space="preserve"> the residential aged care income, expense and balance sheet sections of the ACFR.</w:t>
      </w:r>
    </w:p>
    <w:p w14:paraId="7F556ED2" w14:textId="3B7143A8" w:rsidR="00316761" w:rsidRPr="00EA55D0" w:rsidRDefault="00316761" w:rsidP="003D3585">
      <w:r w:rsidRPr="00EA55D0">
        <w:t xml:space="preserve">The </w:t>
      </w:r>
      <w:r w:rsidR="009F49B7">
        <w:t>“Home Care/</w:t>
      </w:r>
      <w:r w:rsidRPr="00EA55D0">
        <w:t>Support at Home</w:t>
      </w:r>
      <w:r w:rsidR="009F49B7">
        <w:t>”</w:t>
      </w:r>
      <w:r w:rsidRPr="00EA55D0">
        <w:t xml:space="preserve"> segment should include:</w:t>
      </w:r>
    </w:p>
    <w:p w14:paraId="7228D270" w14:textId="5C8BF2CF" w:rsidR="00BD2E5D" w:rsidRPr="00EA55D0" w:rsidRDefault="00BD2E5D" w:rsidP="00EC4889">
      <w:pPr>
        <w:pStyle w:val="ListBullet"/>
      </w:pPr>
      <w:r w:rsidRPr="00EA55D0">
        <w:t>Home Care Packages Program</w:t>
      </w:r>
      <w:r>
        <w:t xml:space="preserve"> until 31 October 2025</w:t>
      </w:r>
    </w:p>
    <w:p w14:paraId="75696D2C" w14:textId="1F349427" w:rsidR="00316761" w:rsidRPr="00EA55D0" w:rsidRDefault="00316761" w:rsidP="00EC4889">
      <w:pPr>
        <w:pStyle w:val="ListBullet"/>
      </w:pPr>
      <w:r w:rsidRPr="00EA55D0">
        <w:t xml:space="preserve">Support </w:t>
      </w:r>
      <w:r w:rsidR="001A681A" w:rsidRPr="00EA55D0">
        <w:t>at Home program from 1 November 2025</w:t>
      </w:r>
    </w:p>
    <w:p w14:paraId="602A9E58" w14:textId="53F8C6C6" w:rsidR="00D96BEF" w:rsidRPr="005274C5" w:rsidRDefault="003D3585" w:rsidP="005274C5">
      <w:r w:rsidRPr="005274C5">
        <w:t>The ‘Community’</w:t>
      </w:r>
      <w:r w:rsidRPr="005274C5" w:rsidDel="00B15F0A">
        <w:t xml:space="preserve"> </w:t>
      </w:r>
      <w:r w:rsidRPr="005274C5">
        <w:t xml:space="preserve">segment </w:t>
      </w:r>
      <w:r w:rsidR="0046555D" w:rsidRPr="005274C5">
        <w:t xml:space="preserve">should </w:t>
      </w:r>
      <w:r w:rsidRPr="005274C5">
        <w:t>include</w:t>
      </w:r>
      <w:r w:rsidR="00D96BEF" w:rsidRPr="005274C5">
        <w:t>:</w:t>
      </w:r>
    </w:p>
    <w:p w14:paraId="0068C2FC" w14:textId="67CBD017" w:rsidR="00D95842" w:rsidRPr="00EA55D0" w:rsidRDefault="003D3585" w:rsidP="00EC4889">
      <w:pPr>
        <w:pStyle w:val="ListBullet"/>
      </w:pPr>
      <w:r w:rsidRPr="00EA55D0">
        <w:t xml:space="preserve">Commonwealth Home Support Programme (CHSP) </w:t>
      </w:r>
    </w:p>
    <w:p w14:paraId="40E144EF" w14:textId="3F435ED9" w:rsidR="002F0124" w:rsidRPr="00EA55D0" w:rsidRDefault="002F0124" w:rsidP="00EC4889">
      <w:pPr>
        <w:pStyle w:val="ListBullet"/>
      </w:pPr>
      <w:r w:rsidRPr="00EA55D0">
        <w:t>National Aboriginal and Torres Strait Islander Flexible Aged Care Program (NATSIFACP)</w:t>
      </w:r>
    </w:p>
    <w:p w14:paraId="41B54296" w14:textId="040F9C15" w:rsidR="002F0124" w:rsidRDefault="00B012D3" w:rsidP="00EC4889">
      <w:pPr>
        <w:pStyle w:val="ListBullet"/>
      </w:pPr>
      <w:r w:rsidRPr="00EA55D0">
        <w:t>Transition Care Program (TCP)</w:t>
      </w:r>
    </w:p>
    <w:p w14:paraId="72B5CF91" w14:textId="77777777" w:rsidR="00D95842" w:rsidRPr="00EA55D0" w:rsidRDefault="00D95842" w:rsidP="00EC4889">
      <w:pPr>
        <w:pStyle w:val="ListBullet"/>
      </w:pPr>
      <w:r w:rsidRPr="00EA55D0">
        <w:t>STRC Prog</w:t>
      </w:r>
      <w:r>
        <w:t>r</w:t>
      </w:r>
      <w:r w:rsidRPr="00EA55D0">
        <w:t xml:space="preserve">am </w:t>
      </w:r>
      <w:r>
        <w:t>until 31 October 2025</w:t>
      </w:r>
    </w:p>
    <w:p w14:paraId="4E98992A" w14:textId="387A8B00" w:rsidR="00363C09" w:rsidRPr="00EA55D0" w:rsidRDefault="00D377EC" w:rsidP="00EC4889">
      <w:pPr>
        <w:pStyle w:val="ListBullet"/>
      </w:pPr>
      <w:r w:rsidRPr="00EA55D0">
        <w:t>Multi-Purpose</w:t>
      </w:r>
      <w:r w:rsidR="00363C09" w:rsidRPr="00EA55D0">
        <w:t xml:space="preserve"> Services Program (MPSP)</w:t>
      </w:r>
    </w:p>
    <w:p w14:paraId="071F155F" w14:textId="77777777" w:rsidR="007A1ECA" w:rsidRPr="00EA55D0" w:rsidRDefault="003D3585" w:rsidP="00EC4889">
      <w:pPr>
        <w:pStyle w:val="ListBullet"/>
      </w:pPr>
      <w:r w:rsidRPr="00EA55D0">
        <w:t>Department of Veterans’ Affairs (DVA) program</w:t>
      </w:r>
    </w:p>
    <w:p w14:paraId="39B9102B" w14:textId="4B0E541A" w:rsidR="003D3585" w:rsidRPr="00EA55D0" w:rsidRDefault="003D3585" w:rsidP="00EC4889">
      <w:pPr>
        <w:pStyle w:val="ListBullet"/>
      </w:pPr>
      <w:r w:rsidRPr="00EA55D0">
        <w:t>other non-aged care community services including National Disability Insurance Scheme (NDIS), children services and other community services.</w:t>
      </w:r>
    </w:p>
    <w:p w14:paraId="70144982" w14:textId="75A008DC" w:rsidR="00B87517" w:rsidRDefault="00952FCA" w:rsidP="00520EED">
      <w:pPr>
        <w:rPr>
          <w:rFonts w:cs="Arial"/>
        </w:rPr>
      </w:pPr>
      <w:r w:rsidRPr="00EA55D0">
        <w:rPr>
          <w:rFonts w:cs="Arial"/>
        </w:rPr>
        <w:t>The ‘Retirement’ segment should include assets, liabilities, income and expenses for retirement villages and Independent Living Units (ILUs).</w:t>
      </w:r>
    </w:p>
    <w:p w14:paraId="75C54993" w14:textId="6A686B75" w:rsidR="007153B4" w:rsidRPr="00271D9E" w:rsidRDefault="007153B4" w:rsidP="00271D9E">
      <w:pPr>
        <w:pStyle w:val="Heading2"/>
      </w:pPr>
      <w:bookmarkStart w:id="23" w:name="_Toc209078255"/>
      <w:r w:rsidRPr="00271D9E">
        <w:t>Government providers</w:t>
      </w:r>
      <w:bookmarkEnd w:id="23"/>
    </w:p>
    <w:p w14:paraId="47FAF098" w14:textId="74CD91F2" w:rsidR="00D43576" w:rsidRPr="00EA55D0" w:rsidRDefault="00D43576" w:rsidP="00D43576">
      <w:r w:rsidRPr="00EA55D0">
        <w:t>If an organisation is a Registered Provider of residential aged care and/or the Support at Home program and is also a state or territory government, an authority of a state or territory or a local government authority then they are not required to complete the CSR.</w:t>
      </w:r>
    </w:p>
    <w:p w14:paraId="45118CBD" w14:textId="396F6C92" w:rsidR="00520EED" w:rsidRPr="00271D9E" w:rsidRDefault="00776A4A" w:rsidP="00271D9E">
      <w:pPr>
        <w:pStyle w:val="Heading2"/>
      </w:pPr>
      <w:bookmarkStart w:id="24" w:name="_Toc205804586"/>
      <w:bookmarkStart w:id="25" w:name="_Toc207281688"/>
      <w:r w:rsidRPr="00271D9E">
        <w:t>Consolidated Segment Report</w:t>
      </w:r>
      <w:r w:rsidR="00520EED" w:rsidRPr="00271D9E">
        <w:t xml:space="preserve"> FAQs</w:t>
      </w:r>
      <w:bookmarkEnd w:id="24"/>
      <w:bookmarkEnd w:id="25"/>
    </w:p>
    <w:p w14:paraId="4D5110AA" w14:textId="22D8EAE8" w:rsidR="00520EED" w:rsidRPr="00EA55D0" w:rsidRDefault="005C1873" w:rsidP="006D27F3">
      <w:pPr>
        <w:pStyle w:val="Heading3"/>
        <w:rPr>
          <w:rFonts w:eastAsia="Calibri Light"/>
        </w:rPr>
      </w:pPr>
      <w:r w:rsidRPr="00EA55D0">
        <w:rPr>
          <w:rFonts w:eastAsia="Calibri Light"/>
        </w:rPr>
        <w:t xml:space="preserve">Our business records the Balance Sheet at the </w:t>
      </w:r>
      <w:r w:rsidR="00167A75" w:rsidRPr="00EA55D0">
        <w:rPr>
          <w:rFonts w:eastAsia="Calibri Light"/>
        </w:rPr>
        <w:t>R</w:t>
      </w:r>
      <w:r w:rsidRPr="00EA55D0">
        <w:rPr>
          <w:rFonts w:eastAsia="Calibri Light"/>
        </w:rPr>
        <w:t xml:space="preserve">egistered </w:t>
      </w:r>
      <w:r w:rsidR="00167A75" w:rsidRPr="00EA55D0">
        <w:rPr>
          <w:rFonts w:eastAsia="Calibri Light"/>
        </w:rPr>
        <w:t>P</w:t>
      </w:r>
      <w:r w:rsidRPr="00EA55D0">
        <w:rPr>
          <w:rFonts w:eastAsia="Calibri Light"/>
        </w:rPr>
        <w:t xml:space="preserve">rovider level and not by segments. Is it acceptable to report on each segment using our own methodology?  </w:t>
      </w:r>
    </w:p>
    <w:p w14:paraId="5B334E6D" w14:textId="08F9C8E4" w:rsidR="004F0721" w:rsidRPr="00EA55D0" w:rsidRDefault="004F0721" w:rsidP="004F0721">
      <w:r w:rsidRPr="00EA55D0">
        <w:t xml:space="preserve">The Balance Sheet needs to be segmented in the CSR (at the </w:t>
      </w:r>
      <w:r w:rsidR="004215B0">
        <w:t>u</w:t>
      </w:r>
      <w:r w:rsidRPr="00EA55D0">
        <w:t xml:space="preserve">ltimate </w:t>
      </w:r>
      <w:r w:rsidR="004215B0">
        <w:t>Australia</w:t>
      </w:r>
      <w:r w:rsidR="00275C75">
        <w:t>n</w:t>
      </w:r>
      <w:r w:rsidR="004215B0">
        <w:t xml:space="preserve"> p</w:t>
      </w:r>
      <w:r w:rsidRPr="00EA55D0">
        <w:t xml:space="preserve">arent </w:t>
      </w:r>
      <w:r w:rsidR="00B46327">
        <w:t>e</w:t>
      </w:r>
      <w:r w:rsidRPr="00EA55D0">
        <w:t xml:space="preserve">ntity </w:t>
      </w:r>
      <w:r w:rsidR="00B46327">
        <w:t>l</w:t>
      </w:r>
      <w:r w:rsidRPr="00EA55D0">
        <w:t>evel</w:t>
      </w:r>
      <w:r w:rsidR="007952B5" w:rsidRPr="00EA55D0">
        <w:t>),</w:t>
      </w:r>
      <w:r w:rsidRPr="00EA55D0">
        <w:t xml:space="preserve"> and a separate residential segment balance sheet also needs to be completed to cover the services operated by the provider. The department requires that the principles of </w:t>
      </w:r>
      <w:hyperlink r:id="rId33" w:history="1">
        <w:r w:rsidRPr="00EA55D0">
          <w:rPr>
            <w:rStyle w:val="Hyperlink"/>
            <w:rFonts w:cs="Arial"/>
          </w:rPr>
          <w:t>AASB 8 Operating Segments</w:t>
        </w:r>
      </w:hyperlink>
      <w:r w:rsidRPr="00EA55D0">
        <w:t xml:space="preserve"> be applied within the segment report to split the consolidated group’s financial performance and financial position by aged care segment. Providers should make reasonable estimates to apportion these costs based on individual business models and circumstances. In addition, the principles of AASB 10 Consolidated Financial Statements can be applied. </w:t>
      </w:r>
    </w:p>
    <w:p w14:paraId="7C63726A" w14:textId="0D79959C" w:rsidR="00520EED" w:rsidRPr="00EA55D0" w:rsidRDefault="00A9525B" w:rsidP="006D27F3">
      <w:pPr>
        <w:pStyle w:val="Heading3"/>
        <w:rPr>
          <w:rFonts w:eastAsia="Calibri Light"/>
        </w:rPr>
      </w:pPr>
      <w:r w:rsidRPr="00EA55D0">
        <w:rPr>
          <w:rFonts w:eastAsia="Calibri Light"/>
        </w:rPr>
        <w:t>When splitting the CSR by segments (</w:t>
      </w:r>
      <w:r w:rsidR="007F601B">
        <w:rPr>
          <w:rFonts w:eastAsia="Calibri Light"/>
        </w:rPr>
        <w:t>“</w:t>
      </w:r>
      <w:r w:rsidRPr="00EA55D0">
        <w:rPr>
          <w:rFonts w:eastAsia="Calibri Light"/>
        </w:rPr>
        <w:t>Residential</w:t>
      </w:r>
      <w:r w:rsidR="007F601B">
        <w:rPr>
          <w:rFonts w:eastAsia="Calibri Light"/>
        </w:rPr>
        <w:t>”</w:t>
      </w:r>
      <w:r w:rsidRPr="00EA55D0">
        <w:rPr>
          <w:rFonts w:eastAsia="Calibri Light"/>
        </w:rPr>
        <w:t xml:space="preserve">, </w:t>
      </w:r>
      <w:r w:rsidR="007F601B">
        <w:rPr>
          <w:rFonts w:eastAsia="Calibri Light"/>
        </w:rPr>
        <w:t>“</w:t>
      </w:r>
      <w:r w:rsidRPr="00EA55D0">
        <w:rPr>
          <w:rFonts w:eastAsia="Calibri Light"/>
        </w:rPr>
        <w:t>Support at Home</w:t>
      </w:r>
      <w:r w:rsidR="007F601B">
        <w:rPr>
          <w:rFonts w:eastAsia="Calibri Light"/>
        </w:rPr>
        <w:t>”</w:t>
      </w:r>
      <w:r w:rsidRPr="00EA55D0">
        <w:rPr>
          <w:rFonts w:eastAsia="Calibri Light"/>
        </w:rPr>
        <w:t xml:space="preserve">, </w:t>
      </w:r>
      <w:r w:rsidR="007F601B">
        <w:rPr>
          <w:rFonts w:eastAsia="Calibri Light"/>
        </w:rPr>
        <w:t>“</w:t>
      </w:r>
      <w:r w:rsidRPr="00EA55D0">
        <w:rPr>
          <w:rFonts w:eastAsia="Calibri Light"/>
        </w:rPr>
        <w:t>Community</w:t>
      </w:r>
      <w:r w:rsidR="007F601B">
        <w:rPr>
          <w:rFonts w:eastAsia="Calibri Light"/>
        </w:rPr>
        <w:t>”</w:t>
      </w:r>
      <w:r w:rsidRPr="00EA55D0">
        <w:rPr>
          <w:rFonts w:eastAsia="Calibri Light"/>
        </w:rPr>
        <w:t xml:space="preserve">, </w:t>
      </w:r>
      <w:r w:rsidR="007F601B">
        <w:rPr>
          <w:rFonts w:eastAsia="Calibri Light"/>
        </w:rPr>
        <w:t>“</w:t>
      </w:r>
      <w:r w:rsidRPr="00EA55D0">
        <w:rPr>
          <w:rFonts w:eastAsia="Calibri Light"/>
        </w:rPr>
        <w:t>Retirement</w:t>
      </w:r>
      <w:r w:rsidR="007F601B">
        <w:rPr>
          <w:rFonts w:eastAsia="Calibri Light"/>
        </w:rPr>
        <w:t>”</w:t>
      </w:r>
      <w:r w:rsidRPr="00EA55D0">
        <w:rPr>
          <w:rFonts w:eastAsia="Calibri Light"/>
        </w:rPr>
        <w:t xml:space="preserve"> and </w:t>
      </w:r>
      <w:r w:rsidR="007F601B">
        <w:rPr>
          <w:rFonts w:eastAsia="Calibri Light"/>
        </w:rPr>
        <w:t>“</w:t>
      </w:r>
      <w:r w:rsidRPr="00EA55D0">
        <w:rPr>
          <w:rFonts w:eastAsia="Calibri Light"/>
        </w:rPr>
        <w:t>Other</w:t>
      </w:r>
      <w:r w:rsidR="007F601B">
        <w:rPr>
          <w:rFonts w:eastAsia="Calibri Light"/>
        </w:rPr>
        <w:t>”</w:t>
      </w:r>
      <w:r w:rsidRPr="00EA55D0">
        <w:rPr>
          <w:rFonts w:eastAsia="Calibri Light"/>
        </w:rPr>
        <w:t xml:space="preserve">), should corporate costs that relate to supporting the segments be allocated to </w:t>
      </w:r>
      <w:r w:rsidR="00477120">
        <w:rPr>
          <w:rFonts w:eastAsia="Calibri Light"/>
        </w:rPr>
        <w:t>“</w:t>
      </w:r>
      <w:r w:rsidRPr="00EA55D0">
        <w:rPr>
          <w:rFonts w:eastAsia="Calibri Light"/>
        </w:rPr>
        <w:t>Other</w:t>
      </w:r>
      <w:r w:rsidR="009C7761">
        <w:rPr>
          <w:rFonts w:eastAsia="Calibri Light"/>
        </w:rPr>
        <w:t>”</w:t>
      </w:r>
      <w:r w:rsidRPr="00EA55D0">
        <w:rPr>
          <w:rFonts w:eastAsia="Calibri Light"/>
        </w:rPr>
        <w:t xml:space="preserve"> or re-distributed into the segments?</w:t>
      </w:r>
    </w:p>
    <w:p w14:paraId="474706AE" w14:textId="7C4BC8F6" w:rsidR="00EF63DB" w:rsidRPr="00EA55D0" w:rsidRDefault="00EF63DB" w:rsidP="00EF63DB">
      <w:r w:rsidRPr="00EA55D0">
        <w:t>Corporate/supporting cost</w:t>
      </w:r>
      <w:r w:rsidR="003A2236" w:rsidRPr="00EA55D0">
        <w:t>s</w:t>
      </w:r>
      <w:r w:rsidRPr="00EA55D0">
        <w:t xml:space="preserve"> must be fully re-distributed into segments (</w:t>
      </w:r>
      <w:r w:rsidR="009C7761">
        <w:t>“</w:t>
      </w:r>
      <w:r w:rsidRPr="00EA55D0">
        <w:t>Residential</w:t>
      </w:r>
      <w:r w:rsidR="009C7761">
        <w:t>”</w:t>
      </w:r>
      <w:r w:rsidRPr="00EA55D0">
        <w:t xml:space="preserve">, </w:t>
      </w:r>
      <w:r w:rsidR="009C7761">
        <w:t>“</w:t>
      </w:r>
      <w:r w:rsidRPr="00EA55D0">
        <w:t>Support at Home</w:t>
      </w:r>
      <w:r w:rsidR="009C7761">
        <w:t>”</w:t>
      </w:r>
      <w:r w:rsidRPr="00EA55D0">
        <w:t xml:space="preserve">, </w:t>
      </w:r>
      <w:r w:rsidR="009C7761">
        <w:t>“</w:t>
      </w:r>
      <w:r w:rsidRPr="00EA55D0">
        <w:t>Community</w:t>
      </w:r>
      <w:r w:rsidR="009C7761">
        <w:t>”</w:t>
      </w:r>
      <w:r w:rsidRPr="00EA55D0">
        <w:t xml:space="preserve">, </w:t>
      </w:r>
      <w:r w:rsidR="009C7761">
        <w:t>“</w:t>
      </w:r>
      <w:r w:rsidRPr="00EA55D0">
        <w:t>Retirement</w:t>
      </w:r>
      <w:r w:rsidR="009C7761">
        <w:t>”</w:t>
      </w:r>
      <w:r w:rsidRPr="00EA55D0">
        <w:t xml:space="preserve"> and </w:t>
      </w:r>
      <w:r w:rsidR="009C7761">
        <w:t>“</w:t>
      </w:r>
      <w:r w:rsidRPr="00EA55D0">
        <w:t>Other</w:t>
      </w:r>
      <w:r w:rsidR="009C7761">
        <w:t>”</w:t>
      </w:r>
      <w:r w:rsidRPr="00EA55D0">
        <w:t xml:space="preserve">). The department requires that the principles of </w:t>
      </w:r>
      <w:hyperlink r:id="rId34">
        <w:r w:rsidRPr="00EA55D0">
          <w:rPr>
            <w:rStyle w:val="Hyperlink"/>
          </w:rPr>
          <w:t>AASB 8 Operating Segments</w:t>
        </w:r>
      </w:hyperlink>
      <w:r w:rsidRPr="00EA55D0">
        <w:t xml:space="preserve"> be applied within the segment report to split the consolidated group’s financial performance and financial position by aged care segment. Providers should make reasonable estimates to apportion these costs based on individual business models and circumstances. In addition, the principles of AASB 10 Consolidated Financial Statements can be applied</w:t>
      </w:r>
      <w:r w:rsidR="00E118A5" w:rsidRPr="00EA55D0">
        <w:t>.</w:t>
      </w:r>
      <w:r w:rsidRPr="00EA55D0">
        <w:t xml:space="preserve"> </w:t>
      </w:r>
    </w:p>
    <w:p w14:paraId="0AD81103" w14:textId="77777777" w:rsidR="00EF63DB" w:rsidRPr="00EA55D0" w:rsidRDefault="00EF63DB" w:rsidP="00D73DCB">
      <w:pPr>
        <w:keepNext/>
        <w:keepLines/>
      </w:pPr>
      <w:r w:rsidRPr="00EA55D0">
        <w:t xml:space="preserve">The following steps can be used as an indicative guide: </w:t>
      </w:r>
    </w:p>
    <w:p w14:paraId="1E1164BA" w14:textId="77777777" w:rsidR="00EF63DB" w:rsidRPr="00EA55D0" w:rsidRDefault="00EF63DB" w:rsidP="005274C5">
      <w:pPr>
        <w:pStyle w:val="ListBullet"/>
      </w:pPr>
      <w:r w:rsidRPr="00EA55D0">
        <w:t xml:space="preserve">Determine the percentage of corporate costs that apply to each segment taking into consideration the nature of the segment – examples being that the property division would likely be predominantly relating to residential and retirement segments, whereas clinical would be residential and community with little allocation to retirement. </w:t>
      </w:r>
    </w:p>
    <w:p w14:paraId="1C51F5BC" w14:textId="605F8ED1" w:rsidR="00EF63DB" w:rsidRPr="00EA55D0" w:rsidRDefault="00EF63DB" w:rsidP="00EC4889">
      <w:pPr>
        <w:pStyle w:val="ListBullet"/>
      </w:pPr>
      <w:r w:rsidRPr="00EA55D0">
        <w:t xml:space="preserve">Once the allocation percentage for each segment is determined, the allocation within the segment (to each operating unit) can be based on a formula – </w:t>
      </w:r>
      <w:r w:rsidR="004A6127">
        <w:t>f</w:t>
      </w:r>
      <w:r w:rsidRPr="00EA55D0">
        <w:t>or example:</w:t>
      </w:r>
    </w:p>
    <w:p w14:paraId="0F4CEFB0" w14:textId="77777777" w:rsidR="00EF63DB" w:rsidRPr="00EA55D0" w:rsidRDefault="00EF63DB" w:rsidP="00EC4889">
      <w:pPr>
        <w:pStyle w:val="ListBullet2"/>
      </w:pPr>
      <w:r w:rsidRPr="00EA55D0">
        <w:t>residential by number of operating beds for each home</w:t>
      </w:r>
    </w:p>
    <w:p w14:paraId="1593E3DE" w14:textId="77777777" w:rsidR="00EF63DB" w:rsidRPr="00EA55D0" w:rsidRDefault="00EF63DB" w:rsidP="00EC4889">
      <w:pPr>
        <w:pStyle w:val="ListBullet2"/>
      </w:pPr>
      <w:r w:rsidRPr="00EA55D0">
        <w:t>community based on revenue for each program</w:t>
      </w:r>
    </w:p>
    <w:p w14:paraId="65998693" w14:textId="77777777" w:rsidR="00EF63DB" w:rsidRPr="00EA55D0" w:rsidRDefault="00EF63DB" w:rsidP="00EC4889">
      <w:pPr>
        <w:pStyle w:val="ListBullet2"/>
      </w:pPr>
      <w:r w:rsidRPr="00EA55D0">
        <w:t xml:space="preserve">retirement based on number of units for each village, and </w:t>
      </w:r>
    </w:p>
    <w:p w14:paraId="4DCCA7D1" w14:textId="77777777" w:rsidR="00EF63DB" w:rsidRPr="00EA55D0" w:rsidRDefault="00EF63DB" w:rsidP="00EC4889">
      <w:pPr>
        <w:pStyle w:val="ListBullet2"/>
      </w:pPr>
      <w:r w:rsidRPr="00EA55D0">
        <w:t xml:space="preserve">the “Other” segment should only include corporate costs relating to treasury, governance and areas that are not directly related to one of the operating segments. </w:t>
      </w:r>
    </w:p>
    <w:p w14:paraId="0E29504F" w14:textId="58F6344B" w:rsidR="00520EED" w:rsidRPr="00EA55D0" w:rsidRDefault="0058080C" w:rsidP="006D27F3">
      <w:pPr>
        <w:pStyle w:val="Heading3"/>
        <w:rPr>
          <w:rFonts w:eastAsia="Calibri Light"/>
        </w:rPr>
      </w:pPr>
      <w:r w:rsidRPr="00EA55D0">
        <w:rPr>
          <w:rFonts w:eastAsia="Calibri Light"/>
        </w:rPr>
        <w:t xml:space="preserve">The </w:t>
      </w:r>
      <w:r w:rsidR="007F601B">
        <w:rPr>
          <w:rFonts w:eastAsia="Calibri Light"/>
        </w:rPr>
        <w:t>“</w:t>
      </w:r>
      <w:r w:rsidRPr="00EA55D0">
        <w:rPr>
          <w:rFonts w:eastAsia="Calibri Light"/>
        </w:rPr>
        <w:t>Balance Sheet</w:t>
      </w:r>
      <w:r w:rsidR="007F601B">
        <w:rPr>
          <w:rFonts w:eastAsia="Calibri Light"/>
        </w:rPr>
        <w:t>”</w:t>
      </w:r>
      <w:r w:rsidRPr="00EA55D0">
        <w:rPr>
          <w:rFonts w:eastAsia="Calibri Light"/>
        </w:rPr>
        <w:t xml:space="preserve"> in the CSR does not require segmentation for cash, financial assets or equity. Are these </w:t>
      </w:r>
      <w:r w:rsidR="007F601B">
        <w:rPr>
          <w:rFonts w:eastAsia="Calibri Light"/>
        </w:rPr>
        <w:t>“</w:t>
      </w:r>
      <w:r w:rsidRPr="00EA55D0">
        <w:rPr>
          <w:rFonts w:eastAsia="Calibri Light"/>
        </w:rPr>
        <w:t>Balance Sheet</w:t>
      </w:r>
      <w:r w:rsidR="007F601B">
        <w:rPr>
          <w:rFonts w:eastAsia="Calibri Light"/>
        </w:rPr>
        <w:t>”</w:t>
      </w:r>
      <w:r w:rsidRPr="00EA55D0">
        <w:rPr>
          <w:rFonts w:eastAsia="Calibri Light"/>
        </w:rPr>
        <w:t xml:space="preserve"> items (cash, financial assets and equity) excluded from the separate residential balance sheet reporting requirements?</w:t>
      </w:r>
    </w:p>
    <w:p w14:paraId="385686D0" w14:textId="40C186FE" w:rsidR="00697E20" w:rsidRPr="00EA55D0" w:rsidRDefault="00697E20" w:rsidP="00697E20">
      <w:r w:rsidRPr="00EA55D0">
        <w:t xml:space="preserve">No. The </w:t>
      </w:r>
      <w:r w:rsidR="007F601B">
        <w:t>“</w:t>
      </w:r>
      <w:r w:rsidRPr="00EA55D0">
        <w:t>Balance Sheet</w:t>
      </w:r>
      <w:r w:rsidR="007F601B">
        <w:t>”</w:t>
      </w:r>
      <w:r w:rsidRPr="00EA55D0">
        <w:t xml:space="preserve"> items are included in residential balance sheet reporting requirements. The residential allocation for cash, financial assets, and the allocation of all other residual current assets should be included in the residential segment balance sheet under ‘Other Assets’. </w:t>
      </w:r>
    </w:p>
    <w:p w14:paraId="6A7EAFCD" w14:textId="0A31EAED" w:rsidR="00697E20" w:rsidRPr="00EA55D0" w:rsidRDefault="00697E20" w:rsidP="00697E20">
      <w:r w:rsidRPr="00EA55D0">
        <w:t>The CSR</w:t>
      </w:r>
      <w:r w:rsidRPr="00EA55D0" w:rsidDel="00E32822">
        <w:t xml:space="preserve"> </w:t>
      </w:r>
      <w:r w:rsidRPr="00EA55D0">
        <w:t xml:space="preserve">is to be completed at the ultimate </w:t>
      </w:r>
      <w:r w:rsidR="008C3DA5">
        <w:t xml:space="preserve">Australian </w:t>
      </w:r>
      <w:r w:rsidRPr="00EA55D0">
        <w:t>parent entity level and does not require cash and financial assets to be allocated to the individual segments. It can be reported as a total for the parent entity.</w:t>
      </w:r>
    </w:p>
    <w:p w14:paraId="60A234C4" w14:textId="1543D74A" w:rsidR="000E720D" w:rsidRPr="00EA55D0" w:rsidRDefault="000E720D" w:rsidP="006D27F3">
      <w:pPr>
        <w:pStyle w:val="Heading3"/>
        <w:rPr>
          <w:rFonts w:eastAsia="Calibri Light"/>
        </w:rPr>
      </w:pPr>
      <w:r w:rsidRPr="00EA55D0">
        <w:rPr>
          <w:rFonts w:eastAsia="Calibri Light"/>
        </w:rPr>
        <w:t xml:space="preserve">If a provider runs </w:t>
      </w:r>
      <w:r w:rsidR="00ED05C8" w:rsidRPr="00EA55D0">
        <w:rPr>
          <w:rFonts w:eastAsia="Calibri Light"/>
        </w:rPr>
        <w:t xml:space="preserve">a </w:t>
      </w:r>
      <w:r w:rsidRPr="00EA55D0">
        <w:rPr>
          <w:rFonts w:eastAsia="Calibri Light"/>
        </w:rPr>
        <w:t xml:space="preserve">central catering division which services both internal residential </w:t>
      </w:r>
      <w:r w:rsidR="00F039C4" w:rsidRPr="00EA55D0">
        <w:rPr>
          <w:rFonts w:eastAsia="Calibri Light"/>
        </w:rPr>
        <w:t xml:space="preserve">aged care </w:t>
      </w:r>
      <w:r w:rsidR="007F6D57" w:rsidRPr="00EA55D0">
        <w:rPr>
          <w:rFonts w:eastAsia="Calibri Light"/>
        </w:rPr>
        <w:t xml:space="preserve">homes </w:t>
      </w:r>
      <w:r w:rsidRPr="00EA55D0">
        <w:rPr>
          <w:rFonts w:eastAsia="Calibri Light"/>
        </w:rPr>
        <w:t>as well as external customers, is it classified as ‘Other’ in the CSR</w:t>
      </w:r>
      <w:r w:rsidRPr="00EA55D0" w:rsidDel="00E32822">
        <w:rPr>
          <w:rFonts w:eastAsia="Calibri Light"/>
        </w:rPr>
        <w:t>?</w:t>
      </w:r>
    </w:p>
    <w:p w14:paraId="208A1516" w14:textId="3E20E6D7" w:rsidR="00EC4889" w:rsidRDefault="000E720D" w:rsidP="005274C5">
      <w:pPr>
        <w:rPr>
          <w:rFonts w:cs="Arial"/>
        </w:rPr>
      </w:pPr>
      <w:r w:rsidRPr="00EA55D0">
        <w:rPr>
          <w:rFonts w:cs="Arial"/>
        </w:rPr>
        <w:t xml:space="preserve">Catering </w:t>
      </w:r>
      <w:r w:rsidR="00032922" w:rsidRPr="00EA55D0">
        <w:rPr>
          <w:rFonts w:cs="Arial"/>
        </w:rPr>
        <w:t xml:space="preserve">operations </w:t>
      </w:r>
      <w:r w:rsidR="00E94147" w:rsidRPr="00EA55D0">
        <w:rPr>
          <w:rFonts w:cs="Arial"/>
        </w:rPr>
        <w:t xml:space="preserve">that service both internal </w:t>
      </w:r>
      <w:r w:rsidR="008C3DA5">
        <w:rPr>
          <w:rFonts w:cs="Arial"/>
        </w:rPr>
        <w:t xml:space="preserve">approved </w:t>
      </w:r>
      <w:r w:rsidR="00E94147" w:rsidRPr="00EA55D0">
        <w:rPr>
          <w:rFonts w:cs="Arial"/>
        </w:rPr>
        <w:t xml:space="preserve">residential </w:t>
      </w:r>
      <w:r w:rsidR="007F6D57" w:rsidRPr="00EA55D0">
        <w:rPr>
          <w:rFonts w:cs="Arial"/>
        </w:rPr>
        <w:t xml:space="preserve">care homes </w:t>
      </w:r>
      <w:r w:rsidR="00015825" w:rsidRPr="00EA55D0">
        <w:rPr>
          <w:rFonts w:cs="Arial"/>
        </w:rPr>
        <w:t xml:space="preserve">and external customers will need to be apportioned to the relevant segments in the CSR. </w:t>
      </w:r>
      <w:r w:rsidR="00590E05" w:rsidRPr="00EA55D0">
        <w:rPr>
          <w:rFonts w:cs="Arial"/>
        </w:rPr>
        <w:t>The catering operations that relate to meals provided in residential aged care should be apportioned to the ‘</w:t>
      </w:r>
      <w:r w:rsidRPr="00EA55D0">
        <w:rPr>
          <w:rFonts w:cs="Arial"/>
        </w:rPr>
        <w:t>Residential’ segment</w:t>
      </w:r>
      <w:r w:rsidR="00D84690" w:rsidRPr="00EA55D0">
        <w:rPr>
          <w:rFonts w:cs="Arial"/>
        </w:rPr>
        <w:t xml:space="preserve"> </w:t>
      </w:r>
      <w:proofErr w:type="gramStart"/>
      <w:r w:rsidR="00D84690" w:rsidRPr="00EA55D0">
        <w:rPr>
          <w:rFonts w:cs="Arial"/>
        </w:rPr>
        <w:t>and also</w:t>
      </w:r>
      <w:proofErr w:type="gramEnd"/>
      <w:r w:rsidR="00D84690" w:rsidRPr="00EA55D0">
        <w:rPr>
          <w:rFonts w:cs="Arial"/>
        </w:rPr>
        <w:t xml:space="preserve"> be included </w:t>
      </w:r>
      <w:r w:rsidR="00351FBA" w:rsidRPr="00EA55D0">
        <w:rPr>
          <w:rFonts w:cs="Arial"/>
        </w:rPr>
        <w:t xml:space="preserve">in the residential </w:t>
      </w:r>
      <w:r w:rsidR="00772180" w:rsidRPr="00EA55D0">
        <w:rPr>
          <w:rFonts w:cs="Arial"/>
        </w:rPr>
        <w:t>catering expenses</w:t>
      </w:r>
      <w:r w:rsidR="00A933E5" w:rsidRPr="00EA55D0">
        <w:rPr>
          <w:rFonts w:cs="Arial"/>
        </w:rPr>
        <w:t xml:space="preserve"> </w:t>
      </w:r>
      <w:r w:rsidR="007C74CB" w:rsidRPr="00EA55D0">
        <w:rPr>
          <w:rFonts w:cs="Arial"/>
        </w:rPr>
        <w:t>contract (internal)</w:t>
      </w:r>
      <w:r w:rsidR="00351FBA" w:rsidRPr="00EA55D0">
        <w:rPr>
          <w:rFonts w:cs="Arial"/>
        </w:rPr>
        <w:t xml:space="preserve">. </w:t>
      </w:r>
      <w:r w:rsidRPr="00EA55D0">
        <w:rPr>
          <w:rFonts w:cs="Arial"/>
        </w:rPr>
        <w:t xml:space="preserve">The remainder of catering operations will be included in </w:t>
      </w:r>
      <w:r w:rsidR="009128AB" w:rsidRPr="00EA55D0">
        <w:rPr>
          <w:rFonts w:cs="Arial"/>
        </w:rPr>
        <w:t xml:space="preserve">the </w:t>
      </w:r>
      <w:r w:rsidRPr="00EA55D0">
        <w:rPr>
          <w:rFonts w:cs="Arial"/>
        </w:rPr>
        <w:t>‘Other’ segment of the CSR.</w:t>
      </w:r>
      <w:bookmarkStart w:id="26" w:name="_Toc184198006"/>
      <w:bookmarkStart w:id="27" w:name="_Toc205730278"/>
      <w:bookmarkStart w:id="28" w:name="_Toc209078256"/>
    </w:p>
    <w:p w14:paraId="0F4497B5" w14:textId="77777777" w:rsidR="00EC4889" w:rsidRPr="00EC4889" w:rsidRDefault="00EC4889" w:rsidP="00EC4889">
      <w:r w:rsidRPr="00EC4889">
        <w:br w:type="page"/>
      </w:r>
    </w:p>
    <w:p w14:paraId="0A52B6E8" w14:textId="02D8A287" w:rsidR="008502E2" w:rsidRPr="00EA55D0" w:rsidRDefault="002837E6" w:rsidP="002837E6">
      <w:pPr>
        <w:pStyle w:val="Chapternumbers"/>
      </w:pPr>
      <w:bookmarkStart w:id="29" w:name="_Toc224723293"/>
      <w:r w:rsidRPr="00EA55D0">
        <w:rPr>
          <w:noProof/>
        </w:rPr>
        <mc:AlternateContent>
          <mc:Choice Requires="wps">
            <w:drawing>
              <wp:anchor distT="0" distB="0" distL="114300" distR="114300" simplePos="0" relativeHeight="251658249" behindDoc="1" locked="0" layoutInCell="1" allowOverlap="1" wp14:anchorId="0858CFC5" wp14:editId="5BF1F015">
                <wp:simplePos x="0" y="0"/>
                <wp:positionH relativeFrom="page">
                  <wp:align>left</wp:align>
                </wp:positionH>
                <wp:positionV relativeFrom="page">
                  <wp:align>top</wp:align>
                </wp:positionV>
                <wp:extent cx="8645525" cy="12405995"/>
                <wp:effectExtent l="0" t="0" r="3175" b="0"/>
                <wp:wrapNone/>
                <wp:docPr id="661590485" name="Rectangle 6615904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45525" cy="1240599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32AD7" id="Rectangle 661590485" o:spid="_x0000_s1026" alt="&quot;&quot;" style="position:absolute;margin-left:0;margin-top:0;width:680.75pt;height:976.85pt;z-index:-25165823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eevfQIAAGAFAAAOAAAAZHJzL2Uyb0RvYy54bWysVFFv2yAQfp+0/4B4X21HcddEcaooVadJ&#10;VVutnfpMMdSWMMeAxMl+/Q6wna6r9jAtDwS47767+3zH6vLQKbIX1rWgK1qc5ZQIzaFu9UtFvz9e&#10;f7qgxHmma6ZAi4oehaOX648fVr1Zihk0oGphCZJot+xNRRvvzTLLHG9Ex9wZGKHRKMF2zOPRvmS1&#10;ZT2ydyqb5fl51oOtjQUunMPbq2Sk68gvpeD+TkonPFEVxdx8XG1cn8OarVds+WKZaVo+pMH+IYuO&#10;tRqDTlRXzDOys+0fVF3LLTiQ/oxDl4GULRexBqymyN9U89AwI2ItKI4zk0zu/9Hy2/2DubcoQ2/c&#10;0uE2VHGQtgv/mB85RLGOk1ji4AnHy4vzeVnOSko42orZPC8XizLomZ38jXX+i4COhE1FLX6OqBLb&#10;3zifoCMkhHOg2vq6VSoeQguIrbJkz/Dj+UMxkP+GUjpgNQSvRBhuslMxceePSgSc0t+EJG2N6c9i&#10;IrHPTkEY50L7IpkaVosUu8zxN0Yf04qFRsLALDH+xD0QjMhEMnKnLAd8cBWxTSfn/G+JJefJI0YG&#10;7SfnrtVg3yNQWNUQOeFHkZI0QaVnqI/3llhIQ+IMv27xs90w5++ZxanA+cFJ93e4SAV9RWHYUdKA&#10;/fnefcBjs6KVkh6nrKLux45ZQYn6qrGNF8V8HsYyHubl5xke7GvL82uL3nVbwF4o8E0xPG4D3qtx&#10;Ky10T/ggbEJUNDHNMXZFubfjYevT9OOTwsVmE2E4iob5G/1geCAPqoa2fDw8MWuG3vXY97cwTiRb&#10;vmnhhA2eGjY7D7KN/X3SddAbxzg2zvDkhHfi9TmiTg/j+hcAAAD//wMAUEsDBBQABgAIAAAAIQAj&#10;VaFz3AAAAAcBAAAPAAAAZHJzL2Rvd25yZXYueG1sTI9BT8MwDIXvSPyHyEjcWDqqja00nRBiV6SV&#10;CXH0Gq+p2jhVk3bl35NxgYv1rGe99znfzbYTEw2+caxguUhAEFdON1wrOH7sHzYgfEDW2DkmBd/k&#10;YVfc3uSYaXfhA01lqEUMYZ+hAhNCn0npK0MW/cL1xNE7u8FiiOtQSz3gJYbbTj4myVpabDg2GOzp&#10;1VDVlqNVUH/t36a5NeQOPi3Htt8e3z+1Uvd388sziEBz+DuGK35EhyIyndzI2otOQXwk/M6rl66X&#10;KxCnqLar9Alkkcv//MUPAAAA//8DAFBLAQItABQABgAIAAAAIQC2gziS/gAAAOEBAAATAAAAAAAA&#10;AAAAAAAAAAAAAABbQ29udGVudF9UeXBlc10ueG1sUEsBAi0AFAAGAAgAAAAhADj9If/WAAAAlAEA&#10;AAsAAAAAAAAAAAAAAAAALwEAAF9yZWxzLy5yZWxzUEsBAi0AFAAGAAgAAAAhAOHt5699AgAAYAUA&#10;AA4AAAAAAAAAAAAAAAAALgIAAGRycy9lMm9Eb2MueG1sUEsBAi0AFAAGAAgAAAAhACNVoXPcAAAA&#10;BwEAAA8AAAAAAAAAAAAAAAAA1wQAAGRycy9kb3ducmV2LnhtbFBLBQYAAAAABAAEAPMAAADgBQAA&#10;AAA=&#10;" fillcolor="#1e1545 [3213]" stroked="f" strokeweight="2pt">
                <w10:wrap anchorx="page" anchory="page"/>
              </v:rect>
            </w:pict>
          </mc:Fallback>
        </mc:AlternateContent>
      </w:r>
      <w:bookmarkEnd w:id="29"/>
      <w:r w:rsidR="00AA110D">
        <w:t>5</w:t>
      </w:r>
    </w:p>
    <w:p w14:paraId="144831B4" w14:textId="20C4DCAD" w:rsidR="00B62E84" w:rsidRPr="005274C5" w:rsidRDefault="00AA110D" w:rsidP="00F255A4">
      <w:pPr>
        <w:pStyle w:val="Titleforpagesbetweensections"/>
      </w:pPr>
      <w:r>
        <w:t>Registered Provider reporting</w:t>
      </w:r>
      <w:r w:rsidR="00B62E84" w:rsidRPr="005274C5">
        <w:br w:type="page"/>
      </w:r>
    </w:p>
    <w:p w14:paraId="07CB91E9" w14:textId="7F826676" w:rsidR="00FC11FD" w:rsidRPr="00EA55D0" w:rsidRDefault="00FF4E84" w:rsidP="00E22085">
      <w:pPr>
        <w:pStyle w:val="Heading1"/>
      </w:pPr>
      <w:bookmarkStart w:id="30" w:name="_Toc224723294"/>
      <w:r w:rsidRPr="00EA55D0">
        <w:t>Registered</w:t>
      </w:r>
      <w:r w:rsidR="00FC11FD" w:rsidRPr="00EA55D0">
        <w:t xml:space="preserve"> Provider </w:t>
      </w:r>
      <w:r w:rsidR="000E74E7" w:rsidRPr="00EA55D0">
        <w:t>r</w:t>
      </w:r>
      <w:r w:rsidR="00FC11FD" w:rsidRPr="00EA55D0">
        <w:t>eporting</w:t>
      </w:r>
      <w:bookmarkEnd w:id="26"/>
      <w:bookmarkEnd w:id="27"/>
      <w:bookmarkEnd w:id="28"/>
      <w:bookmarkEnd w:id="30"/>
    </w:p>
    <w:p w14:paraId="50B844B4" w14:textId="38FC3810" w:rsidR="000E74E7" w:rsidRPr="00EA55D0" w:rsidRDefault="000E74E7" w:rsidP="000E74E7">
      <w:pPr>
        <w:rPr>
          <w:rFonts w:cs="Arial"/>
        </w:rPr>
      </w:pPr>
      <w:r w:rsidRPr="00EA55D0">
        <w:rPr>
          <w:rFonts w:cs="Arial"/>
        </w:rPr>
        <w:t xml:space="preserve">Registered Provider reporting comprises the:  </w:t>
      </w:r>
    </w:p>
    <w:p w14:paraId="6B8F9430" w14:textId="37FB8635" w:rsidR="000E74E7" w:rsidRPr="00EA55D0" w:rsidRDefault="00FB3025" w:rsidP="005274C5">
      <w:pPr>
        <w:pStyle w:val="ListBullet"/>
      </w:pPr>
      <w:r w:rsidRPr="00EA55D0">
        <w:t>Registered Provider Income and Expenditure Statement</w:t>
      </w:r>
    </w:p>
    <w:p w14:paraId="252DC1CB" w14:textId="4ED0491C" w:rsidR="00FB3025" w:rsidRPr="00EA55D0" w:rsidRDefault="00FB3025" w:rsidP="005274C5">
      <w:pPr>
        <w:pStyle w:val="ListBullet"/>
      </w:pPr>
      <w:r w:rsidRPr="00EA55D0">
        <w:t>Registered Provider Balance Sheet</w:t>
      </w:r>
    </w:p>
    <w:p w14:paraId="19746F3C" w14:textId="59E1FC97" w:rsidR="00FB3025" w:rsidRPr="00EA55D0" w:rsidRDefault="002149EC" w:rsidP="005274C5">
      <w:pPr>
        <w:pStyle w:val="ListBullet"/>
      </w:pPr>
      <w:r w:rsidRPr="00EA55D0">
        <w:t>Registered Provider Cash Flow Statement</w:t>
      </w:r>
    </w:p>
    <w:p w14:paraId="68FBDCF7" w14:textId="1F6AE312" w:rsidR="004E6D8C" w:rsidRPr="00EA55D0" w:rsidRDefault="004E6D8C" w:rsidP="005274C5">
      <w:pPr>
        <w:pStyle w:val="ListBullet"/>
      </w:pPr>
      <w:r w:rsidRPr="00EA55D0">
        <w:t>Movement schedules</w:t>
      </w:r>
    </w:p>
    <w:p w14:paraId="2ADF4D88" w14:textId="0194E9C6" w:rsidR="004E6D8C" w:rsidRPr="00EA55D0" w:rsidRDefault="00A606FB" w:rsidP="005274C5">
      <w:pPr>
        <w:pStyle w:val="ListBullet2"/>
      </w:pPr>
      <w:r w:rsidRPr="00EA55D0">
        <w:t>Registered Provider Financial Assets</w:t>
      </w:r>
    </w:p>
    <w:p w14:paraId="47D2E3BB" w14:textId="2F1BC31C" w:rsidR="00A606FB" w:rsidRPr="00EA55D0" w:rsidRDefault="00433FE3" w:rsidP="005274C5">
      <w:pPr>
        <w:pStyle w:val="ListBullet2"/>
      </w:pPr>
      <w:r w:rsidRPr="00EA55D0">
        <w:t xml:space="preserve">Registered Provider Loans </w:t>
      </w:r>
      <w:r w:rsidR="00942444" w:rsidRPr="00EA55D0">
        <w:t>Receivable</w:t>
      </w:r>
    </w:p>
    <w:p w14:paraId="6C26912C" w14:textId="019330F3" w:rsidR="00942444" w:rsidRPr="00EA55D0" w:rsidRDefault="00B15190" w:rsidP="005274C5">
      <w:pPr>
        <w:pStyle w:val="ListBullet2"/>
      </w:pPr>
      <w:r w:rsidRPr="00EA55D0">
        <w:t>Registered Pro</w:t>
      </w:r>
      <w:r w:rsidR="00E21702" w:rsidRPr="00EA55D0">
        <w:t xml:space="preserve">vider </w:t>
      </w:r>
      <w:r w:rsidR="00B7628A" w:rsidRPr="00EA55D0">
        <w:t>Non-</w:t>
      </w:r>
      <w:r w:rsidR="00E236AA" w:rsidRPr="00EA55D0">
        <w:t>C</w:t>
      </w:r>
      <w:r w:rsidR="00B7628A" w:rsidRPr="00EA55D0">
        <w:t>urrent Assets</w:t>
      </w:r>
    </w:p>
    <w:p w14:paraId="5E60EB81" w14:textId="134D19A2" w:rsidR="00E21702" w:rsidRPr="00EA55D0" w:rsidRDefault="00E236AA" w:rsidP="005274C5">
      <w:pPr>
        <w:pStyle w:val="ListBullet2"/>
      </w:pPr>
      <w:r w:rsidRPr="00EA55D0">
        <w:t>Registered Provider Borrowings</w:t>
      </w:r>
    </w:p>
    <w:p w14:paraId="381F98B0" w14:textId="50831AB2" w:rsidR="002356DF" w:rsidRPr="00EA55D0" w:rsidRDefault="002356DF" w:rsidP="005274C5">
      <w:pPr>
        <w:pStyle w:val="ListBullet2"/>
      </w:pPr>
      <w:r w:rsidRPr="00EA55D0">
        <w:t>Registered Provider Refundable Loans</w:t>
      </w:r>
    </w:p>
    <w:p w14:paraId="47107189" w14:textId="77AC525B" w:rsidR="006616C2" w:rsidRPr="00EA55D0" w:rsidRDefault="006616C2" w:rsidP="005274C5">
      <w:pPr>
        <w:pStyle w:val="ListBullet2"/>
      </w:pPr>
      <w:r w:rsidRPr="00EA55D0">
        <w:t xml:space="preserve">Registered Provider </w:t>
      </w:r>
      <w:r w:rsidR="00B57FEB" w:rsidRPr="00EA55D0">
        <w:t>Related Party Loans</w:t>
      </w:r>
    </w:p>
    <w:p w14:paraId="553BC510" w14:textId="2AB304E1" w:rsidR="000E74E7" w:rsidRPr="00984611" w:rsidRDefault="00B57FEB" w:rsidP="005274C5">
      <w:pPr>
        <w:pStyle w:val="ListBullet2"/>
      </w:pPr>
      <w:r w:rsidRPr="00EA55D0">
        <w:t>Registered Provider Note 1</w:t>
      </w:r>
    </w:p>
    <w:p w14:paraId="49434319" w14:textId="5E3FB483" w:rsidR="00A33121" w:rsidRPr="00271D9E" w:rsidRDefault="00D46836" w:rsidP="00271D9E">
      <w:pPr>
        <w:pStyle w:val="Heading2"/>
      </w:pPr>
      <w:bookmarkStart w:id="31" w:name="_Toc209078257"/>
      <w:r w:rsidRPr="00271D9E">
        <w:t>Registered Provider reporting requirements</w:t>
      </w:r>
      <w:bookmarkEnd w:id="31"/>
    </w:p>
    <w:p w14:paraId="4C0540DF" w14:textId="6D75464B" w:rsidR="00634B67" w:rsidRPr="00EA55D0" w:rsidRDefault="00271095" w:rsidP="00271D9E">
      <w:bookmarkStart w:id="32" w:name="_Toc209078258"/>
      <w:r w:rsidRPr="00EA55D0">
        <w:t xml:space="preserve">Registered Providers of residential aged care and </w:t>
      </w:r>
      <w:r w:rsidR="0002750D" w:rsidRPr="00EA55D0">
        <w:t xml:space="preserve">the </w:t>
      </w:r>
      <w:r w:rsidRPr="00EA55D0">
        <w:t>Support at Home program are required to complete the Registered Provider Income and Expenditure Statement, Balance Sheet and Cash Flow Statement.</w:t>
      </w:r>
      <w:bookmarkEnd w:id="32"/>
    </w:p>
    <w:p w14:paraId="1668E45D" w14:textId="77777777" w:rsidR="00A23962" w:rsidRPr="00EA55D0" w:rsidRDefault="00634B67" w:rsidP="00271D9E">
      <w:bookmarkStart w:id="33" w:name="_Toc209078259"/>
      <w:r w:rsidRPr="00EA55D0">
        <w:t xml:space="preserve">Only Registered Providers of residential aged care are required to complete the </w:t>
      </w:r>
      <w:r w:rsidR="00954513" w:rsidRPr="00EA55D0">
        <w:t>movement schedules.</w:t>
      </w:r>
      <w:bookmarkEnd w:id="33"/>
    </w:p>
    <w:p w14:paraId="0510AC14" w14:textId="18112067" w:rsidR="00BE2F5D" w:rsidRPr="00271D9E" w:rsidRDefault="00BE2F5D" w:rsidP="00271D9E">
      <w:pPr>
        <w:pStyle w:val="Heading2"/>
      </w:pPr>
      <w:r w:rsidRPr="00271D9E">
        <w:t>Reconciling the Registered Provider sections to the GPFS</w:t>
      </w:r>
    </w:p>
    <w:p w14:paraId="6BA61F3B" w14:textId="77777777" w:rsidR="00BE2F5D" w:rsidRDefault="00BE2F5D" w:rsidP="00BE2F5D">
      <w:r w:rsidRPr="00EA55D0">
        <w:t xml:space="preserve">When completing the Registered Provider sections within the ACFR, the data entered should include information for both the provider’s residential aged care and non-residential aged care operations and the information </w:t>
      </w:r>
      <w:proofErr w:type="gramStart"/>
      <w:r w:rsidRPr="00EA55D0">
        <w:t>entered into</w:t>
      </w:r>
      <w:proofErr w:type="gramEnd"/>
      <w:r w:rsidRPr="00EA55D0">
        <w:t xml:space="preserve"> the ACFR must reconcile to the GPFS.</w:t>
      </w:r>
    </w:p>
    <w:p w14:paraId="6840B1CF" w14:textId="77164259" w:rsidR="00804D2F" w:rsidRPr="00271D9E" w:rsidRDefault="00804D2F" w:rsidP="00271D9E">
      <w:pPr>
        <w:pStyle w:val="Heading2"/>
      </w:pPr>
      <w:bookmarkStart w:id="34" w:name="_Toc209078260"/>
      <w:r w:rsidRPr="00271D9E">
        <w:t>Government P</w:t>
      </w:r>
      <w:r w:rsidR="0002750D" w:rsidRPr="00271D9E">
        <w:t>r</w:t>
      </w:r>
      <w:r w:rsidRPr="00271D9E">
        <w:t>oviders</w:t>
      </w:r>
      <w:bookmarkEnd w:id="34"/>
    </w:p>
    <w:p w14:paraId="653CFD60" w14:textId="12B5C517" w:rsidR="00E91E17" w:rsidRPr="00EA55D0" w:rsidRDefault="00497B53" w:rsidP="005274C5">
      <w:r w:rsidRPr="00EA55D0">
        <w:t>If an organisation is a Registered Provider of residential aged care</w:t>
      </w:r>
      <w:r w:rsidR="008503FD" w:rsidRPr="00EA55D0">
        <w:t xml:space="preserve"> and/or the Support at Home program</w:t>
      </w:r>
      <w:r w:rsidRPr="00EA55D0">
        <w:t xml:space="preserve"> and is also a state or territory government, an authority of a state or territory or a local government authority then they are not required to </w:t>
      </w:r>
      <w:r w:rsidR="00D42306" w:rsidRPr="00EA55D0">
        <w:t>complete the Registered Provider reporting.</w:t>
      </w:r>
    </w:p>
    <w:p w14:paraId="5F0292B0" w14:textId="09B1F5D2" w:rsidR="0011392D" w:rsidRPr="00271D9E" w:rsidRDefault="00FF4E84" w:rsidP="00271D9E">
      <w:pPr>
        <w:pStyle w:val="Heading2"/>
      </w:pPr>
      <w:bookmarkStart w:id="35" w:name="_Toc209078261"/>
      <w:r w:rsidRPr="00271D9E">
        <w:t>Registered</w:t>
      </w:r>
      <w:r w:rsidR="0011392D" w:rsidRPr="00271D9E">
        <w:t xml:space="preserve"> </w:t>
      </w:r>
      <w:r w:rsidRPr="00271D9E">
        <w:t>P</w:t>
      </w:r>
      <w:r w:rsidR="0011392D" w:rsidRPr="00271D9E">
        <w:t>rovider Income and Expenditure Statement</w:t>
      </w:r>
      <w:bookmarkEnd w:id="35"/>
    </w:p>
    <w:p w14:paraId="00C2601B" w14:textId="04BB3546" w:rsidR="0011392D" w:rsidRPr="00EA55D0" w:rsidRDefault="0011392D" w:rsidP="005274C5">
      <w:pPr>
        <w:pStyle w:val="ListBullet"/>
      </w:pPr>
      <w:r w:rsidRPr="00EA55D0">
        <w:t xml:space="preserve">The format of the </w:t>
      </w:r>
      <w:r w:rsidR="00BC0DF8" w:rsidRPr="00EA55D0">
        <w:t>Registered</w:t>
      </w:r>
      <w:r w:rsidRPr="00EA55D0">
        <w:t xml:space="preserve"> </w:t>
      </w:r>
      <w:r w:rsidR="00BC0DF8" w:rsidRPr="00EA55D0">
        <w:t>P</w:t>
      </w:r>
      <w:r w:rsidRPr="00EA55D0">
        <w:t xml:space="preserve">rovider Income and Expenditure Statement is </w:t>
      </w:r>
      <w:proofErr w:type="gramStart"/>
      <w:r w:rsidRPr="00EA55D0">
        <w:t>similar to</w:t>
      </w:r>
      <w:proofErr w:type="gramEnd"/>
      <w:r w:rsidRPr="00EA55D0">
        <w:t xml:space="preserve"> the statement of profit or loss and other comprehensive income as included in an organisation’s GPFS.</w:t>
      </w:r>
    </w:p>
    <w:p w14:paraId="3BED8A15" w14:textId="77C6EA74" w:rsidR="0011392D" w:rsidRPr="00EA55D0" w:rsidRDefault="0011392D" w:rsidP="005274C5">
      <w:pPr>
        <w:pStyle w:val="ListBullet"/>
      </w:pPr>
      <w:r w:rsidRPr="00EA55D0">
        <w:t xml:space="preserve">Operating income includes all recurrent operating revenue for all normal operations of the </w:t>
      </w:r>
      <w:r w:rsidR="00BC0DF8" w:rsidRPr="00EA55D0">
        <w:t>Registered</w:t>
      </w:r>
      <w:r w:rsidRPr="00EA55D0">
        <w:t xml:space="preserve"> </w:t>
      </w:r>
      <w:r w:rsidR="00BC0DF8" w:rsidRPr="00EA55D0">
        <w:t>P</w:t>
      </w:r>
      <w:r w:rsidRPr="00EA55D0">
        <w:t>rovider.</w:t>
      </w:r>
    </w:p>
    <w:p w14:paraId="22D709CB" w14:textId="5E6220E9" w:rsidR="0011392D" w:rsidRPr="00EA55D0" w:rsidRDefault="0011392D" w:rsidP="005274C5">
      <w:pPr>
        <w:pStyle w:val="ListBullet"/>
      </w:pPr>
      <w:r w:rsidRPr="00EA55D0">
        <w:t xml:space="preserve">All rent and management fees shown as expense items by residential aged providers require additional disclosure in </w:t>
      </w:r>
      <w:r w:rsidRPr="00EA55D0">
        <w:rPr>
          <w:rFonts w:cs="Arial"/>
          <w:color w:val="2AB1BB" w:themeColor="hyperlink"/>
          <w:u w:val="single"/>
        </w:rPr>
        <w:t>Note 1</w:t>
      </w:r>
      <w:r w:rsidRPr="00EA55D0">
        <w:t xml:space="preserve"> (“Sub-Contract arrangements”).</w:t>
      </w:r>
    </w:p>
    <w:p w14:paraId="2E9F7E99" w14:textId="0175E11E" w:rsidR="0011392D" w:rsidRDefault="0011392D" w:rsidP="005274C5">
      <w:pPr>
        <w:pStyle w:val="ListBullet"/>
      </w:pPr>
      <w:r w:rsidRPr="00EA55D0">
        <w:t xml:space="preserve">All material other income and other expense items reported by residential aged care providers must be separately disclosed in </w:t>
      </w:r>
      <w:r w:rsidRPr="00EA55D0">
        <w:rPr>
          <w:rFonts w:cs="Arial"/>
          <w:color w:val="2AB1BB" w:themeColor="hyperlink"/>
          <w:u w:val="single"/>
        </w:rPr>
        <w:t>Note 1</w:t>
      </w:r>
      <w:r w:rsidRPr="00EA55D0">
        <w:t xml:space="preserve"> of the ACFR (a materiality guide is items over 2% of total income or total expenses).</w:t>
      </w:r>
    </w:p>
    <w:p w14:paraId="37C882DB" w14:textId="77A6EF39" w:rsidR="0011392D" w:rsidRPr="00271D9E" w:rsidRDefault="00FF4E84" w:rsidP="00271D9E">
      <w:pPr>
        <w:pStyle w:val="Heading2"/>
      </w:pPr>
      <w:bookmarkStart w:id="36" w:name="_Toc209078262"/>
      <w:r w:rsidRPr="00271D9E">
        <w:t xml:space="preserve">Registered Provider </w:t>
      </w:r>
      <w:r w:rsidR="0011392D" w:rsidRPr="00271D9E">
        <w:t>Balance Sheet</w:t>
      </w:r>
      <w:bookmarkEnd w:id="36"/>
    </w:p>
    <w:p w14:paraId="2250EC25" w14:textId="550D4D2C" w:rsidR="0011392D" w:rsidRPr="00EA55D0" w:rsidRDefault="0011392D" w:rsidP="005274C5">
      <w:pPr>
        <w:pStyle w:val="ListBullet"/>
      </w:pPr>
      <w:r w:rsidRPr="00EA55D0">
        <w:t xml:space="preserve">The disclosures of the </w:t>
      </w:r>
      <w:r w:rsidR="00A675B0" w:rsidRPr="00EA55D0">
        <w:t>Registered</w:t>
      </w:r>
      <w:r w:rsidRPr="00EA55D0">
        <w:t xml:space="preserve"> </w:t>
      </w:r>
      <w:r w:rsidR="00A675B0" w:rsidRPr="00EA55D0">
        <w:t>P</w:t>
      </w:r>
      <w:r w:rsidRPr="00EA55D0">
        <w:t xml:space="preserve">rovider Balance Sheet are </w:t>
      </w:r>
      <w:proofErr w:type="gramStart"/>
      <w:r w:rsidRPr="00EA55D0">
        <w:t>similar to</w:t>
      </w:r>
      <w:proofErr w:type="gramEnd"/>
      <w:r w:rsidRPr="00EA55D0">
        <w:t xml:space="preserve"> the Statement of Financial Position as included in an organisation’s GPFS.</w:t>
      </w:r>
    </w:p>
    <w:p w14:paraId="15800017" w14:textId="62AC5B4B" w:rsidR="0011392D" w:rsidRPr="00EA55D0" w:rsidRDefault="0011392D" w:rsidP="005274C5">
      <w:pPr>
        <w:pStyle w:val="ListBullet"/>
      </w:pPr>
      <w:r w:rsidRPr="00EA55D0">
        <w:t xml:space="preserve">The department has adopted the liquidity format balance sheet due to the treatment of refundable loans (accommodation bonds, refundable accommodation deposits and entry contributions) as current liabilities do not reflect the true liquidity of the </w:t>
      </w:r>
      <w:r w:rsidR="00C17F8F" w:rsidRPr="00EA55D0">
        <w:t>Registered</w:t>
      </w:r>
      <w:r w:rsidRPr="00EA55D0">
        <w:t xml:space="preserve"> </w:t>
      </w:r>
      <w:r w:rsidR="00C17F8F" w:rsidRPr="00EA55D0">
        <w:t>P</w:t>
      </w:r>
      <w:r w:rsidRPr="00EA55D0">
        <w:t>rovider as these liabilities are not likely to be repaid in the next 12 months.</w:t>
      </w:r>
    </w:p>
    <w:p w14:paraId="6A90321E" w14:textId="1FAD8D81" w:rsidR="0011392D" w:rsidRDefault="0011392D" w:rsidP="005274C5">
      <w:pPr>
        <w:pStyle w:val="ListBullet"/>
      </w:pPr>
      <w:r w:rsidRPr="00EA55D0">
        <w:t>Residential aged care providers reporting any material change in an asset or liability disclosure as compared to the previous year must be separately disclosed in Note 1 of the ACFR (a materiality guide is a change in value of over 50%).</w:t>
      </w:r>
    </w:p>
    <w:p w14:paraId="74E5956F" w14:textId="3BCC10AE" w:rsidR="005B5D9B" w:rsidRPr="00271D9E" w:rsidRDefault="005B5D9B" w:rsidP="00271D9E">
      <w:pPr>
        <w:pStyle w:val="Heading2"/>
      </w:pPr>
      <w:bookmarkStart w:id="37" w:name="_Toc209078263"/>
      <w:r w:rsidRPr="00271D9E">
        <w:t>Registered Provider Cash Flow Statement</w:t>
      </w:r>
      <w:bookmarkEnd w:id="37"/>
    </w:p>
    <w:p w14:paraId="26A2C52D" w14:textId="77777777" w:rsidR="005B5D9B" w:rsidRPr="00EA55D0" w:rsidRDefault="005B5D9B" w:rsidP="005274C5">
      <w:pPr>
        <w:pStyle w:val="ListBullet"/>
      </w:pPr>
      <w:r w:rsidRPr="00EA55D0">
        <w:t xml:space="preserve">The format of the Registered Provider Cash Flow Statement is </w:t>
      </w:r>
      <w:proofErr w:type="gramStart"/>
      <w:r w:rsidRPr="00EA55D0">
        <w:t>similar to</w:t>
      </w:r>
      <w:proofErr w:type="gramEnd"/>
      <w:r w:rsidRPr="00EA55D0">
        <w:t xml:space="preserve"> the Statement of Cash Flows as included in an organisation’s GPFS.</w:t>
      </w:r>
    </w:p>
    <w:p w14:paraId="4D7320F2" w14:textId="121EDC66" w:rsidR="005B5D9B" w:rsidRPr="00EA55D0" w:rsidRDefault="005B5D9B" w:rsidP="005274C5">
      <w:pPr>
        <w:pStyle w:val="ListBullet"/>
      </w:pPr>
      <w:r w:rsidRPr="00EA55D0">
        <w:t xml:space="preserve">All balances must be shown as GST </w:t>
      </w:r>
      <w:r w:rsidR="00EA48FC">
        <w:t>ex</w:t>
      </w:r>
      <w:r w:rsidRPr="00EA55D0">
        <w:t>clusive.</w:t>
      </w:r>
    </w:p>
    <w:p w14:paraId="114DE8B8" w14:textId="54C3B656" w:rsidR="005B5D9B" w:rsidRDefault="005B5D9B" w:rsidP="005274C5">
      <w:pPr>
        <w:pStyle w:val="ListBullet"/>
      </w:pPr>
      <w:bookmarkStart w:id="38" w:name="_Toc209078264"/>
      <w:r w:rsidRPr="00EA55D0">
        <w:t>Refundable loan receipts and payments must be disclosed as a financing cash flow (as distinct from an operating cash flow).</w:t>
      </w:r>
      <w:bookmarkEnd w:id="38"/>
    </w:p>
    <w:p w14:paraId="1A5FBD66" w14:textId="6B7447EE" w:rsidR="005B5D9B" w:rsidRPr="00271D9E" w:rsidRDefault="005B5D9B" w:rsidP="00271D9E">
      <w:pPr>
        <w:pStyle w:val="Heading2"/>
      </w:pPr>
      <w:r w:rsidRPr="00271D9E">
        <w:t>Movement Schedules</w:t>
      </w:r>
    </w:p>
    <w:p w14:paraId="7C33829B" w14:textId="65E5F64B" w:rsidR="009A57C6" w:rsidRPr="00EA55D0" w:rsidRDefault="009A57C6" w:rsidP="009A57C6">
      <w:pPr>
        <w:pStyle w:val="NormalText"/>
      </w:pPr>
      <w:r w:rsidRPr="00EA55D0">
        <w:t xml:space="preserve">Only providers of residential aged care </w:t>
      </w:r>
      <w:r w:rsidR="004D11E9" w:rsidRPr="00EA55D0">
        <w:t xml:space="preserve">who are </w:t>
      </w:r>
      <w:r w:rsidRPr="00EA55D0">
        <w:t xml:space="preserve">non-government providers </w:t>
      </w:r>
      <w:r w:rsidR="00F0522E" w:rsidRPr="00EA55D0">
        <w:t>complete the following Movement Schedules in the ACFR:</w:t>
      </w:r>
    </w:p>
    <w:p w14:paraId="7CBB5227" w14:textId="609A8A45" w:rsidR="0011392D" w:rsidRPr="00253CF7" w:rsidRDefault="00D865A8" w:rsidP="00271D9E">
      <w:pPr>
        <w:pStyle w:val="Heading3"/>
      </w:pPr>
      <w:bookmarkStart w:id="39" w:name="_Toc209078265"/>
      <w:r w:rsidRPr="00253CF7">
        <w:t>Registered</w:t>
      </w:r>
      <w:r w:rsidR="0011392D" w:rsidRPr="00253CF7">
        <w:t xml:space="preserve"> </w:t>
      </w:r>
      <w:r w:rsidRPr="00253CF7">
        <w:t>P</w:t>
      </w:r>
      <w:r w:rsidR="0011392D" w:rsidRPr="00253CF7">
        <w:t>rovider financial assets</w:t>
      </w:r>
      <w:bookmarkEnd w:id="39"/>
    </w:p>
    <w:p w14:paraId="394BA3CB" w14:textId="77777777" w:rsidR="0011392D" w:rsidRPr="00EA55D0" w:rsidRDefault="0011392D" w:rsidP="005274C5">
      <w:pPr>
        <w:pStyle w:val="ListBullet"/>
      </w:pPr>
      <w:r w:rsidRPr="00EA55D0">
        <w:t>Financial assets must be disclosed in accordance with AASB 9 Financial Instruments.</w:t>
      </w:r>
    </w:p>
    <w:p w14:paraId="25D785E1" w14:textId="77777777" w:rsidR="0011392D" w:rsidRPr="00EA55D0" w:rsidRDefault="0011392D" w:rsidP="005274C5">
      <w:pPr>
        <w:pStyle w:val="ListBullet"/>
      </w:pPr>
      <w:r w:rsidRPr="00EA55D0">
        <w:t>Related party loans should not be disclosed as a financial asset. Only a related party investment which is not in the form of a loan but an interest-bearing investment with similar attributes to an arms-length financial asset may be included with details of this investment noted.</w:t>
      </w:r>
    </w:p>
    <w:p w14:paraId="5837C820" w14:textId="77777777" w:rsidR="0011392D" w:rsidRDefault="0011392D" w:rsidP="005274C5">
      <w:pPr>
        <w:pStyle w:val="ListBullet"/>
      </w:pPr>
      <w:r w:rsidRPr="00EA55D0">
        <w:t>The data should be sourced from an organisation’s</w:t>
      </w:r>
      <w:r w:rsidRPr="00EA55D0" w:rsidDel="009B233E">
        <w:t xml:space="preserve"> </w:t>
      </w:r>
      <w:r w:rsidRPr="00EA55D0">
        <w:t>GPFS and therefore should reconcile to the GPFS.</w:t>
      </w:r>
    </w:p>
    <w:p w14:paraId="6F056716" w14:textId="450DBBA1" w:rsidR="0011392D" w:rsidRPr="00253CF7" w:rsidRDefault="00D865A8" w:rsidP="00271D9E">
      <w:pPr>
        <w:pStyle w:val="Heading3"/>
      </w:pPr>
      <w:bookmarkStart w:id="40" w:name="_Toc209078266"/>
      <w:r w:rsidRPr="00253CF7">
        <w:t>Registered</w:t>
      </w:r>
      <w:r w:rsidR="0011392D" w:rsidRPr="00253CF7">
        <w:t xml:space="preserve"> </w:t>
      </w:r>
      <w:r w:rsidRPr="00253CF7">
        <w:t>P</w:t>
      </w:r>
      <w:r w:rsidR="0011392D" w:rsidRPr="00253CF7">
        <w:t>rovider loans receivable</w:t>
      </w:r>
      <w:bookmarkEnd w:id="40"/>
    </w:p>
    <w:p w14:paraId="3D50B3AC" w14:textId="77777777" w:rsidR="0011392D" w:rsidRPr="00EA55D0" w:rsidRDefault="0011392D" w:rsidP="005274C5">
      <w:pPr>
        <w:pStyle w:val="ListBullet"/>
      </w:pPr>
      <w:r w:rsidRPr="00EA55D0">
        <w:t>Loans receivable does not include related party loans or refundable loans receivable (these are to be separately included in the relevant schedules).</w:t>
      </w:r>
    </w:p>
    <w:p w14:paraId="5C09B0EA" w14:textId="77777777" w:rsidR="0011392D" w:rsidRPr="00EA55D0" w:rsidRDefault="0011392D" w:rsidP="005274C5">
      <w:pPr>
        <w:pStyle w:val="ListBullet"/>
      </w:pPr>
      <w:r w:rsidRPr="00EA55D0">
        <w:t>Details of security held (if applicable) for loans receivable must be included.</w:t>
      </w:r>
    </w:p>
    <w:p w14:paraId="7AD4DC44" w14:textId="77777777" w:rsidR="0011392D" w:rsidRDefault="0011392D" w:rsidP="005274C5">
      <w:pPr>
        <w:pStyle w:val="ListBullet"/>
      </w:pPr>
      <w:r w:rsidRPr="00EA55D0">
        <w:t>The data should be sourced from an organisation’s GPFS</w:t>
      </w:r>
      <w:r w:rsidRPr="00EA55D0" w:rsidDel="009B233E">
        <w:t xml:space="preserve"> </w:t>
      </w:r>
      <w:r w:rsidRPr="00EA55D0">
        <w:t>and therefore should reconcile to the GPFS.</w:t>
      </w:r>
    </w:p>
    <w:p w14:paraId="5313260C" w14:textId="20786B07" w:rsidR="0011392D" w:rsidRPr="00EA55D0" w:rsidRDefault="007F1092" w:rsidP="00271D9E">
      <w:pPr>
        <w:pStyle w:val="Heading3"/>
      </w:pPr>
      <w:bookmarkStart w:id="41" w:name="_Toc209078267"/>
      <w:r w:rsidRPr="00EA55D0">
        <w:t>Registered</w:t>
      </w:r>
      <w:r w:rsidR="0011392D" w:rsidRPr="00EA55D0">
        <w:t xml:space="preserve"> </w:t>
      </w:r>
      <w:r w:rsidRPr="00EA55D0">
        <w:t>P</w:t>
      </w:r>
      <w:r w:rsidR="0011392D" w:rsidRPr="00EA55D0">
        <w:t>rovider non-current assets</w:t>
      </w:r>
      <w:bookmarkEnd w:id="41"/>
    </w:p>
    <w:p w14:paraId="20A77241" w14:textId="0783A71E" w:rsidR="0011392D" w:rsidRPr="00EA55D0" w:rsidRDefault="0011392D" w:rsidP="005274C5">
      <w:pPr>
        <w:pStyle w:val="ListBullet"/>
      </w:pPr>
      <w:r w:rsidRPr="00EA55D0">
        <w:t xml:space="preserve">All non-current assets need to be allocated to either residential </w:t>
      </w:r>
      <w:r w:rsidR="00CF5A4A" w:rsidRPr="00EA55D0">
        <w:t xml:space="preserve">aged </w:t>
      </w:r>
      <w:r w:rsidRPr="00EA55D0">
        <w:t>care segment or other segment.</w:t>
      </w:r>
    </w:p>
    <w:p w14:paraId="52D6DD90" w14:textId="77777777" w:rsidR="0011392D" w:rsidRPr="00EA55D0" w:rsidRDefault="0011392D" w:rsidP="005274C5">
      <w:pPr>
        <w:pStyle w:val="ListBullet"/>
      </w:pPr>
      <w:r w:rsidRPr="00EA55D0">
        <w:t>Where assets have both residential and non-residential use, an assessment of the portion applicable to residential aged care needs to be made based on area, usage or similar measure.</w:t>
      </w:r>
    </w:p>
    <w:p w14:paraId="17FEAEC3" w14:textId="77DBD9C1" w:rsidR="0011392D" w:rsidRPr="00EA55D0" w:rsidRDefault="0011392D" w:rsidP="005274C5">
      <w:pPr>
        <w:pStyle w:val="ListBullet"/>
      </w:pPr>
      <w:r w:rsidRPr="00EA55D0">
        <w:t>Where an investment property is disclosed as being residential aged care, please include further details in Note 1.</w:t>
      </w:r>
    </w:p>
    <w:p w14:paraId="20833354" w14:textId="77777777" w:rsidR="0011392D" w:rsidRPr="00EA55D0" w:rsidRDefault="0011392D" w:rsidP="005274C5">
      <w:pPr>
        <w:pStyle w:val="ListBullet"/>
      </w:pPr>
      <w:r w:rsidRPr="00EA55D0">
        <w:t>The upper and lower depreciation/amortisation rate for each class of asset needs to be included.</w:t>
      </w:r>
    </w:p>
    <w:p w14:paraId="55F7CA9B" w14:textId="7D2391C9" w:rsidR="008B4092" w:rsidRDefault="0011392D" w:rsidP="005274C5">
      <w:pPr>
        <w:pStyle w:val="ListBullet"/>
      </w:pPr>
      <w:r w:rsidRPr="00EA55D0">
        <w:t>The data should be sourced from an organisation’s GPFS and therefore should reconcile to the GPFS.</w:t>
      </w:r>
      <w:bookmarkStart w:id="42" w:name="_Toc209078268"/>
    </w:p>
    <w:p w14:paraId="6D6A9914" w14:textId="5D2E2BED" w:rsidR="00D03161" w:rsidRPr="00EA55D0" w:rsidRDefault="00D03161" w:rsidP="00271D9E">
      <w:pPr>
        <w:pStyle w:val="Heading3"/>
      </w:pPr>
      <w:r w:rsidRPr="00EA55D0">
        <w:t>Registered Provider borrowings</w:t>
      </w:r>
      <w:bookmarkEnd w:id="42"/>
    </w:p>
    <w:p w14:paraId="2D7F840F" w14:textId="77777777" w:rsidR="00D03161" w:rsidRPr="00EA55D0" w:rsidRDefault="00D03161" w:rsidP="005274C5">
      <w:pPr>
        <w:pStyle w:val="ListBullet"/>
      </w:pPr>
      <w:r w:rsidRPr="00EA55D0">
        <w:t>Related party borrowings are not to be included in this section. Borrowings relate solely to external, non-arms-length borrowings.</w:t>
      </w:r>
    </w:p>
    <w:p w14:paraId="0FFA0D97" w14:textId="77777777" w:rsidR="00D03161" w:rsidRPr="00EA55D0" w:rsidRDefault="00D03161" w:rsidP="005274C5">
      <w:pPr>
        <w:pStyle w:val="ListBullet"/>
      </w:pPr>
      <w:r w:rsidRPr="00EA55D0">
        <w:t>Interest paid refers to where the interest has been credited to the account and not paid through the bank or financial assets account (i.e. a non-cash transaction).</w:t>
      </w:r>
    </w:p>
    <w:p w14:paraId="06E8210B" w14:textId="77777777" w:rsidR="00D03161" w:rsidRDefault="00D03161" w:rsidP="005274C5">
      <w:pPr>
        <w:pStyle w:val="ListBullet"/>
      </w:pPr>
      <w:r w:rsidRPr="00EA55D0">
        <w:t>The data should be sourced from an organisation’s</w:t>
      </w:r>
      <w:r w:rsidRPr="00EA55D0" w:rsidDel="009B233E">
        <w:t xml:space="preserve"> </w:t>
      </w:r>
      <w:r w:rsidRPr="00EA55D0">
        <w:t>GPFS and therefore should reconcile to the GPFS.</w:t>
      </w:r>
    </w:p>
    <w:p w14:paraId="24FF30A7" w14:textId="064D193C" w:rsidR="0011392D" w:rsidRPr="00EA55D0" w:rsidRDefault="00D81B51" w:rsidP="00271D9E">
      <w:pPr>
        <w:pStyle w:val="Heading3"/>
      </w:pPr>
      <w:bookmarkStart w:id="43" w:name="_Toc209078269"/>
      <w:r w:rsidRPr="00EA55D0">
        <w:t>Registered P</w:t>
      </w:r>
      <w:r w:rsidR="0011392D" w:rsidRPr="00EA55D0">
        <w:t>rovider refundable loans</w:t>
      </w:r>
      <w:bookmarkEnd w:id="43"/>
    </w:p>
    <w:p w14:paraId="6CFA4D35" w14:textId="77777777" w:rsidR="0011392D" w:rsidRPr="00EA55D0" w:rsidRDefault="0011392D" w:rsidP="005274C5">
      <w:pPr>
        <w:pStyle w:val="ListBullet"/>
      </w:pPr>
      <w:r w:rsidRPr="00EA55D0">
        <w:t>Refundable accommodation deposits (RADs) schedule also includes (former) accommodation bonds and entry contributions for permanent residential aged care residents.</w:t>
      </w:r>
    </w:p>
    <w:p w14:paraId="5970E296" w14:textId="77777777" w:rsidR="0011392D" w:rsidRPr="00EA55D0" w:rsidRDefault="0011392D" w:rsidP="005274C5">
      <w:pPr>
        <w:pStyle w:val="ListBullet"/>
      </w:pPr>
      <w:r w:rsidRPr="00EA55D0">
        <w:t>Refundable entry contributions schedule is in relation to retirement living residents.</w:t>
      </w:r>
    </w:p>
    <w:p w14:paraId="5AB189E7" w14:textId="77777777" w:rsidR="0011392D" w:rsidRPr="00EA55D0" w:rsidRDefault="0011392D" w:rsidP="005274C5">
      <w:pPr>
        <w:pStyle w:val="ListBullet"/>
      </w:pPr>
      <w:r w:rsidRPr="00EA55D0">
        <w:t>Transfers to RADs must equal transfers from refundable entry contributions.</w:t>
      </w:r>
    </w:p>
    <w:p w14:paraId="680454F5" w14:textId="77777777" w:rsidR="0011392D" w:rsidRDefault="0011392D" w:rsidP="005274C5">
      <w:pPr>
        <w:pStyle w:val="ListBullet"/>
      </w:pPr>
      <w:r w:rsidRPr="00EA55D0">
        <w:t>The data should be sourced from an organisation’s GPFS and therefore should reconcile to the GPFS.</w:t>
      </w:r>
    </w:p>
    <w:p w14:paraId="2CC91764" w14:textId="7B8AA616" w:rsidR="0011392D" w:rsidRPr="00EA55D0" w:rsidRDefault="003C4042" w:rsidP="00271D9E">
      <w:pPr>
        <w:pStyle w:val="Heading3"/>
      </w:pPr>
      <w:bookmarkStart w:id="44" w:name="_Toc209078270"/>
      <w:r w:rsidRPr="00EA55D0">
        <w:t xml:space="preserve">Registered Provider </w:t>
      </w:r>
      <w:r w:rsidR="0011392D" w:rsidRPr="00EA55D0">
        <w:t>Related Party Loans</w:t>
      </w:r>
      <w:bookmarkEnd w:id="44"/>
      <w:r w:rsidR="0011392D" w:rsidRPr="00EA55D0">
        <w:t xml:space="preserve"> </w:t>
      </w:r>
    </w:p>
    <w:p w14:paraId="39932016" w14:textId="77777777" w:rsidR="0011392D" w:rsidRPr="00EA55D0" w:rsidRDefault="0011392D" w:rsidP="005274C5">
      <w:pPr>
        <w:pStyle w:val="ListBullet"/>
      </w:pPr>
      <w:r w:rsidRPr="00EA55D0">
        <w:t>Related party loans receivable should not be disclosed as a financial asset.</w:t>
      </w:r>
    </w:p>
    <w:p w14:paraId="5C42ADC7" w14:textId="77777777" w:rsidR="0011392D" w:rsidRPr="00EA55D0" w:rsidRDefault="0011392D" w:rsidP="005274C5">
      <w:pPr>
        <w:pStyle w:val="ListBullet"/>
      </w:pPr>
      <w:r w:rsidRPr="00EA55D0">
        <w:t>Related party loans payable should not be disclosed as borrowings.</w:t>
      </w:r>
    </w:p>
    <w:p w14:paraId="05119791" w14:textId="77777777" w:rsidR="0011392D" w:rsidRPr="00EA55D0" w:rsidRDefault="0011392D" w:rsidP="005274C5">
      <w:pPr>
        <w:pStyle w:val="ListBullet"/>
      </w:pPr>
      <w:r w:rsidRPr="00EA55D0">
        <w:t>Interest received or interest paid refers to where the interest has been included in the loan account (i.e. non-cash transactions).</w:t>
      </w:r>
    </w:p>
    <w:p w14:paraId="0EF05B36" w14:textId="77777777" w:rsidR="0011392D" w:rsidRPr="00EA55D0" w:rsidRDefault="0011392D" w:rsidP="005274C5">
      <w:pPr>
        <w:pStyle w:val="ListBullet"/>
      </w:pPr>
      <w:r w:rsidRPr="00EA55D0">
        <w:t>Details of security needs to include confirmation of an enforceable loan agreement signed by the respective Directors (or equivalent), effective interest rate, term of loan(s) and security provided for the loan(s).</w:t>
      </w:r>
    </w:p>
    <w:p w14:paraId="379F9579" w14:textId="71F34545" w:rsidR="002A06F1" w:rsidRDefault="0011392D" w:rsidP="005274C5">
      <w:pPr>
        <w:pStyle w:val="ListBullet"/>
      </w:pPr>
      <w:r w:rsidRPr="00EA55D0">
        <w:t>The data should be sourced from an organisation’s GPFS and therefore should reconcile to the GPFS.</w:t>
      </w:r>
    </w:p>
    <w:p w14:paraId="053B6077" w14:textId="35FD6E2C" w:rsidR="00BE1BB2" w:rsidRPr="00EA55D0" w:rsidRDefault="00BE1BB2" w:rsidP="00271D9E">
      <w:pPr>
        <w:pStyle w:val="Heading3"/>
      </w:pPr>
      <w:bookmarkStart w:id="45" w:name="_Toc209078271"/>
      <w:r w:rsidRPr="00EA55D0">
        <w:t xml:space="preserve">Registered Provider Note 1 to the Aged Care Financial Report </w:t>
      </w:r>
      <w:bookmarkEnd w:id="45"/>
    </w:p>
    <w:p w14:paraId="51F05CCB" w14:textId="77777777" w:rsidR="00BE1BB2" w:rsidRPr="00EA55D0" w:rsidRDefault="00BE1BB2" w:rsidP="005274C5">
      <w:pPr>
        <w:pStyle w:val="ListBullet"/>
      </w:pPr>
      <w:r w:rsidRPr="00EA55D0">
        <w:t>The Note 1 disclosures must include all additional explanatory information as required.</w:t>
      </w:r>
    </w:p>
    <w:p w14:paraId="0D24ADFE" w14:textId="58F97EDF" w:rsidR="00BE1BB2" w:rsidRDefault="00BE1BB2" w:rsidP="005274C5">
      <w:pPr>
        <w:pStyle w:val="ListBullet"/>
      </w:pPr>
      <w:r w:rsidRPr="00EA55D0">
        <w:t xml:space="preserve">If supporting documentation is required to support any disclosure, please include the documentation with the </w:t>
      </w:r>
      <w:r w:rsidR="00564811" w:rsidRPr="00EA55D0">
        <w:t>lodgement</w:t>
      </w:r>
      <w:r w:rsidRPr="00EA55D0">
        <w:t>.</w:t>
      </w:r>
    </w:p>
    <w:p w14:paraId="06908C55" w14:textId="6A528A49" w:rsidR="000959DC" w:rsidRPr="005274C5" w:rsidRDefault="000959DC" w:rsidP="005274C5">
      <w:r w:rsidRPr="005274C5">
        <w:br w:type="page"/>
      </w:r>
    </w:p>
    <w:p w14:paraId="4D8038BD" w14:textId="06016222" w:rsidR="00AA110D" w:rsidRPr="00EA55D0" w:rsidRDefault="002837E6" w:rsidP="002837E6">
      <w:pPr>
        <w:pStyle w:val="Chapternumbers"/>
      </w:pPr>
      <w:bookmarkStart w:id="46" w:name="_Toc224723295"/>
      <w:r w:rsidRPr="00EA55D0">
        <w:rPr>
          <w:noProof/>
        </w:rPr>
        <mc:AlternateContent>
          <mc:Choice Requires="wps">
            <w:drawing>
              <wp:anchor distT="0" distB="0" distL="114300" distR="114300" simplePos="0" relativeHeight="251658250" behindDoc="1" locked="0" layoutInCell="1" allowOverlap="1" wp14:anchorId="5622E840" wp14:editId="42675961">
                <wp:simplePos x="0" y="0"/>
                <wp:positionH relativeFrom="page">
                  <wp:posOffset>-178618</wp:posOffset>
                </wp:positionH>
                <wp:positionV relativeFrom="page">
                  <wp:posOffset>-435509</wp:posOffset>
                </wp:positionV>
                <wp:extent cx="8550275" cy="12215495"/>
                <wp:effectExtent l="0" t="0" r="3175" b="0"/>
                <wp:wrapNone/>
                <wp:docPr id="2078257246" name="Rectangle 20782572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50275" cy="1221549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F7496" id="Rectangle 2078257246" o:spid="_x0000_s1026" alt="&quot;&quot;" style="position:absolute;margin-left:-14.05pt;margin-top:-34.3pt;width:673.25pt;height:961.8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bp8fAIAAGAFAAAOAAAAZHJzL2Uyb0RvYy54bWysVE1v2zAMvQ/YfxB0X/2BeG2DOkXQosOA&#10;oi2WDj2rslQbkEVNUuJkv36UZDtdV+wwLAdFEh8fyWdSF5f7XpGdsK4DXdPiJKdEaA5Np19q+v3x&#10;5tMZJc4z3TAFWtT0IBy9XH38cDGYpSihBdUIS5BEu+Vgatp6b5ZZ5ngreuZOwAiNRgm2Zx6P9iVr&#10;LBuQvVdZmeefswFsYyxw4RzeXicjXUV+KQX391I64YmqKebm42rj+hzWbHXBli+WmbbjYxrsH7Lo&#10;Wacx6Ex1zTwjW9v9QdV33IID6U849BlI2XERa8BqivxNNZuWGRFrQXGcmWVy/4+W3+025sGiDINx&#10;S4fbUMVe2j78Y35kH8U6zGKJvSccL8+qKi9PK0o42oqyLKrFeRX0zI7+xjr/RUBPwqamFj9HVInt&#10;bp1P0AkSwjlQXXPTKRUPoQXElbJkx/Dj+X0xkv+GUjpgNQSvRBhusmMxcecPSgSc0t+EJF2D6Zcx&#10;kdhnxyCMc6F9kUwta0SKXeX4m6JPacVCI2Fglhh/5h4JJmQimbhTliM+uIrYprNz/rfEkvPsESOD&#10;9rNz32mw7xEorGqMnPCTSEmaoNIzNIcHSyykIXGG33T42W6Z8w/M4lTg/OCk+3tcpIKhpjDuKGnB&#10;/nzvPuCxWdFKyYBTVlP3Y8usoER91djG58ViEcYyHhbVaYkH+9ry/Nqit/0VYC8U+KYYHrcB79W0&#10;lRb6J3wQ1iEqmpjmGLum3NvpcOXT9OOTwsV6HWE4iob5W70xPJAHVUNbPu6fmDVj73rs+zuYJpIt&#10;37RwwgZPDeutB9nF/j7qOuqNYxwbZ3xywjvx+hxRx4dx9QsAAP//AwBQSwMEFAAGAAgAAAAhAJto&#10;zSDgAAAADQEAAA8AAABkcnMvZG93bnJldi54bWxMj8FOwzAMhu9IvENkJG5b2o1VoTSdEGJXpHUT&#10;4pg1pqnaOFWTduXtyU5w+y1/+v252C+2ZzOOvnUkIV0nwJBqp1tqJJxPh5UA5oMirXpHKOEHPezL&#10;+7tC5dpd6YhzFRoWS8jnSoIJYcg597VBq/zaDUhx9+1Gq0Icx4brUV1jue35JkkyblVL8YJRA74Z&#10;rLtqshKar8P7vHQG3dFvq6kbns8fn1rKx4fl9QVYwCX8wXDTj+pQRqeLm0h71ktYbUQa0RgykQG7&#10;EdtUPAG7xCR2uxR4WfD/X5S/AAAA//8DAFBLAQItABQABgAIAAAAIQC2gziS/gAAAOEBAAATAAAA&#10;AAAAAAAAAAAAAAAAAABbQ29udGVudF9UeXBlc10ueG1sUEsBAi0AFAAGAAgAAAAhADj9If/WAAAA&#10;lAEAAAsAAAAAAAAAAAAAAAAALwEAAF9yZWxzLy5yZWxzUEsBAi0AFAAGAAgAAAAhAF4Vunx8AgAA&#10;YAUAAA4AAAAAAAAAAAAAAAAALgIAAGRycy9lMm9Eb2MueG1sUEsBAi0AFAAGAAgAAAAhAJtozSDg&#10;AAAADQEAAA8AAAAAAAAAAAAAAAAA1gQAAGRycy9kb3ducmV2LnhtbFBLBQYAAAAABAAEAPMAAADj&#10;BQAAAAA=&#10;" fillcolor="#1e1545 [3213]" stroked="f" strokeweight="2pt">
                <w10:wrap anchorx="page" anchory="page"/>
              </v:rect>
            </w:pict>
          </mc:Fallback>
        </mc:AlternateContent>
      </w:r>
      <w:bookmarkEnd w:id="46"/>
      <w:r w:rsidR="00AA110D">
        <w:t>6</w:t>
      </w:r>
    </w:p>
    <w:p w14:paraId="423C89B2" w14:textId="0E9A04D5" w:rsidR="008502E2" w:rsidRPr="005274C5" w:rsidRDefault="00AA110D" w:rsidP="00F255A4">
      <w:pPr>
        <w:pStyle w:val="Titleforpagesbetweensections"/>
      </w:pPr>
      <w:r>
        <w:t>General Purpose Financial Statement</w:t>
      </w:r>
      <w:r w:rsidR="008502E2" w:rsidRPr="005274C5">
        <w:br w:type="page"/>
      </w:r>
    </w:p>
    <w:p w14:paraId="1777FE15" w14:textId="564D9086" w:rsidR="000E6851" w:rsidRPr="00EA55D0" w:rsidRDefault="00FF4E84" w:rsidP="00E22085">
      <w:pPr>
        <w:pStyle w:val="Heading1"/>
        <w:rPr>
          <w:color w:val="auto"/>
        </w:rPr>
      </w:pPr>
      <w:bookmarkStart w:id="47" w:name="_Toc224723296"/>
      <w:r w:rsidRPr="00EA55D0">
        <w:t>General Purpose Financial Statement</w:t>
      </w:r>
      <w:bookmarkEnd w:id="47"/>
    </w:p>
    <w:p w14:paraId="29B67590" w14:textId="4D8CF324" w:rsidR="000E6851" w:rsidRPr="00322243" w:rsidRDefault="000E6851" w:rsidP="00322243">
      <w:r w:rsidRPr="00322243">
        <w:t xml:space="preserve">Residential </w:t>
      </w:r>
      <w:r w:rsidR="00946EBA" w:rsidRPr="00322243">
        <w:t xml:space="preserve">aged </w:t>
      </w:r>
      <w:r w:rsidRPr="00322243">
        <w:t xml:space="preserve">care providers must </w:t>
      </w:r>
      <w:r w:rsidR="00A84269" w:rsidRPr="00322243">
        <w:t>submit</w:t>
      </w:r>
      <w:r w:rsidRPr="00322243">
        <w:t xml:space="preserve"> a</w:t>
      </w:r>
      <w:r w:rsidR="00303159" w:rsidRPr="00322243">
        <w:t xml:space="preserve">n </w:t>
      </w:r>
      <w:r w:rsidR="007D4F42" w:rsidRPr="00322243">
        <w:t xml:space="preserve">externally </w:t>
      </w:r>
      <w:r w:rsidR="00303159" w:rsidRPr="00322243">
        <w:t>audited</w:t>
      </w:r>
      <w:r w:rsidRPr="00322243">
        <w:t xml:space="preserve"> </w:t>
      </w:r>
      <w:r w:rsidR="00A5513C" w:rsidRPr="00322243">
        <w:t>General Purpose Financial Statement (</w:t>
      </w:r>
      <w:r w:rsidRPr="00322243">
        <w:t>GPFS</w:t>
      </w:r>
      <w:r w:rsidR="00A5513C" w:rsidRPr="00322243">
        <w:t>)</w:t>
      </w:r>
      <w:r w:rsidRPr="00322243">
        <w:t xml:space="preserve"> within the meaning given by section 6 of the Statement of Accounting Concepts (SAC) 1 ‘Definition of the Reporting Entity’.</w:t>
      </w:r>
    </w:p>
    <w:p w14:paraId="57C8EA6E" w14:textId="77777777" w:rsidR="000E6851" w:rsidRPr="00EA55D0" w:rsidRDefault="000E6851" w:rsidP="005274C5">
      <w:pPr>
        <w:pStyle w:val="ListBullet"/>
      </w:pPr>
      <w:r w:rsidRPr="00EA55D0">
        <w:t xml:space="preserve">The first note of the GPFS must specify that it is a </w:t>
      </w:r>
      <w:r w:rsidRPr="00EA55D0" w:rsidDel="00331CA3">
        <w:t>GPFS</w:t>
      </w:r>
      <w:r w:rsidRPr="00EA55D0">
        <w:t>, and the auditor is to confirm that it is a GPFS that has been audited.</w:t>
      </w:r>
    </w:p>
    <w:p w14:paraId="51D664FD" w14:textId="77777777" w:rsidR="000E6851" w:rsidRPr="00EA55D0" w:rsidRDefault="000E6851" w:rsidP="005274C5">
      <w:pPr>
        <w:pStyle w:val="ListBullet"/>
      </w:pPr>
      <w:r w:rsidRPr="00EA55D0">
        <w:t>All GPFSs are required by the accounting standards to include a statement of financial position, statement of comprehensive income, statement of changes in equity, statement of cash flows, and notes, comprising a summary of significant accounting policies and other explanatory information. They are also required to disclose comparative information in respect of the previous period for a minimum two years of each of the statements and related notes.</w:t>
      </w:r>
    </w:p>
    <w:p w14:paraId="28ED0E63" w14:textId="77777777" w:rsidR="000E6851" w:rsidRPr="00EA55D0" w:rsidRDefault="000E6851" w:rsidP="005274C5">
      <w:pPr>
        <w:pStyle w:val="ListBullet"/>
      </w:pPr>
      <w:r w:rsidRPr="00EA55D0">
        <w:t>The GPFS must be in accordance with the applicable accounting standards and give a true and fair view of the financial position and performance of the entity.</w:t>
      </w:r>
    </w:p>
    <w:p w14:paraId="294DA297" w14:textId="77777777" w:rsidR="000E6851" w:rsidRPr="00EA55D0" w:rsidRDefault="000E6851" w:rsidP="005274C5">
      <w:pPr>
        <w:pStyle w:val="ListBullet"/>
      </w:pPr>
      <w:r w:rsidRPr="00EA55D0">
        <w:t>A Special Purpose Financial Report is not acceptable.</w:t>
      </w:r>
    </w:p>
    <w:p w14:paraId="22633E4B" w14:textId="77777777" w:rsidR="000E6851" w:rsidRPr="00EA55D0" w:rsidRDefault="000E6851" w:rsidP="005274C5">
      <w:pPr>
        <w:pStyle w:val="ListBullet"/>
      </w:pPr>
      <w:r w:rsidRPr="00EA55D0">
        <w:t>The GPFS and audit report must be signed and dated.</w:t>
      </w:r>
    </w:p>
    <w:p w14:paraId="54598901" w14:textId="1A1622C9" w:rsidR="000E6851" w:rsidRPr="00EA55D0" w:rsidRDefault="00C62577" w:rsidP="005274C5">
      <w:pPr>
        <w:pStyle w:val="ListBullet"/>
      </w:pPr>
      <w:r w:rsidRPr="00EA55D0">
        <w:t>Registered</w:t>
      </w:r>
      <w:r w:rsidR="000E6851" w:rsidRPr="00EA55D0">
        <w:t xml:space="preserve"> providers are to apply AASB 8 (operating segments) if relevant.</w:t>
      </w:r>
    </w:p>
    <w:p w14:paraId="09E9C954" w14:textId="60F901EF" w:rsidR="000E6851" w:rsidRPr="00EA55D0" w:rsidRDefault="000E6851" w:rsidP="005274C5">
      <w:pPr>
        <w:pStyle w:val="ListBullet"/>
      </w:pPr>
      <w:r w:rsidRPr="00EA55D0">
        <w:t xml:space="preserve">Each GPFS should be clearly marked with the GPMS </w:t>
      </w:r>
      <w:r w:rsidR="00053833">
        <w:t>provider ID</w:t>
      </w:r>
      <w:r w:rsidRPr="00EA55D0">
        <w:t xml:space="preserve"> or </w:t>
      </w:r>
      <w:r w:rsidR="00482D7F">
        <w:t>a</w:t>
      </w:r>
      <w:r w:rsidR="002723FD">
        <w:t xml:space="preserve">pproved </w:t>
      </w:r>
      <w:r w:rsidR="00482D7F">
        <w:t>r</w:t>
      </w:r>
      <w:r w:rsidRPr="00EA55D0">
        <w:t xml:space="preserve">esidential </w:t>
      </w:r>
      <w:r w:rsidR="00482D7F">
        <w:t>c</w:t>
      </w:r>
      <w:r w:rsidR="002723FD">
        <w:t xml:space="preserve">are </w:t>
      </w:r>
      <w:r w:rsidR="00482D7F">
        <w:t>h</w:t>
      </w:r>
      <w:r w:rsidR="002723FD">
        <w:t xml:space="preserve">ome </w:t>
      </w:r>
      <w:r w:rsidRPr="00EA55D0">
        <w:t>identification number it relates to and include an Australian Business Number (ABN).</w:t>
      </w:r>
    </w:p>
    <w:p w14:paraId="68DD4673" w14:textId="77777777" w:rsidR="000E6851" w:rsidRPr="00EA55D0" w:rsidRDefault="000E6851" w:rsidP="005274C5">
      <w:pPr>
        <w:pStyle w:val="ListBullet"/>
      </w:pPr>
      <w:r w:rsidRPr="00EA55D0">
        <w:t>It is important that providers and auditors become familiar with the financial reporting requirements before providers lodge their GPFS and audit opinion.</w:t>
      </w:r>
    </w:p>
    <w:p w14:paraId="0BE486B1" w14:textId="034D21ED" w:rsidR="000E6851" w:rsidRPr="00EA55D0" w:rsidRDefault="000E6851" w:rsidP="005274C5">
      <w:pPr>
        <w:pStyle w:val="ListBullet"/>
      </w:pPr>
      <w:r w:rsidRPr="00EA55D0">
        <w:t xml:space="preserve">All GPFS and accompanying audit reports must be uploaded </w:t>
      </w:r>
      <w:r w:rsidR="003C709A" w:rsidRPr="00EA55D0">
        <w:t xml:space="preserve">with the ACFR </w:t>
      </w:r>
      <w:r w:rsidRPr="00EA55D0">
        <w:t xml:space="preserve">through the </w:t>
      </w:r>
      <w:hyperlink r:id="rId35" w:history="1">
        <w:r w:rsidRPr="00EA55D0">
          <w:rPr>
            <w:rFonts w:cs="Arial"/>
            <w:color w:val="2AB1BB" w:themeColor="hyperlink"/>
            <w:u w:val="single"/>
          </w:rPr>
          <w:t>Forms Administration</w:t>
        </w:r>
        <w:r w:rsidR="00772070" w:rsidRPr="00EA55D0">
          <w:rPr>
            <w:rFonts w:cs="Arial"/>
            <w:color w:val="2AB1BB" w:themeColor="hyperlink"/>
            <w:u w:val="single"/>
          </w:rPr>
          <w:t xml:space="preserve"> portal</w:t>
        </w:r>
      </w:hyperlink>
      <w:r w:rsidRPr="00EA55D0">
        <w:t>.</w:t>
      </w:r>
    </w:p>
    <w:p w14:paraId="590FF0C4" w14:textId="004DC4F6" w:rsidR="000E6851" w:rsidRPr="00271D9E" w:rsidRDefault="000E6851" w:rsidP="00271D9E">
      <w:pPr>
        <w:pStyle w:val="Heading2"/>
      </w:pPr>
      <w:bookmarkStart w:id="48" w:name="_Toc209078272"/>
      <w:r w:rsidRPr="00271D9E">
        <w:t xml:space="preserve">Report at either provider level or </w:t>
      </w:r>
      <w:r w:rsidR="00D5766F" w:rsidRPr="00271D9E">
        <w:t xml:space="preserve">approved </w:t>
      </w:r>
      <w:r w:rsidR="0083381C" w:rsidRPr="00271D9E">
        <w:t xml:space="preserve">residential care home </w:t>
      </w:r>
      <w:r w:rsidRPr="00271D9E">
        <w:t>level</w:t>
      </w:r>
      <w:bookmarkEnd w:id="48"/>
    </w:p>
    <w:p w14:paraId="53947F72" w14:textId="4F98647C" w:rsidR="000E6851" w:rsidRPr="00EA55D0" w:rsidRDefault="000E6851" w:rsidP="005274C5">
      <w:pPr>
        <w:pStyle w:val="ListBullet"/>
      </w:pPr>
      <w:r w:rsidRPr="00EA55D0">
        <w:t xml:space="preserve">Reporting at the provider level means the provision of one audited GPFS covering all </w:t>
      </w:r>
      <w:r w:rsidR="00184CE5">
        <w:t>a</w:t>
      </w:r>
      <w:r w:rsidR="00357FE3">
        <w:t xml:space="preserve">pproved </w:t>
      </w:r>
      <w:r w:rsidR="00184CE5">
        <w:t>r</w:t>
      </w:r>
      <w:r w:rsidRPr="00EA55D0">
        <w:t xml:space="preserve">esidential care </w:t>
      </w:r>
      <w:r w:rsidR="00184CE5">
        <w:t>h</w:t>
      </w:r>
      <w:r w:rsidR="00426821">
        <w:t>omes</w:t>
      </w:r>
      <w:r w:rsidRPr="00EA55D0">
        <w:t xml:space="preserve"> and all other activities. </w:t>
      </w:r>
    </w:p>
    <w:p w14:paraId="02EA1601" w14:textId="2453CD4E" w:rsidR="000E6851" w:rsidRPr="00EA55D0" w:rsidRDefault="000E6851" w:rsidP="005274C5">
      <w:pPr>
        <w:pStyle w:val="ListBullet"/>
      </w:pPr>
      <w:r w:rsidRPr="00EA55D0">
        <w:t xml:space="preserve">Providing one audited GPFS that covers more than one </w:t>
      </w:r>
      <w:r w:rsidR="00356797" w:rsidRPr="00EA55D0">
        <w:t>Registered</w:t>
      </w:r>
      <w:r w:rsidRPr="00EA55D0">
        <w:t xml:space="preserve"> </w:t>
      </w:r>
      <w:r w:rsidR="00356797" w:rsidRPr="00EA55D0">
        <w:t>P</w:t>
      </w:r>
      <w:r w:rsidRPr="00EA55D0">
        <w:t xml:space="preserve">rovider is not acceptable. Reports submitted that are anything other than </w:t>
      </w:r>
      <w:r w:rsidR="00356797" w:rsidRPr="00EA55D0">
        <w:t xml:space="preserve">Registered Provider </w:t>
      </w:r>
      <w:r w:rsidRPr="00EA55D0">
        <w:t xml:space="preserve">or </w:t>
      </w:r>
      <w:r w:rsidR="00482D7F">
        <w:t>h</w:t>
      </w:r>
      <w:r w:rsidR="000D27F6">
        <w:t>ome</w:t>
      </w:r>
      <w:r w:rsidRPr="00EA55D0">
        <w:t xml:space="preserve"> level will result in compliance action. </w:t>
      </w:r>
    </w:p>
    <w:p w14:paraId="695AD2D1" w14:textId="3E8CD5E2" w:rsidR="000E6851" w:rsidRDefault="000E6851" w:rsidP="005274C5">
      <w:pPr>
        <w:pStyle w:val="ListBullet"/>
      </w:pPr>
      <w:r w:rsidRPr="00EA55D0">
        <w:t xml:space="preserve">Reporting at the </w:t>
      </w:r>
      <w:r w:rsidR="00184CE5">
        <w:t>h</w:t>
      </w:r>
      <w:r w:rsidR="000D27F6">
        <w:t>ome</w:t>
      </w:r>
      <w:r w:rsidRPr="00EA55D0">
        <w:t xml:space="preserve"> level means the provision of separate audited GPFSs for each </w:t>
      </w:r>
      <w:r w:rsidR="00D504A1">
        <w:t xml:space="preserve">approved </w:t>
      </w:r>
      <w:r w:rsidRPr="00EA55D0">
        <w:t xml:space="preserve">residential care </w:t>
      </w:r>
      <w:r w:rsidR="00D504A1">
        <w:t>home</w:t>
      </w:r>
      <w:r w:rsidRPr="00EA55D0">
        <w:t xml:space="preserve"> or group of </w:t>
      </w:r>
      <w:r w:rsidR="00D504A1">
        <w:t>homes</w:t>
      </w:r>
      <w:r w:rsidRPr="00EA55D0">
        <w:t xml:space="preserve"> (in any combination, but each</w:t>
      </w:r>
      <w:r w:rsidR="00184CE5">
        <w:t xml:space="preserve"> home</w:t>
      </w:r>
      <w:r w:rsidRPr="00EA55D0">
        <w:t xml:space="preserve"> must be reported only once). The ACFR portal will allow multiple </w:t>
      </w:r>
      <w:r w:rsidR="00CD6D86">
        <w:t>home</w:t>
      </w:r>
      <w:r w:rsidRPr="00EA55D0">
        <w:t xml:space="preserve"> level GPFSs to be uploaded.</w:t>
      </w:r>
    </w:p>
    <w:p w14:paraId="003F37E6" w14:textId="15C4D275" w:rsidR="00300C19" w:rsidRPr="00271D9E" w:rsidRDefault="001C378C" w:rsidP="00271D9E">
      <w:pPr>
        <w:pStyle w:val="Heading2"/>
      </w:pPr>
      <w:r w:rsidRPr="00271D9E">
        <w:t>Registered</w:t>
      </w:r>
      <w:r w:rsidR="00300C19" w:rsidRPr="00271D9E">
        <w:t xml:space="preserve"> provider who only deliver residential aged care (Type A)</w:t>
      </w:r>
    </w:p>
    <w:p w14:paraId="14502908" w14:textId="77777777" w:rsidR="00300C19" w:rsidRPr="00322243" w:rsidRDefault="00300C19" w:rsidP="00322243">
      <w:r w:rsidRPr="00322243">
        <w:t>If a provider delivers only residential aged care services, they must:</w:t>
      </w:r>
    </w:p>
    <w:p w14:paraId="6242DBC7" w14:textId="6DD7832D" w:rsidR="00300C19" w:rsidRPr="00DF1525" w:rsidRDefault="00300C19" w:rsidP="00322243">
      <w:pPr>
        <w:pStyle w:val="ListBullet"/>
      </w:pPr>
      <w:r w:rsidRPr="00DF1525">
        <w:t xml:space="preserve">complete all the ACFR mandatory </w:t>
      </w:r>
      <w:r w:rsidR="001C378C">
        <w:t>registered</w:t>
      </w:r>
      <w:r w:rsidRPr="00DF1525">
        <w:t xml:space="preserve"> provider line items and mandatory residential care segment line items in the format required by the ACFR; and</w:t>
      </w:r>
    </w:p>
    <w:p w14:paraId="38B0A545" w14:textId="1B056E22" w:rsidR="00300C19" w:rsidRPr="0007538C" w:rsidRDefault="00300C19" w:rsidP="00322243">
      <w:pPr>
        <w:pStyle w:val="ListBullet"/>
      </w:pPr>
      <w:r w:rsidRPr="00DF1525">
        <w:t>include a separate note in the GPFS attesting that</w:t>
      </w:r>
      <w:r w:rsidR="003E65BD">
        <w:t xml:space="preserve"> t</w:t>
      </w:r>
      <w:r w:rsidRPr="0007538C">
        <w:t xml:space="preserve">he </w:t>
      </w:r>
      <w:r w:rsidR="001C378C">
        <w:t>registered</w:t>
      </w:r>
      <w:r w:rsidRPr="0007538C">
        <w:t xml:space="preserve"> provider delivers only residential aged care services and this GPFS therefore relates only to such operations.</w:t>
      </w:r>
    </w:p>
    <w:p w14:paraId="6BC1208E" w14:textId="29456D78" w:rsidR="00300C19" w:rsidRPr="00271D9E" w:rsidRDefault="001C378C" w:rsidP="00271D9E">
      <w:pPr>
        <w:pStyle w:val="Heading2"/>
      </w:pPr>
      <w:r w:rsidRPr="00271D9E">
        <w:rPr>
          <w:rFonts w:eastAsiaTheme="majorEastAsia"/>
        </w:rPr>
        <w:t>Registered</w:t>
      </w:r>
      <w:r w:rsidR="00300C19" w:rsidRPr="00271D9E">
        <w:rPr>
          <w:rFonts w:eastAsiaTheme="majorEastAsia"/>
        </w:rPr>
        <w:t xml:space="preserve"> provider who delivers services in addition to residential aged care (Type B)</w:t>
      </w:r>
    </w:p>
    <w:p w14:paraId="0A6072A7" w14:textId="673D6668" w:rsidR="005C34D6" w:rsidRPr="005C1415" w:rsidRDefault="00300C19" w:rsidP="00D209AA">
      <w:r w:rsidRPr="00DF1525">
        <w:t xml:space="preserve">As residential care segment information must be supplied in the ACFR, then </w:t>
      </w:r>
      <w:r w:rsidRPr="006143CF">
        <w:t xml:space="preserve">subject to the GPFS complying with the Australian accounting standards, there is no need to also include a residential aged care segment note in the GPFS. </w:t>
      </w:r>
    </w:p>
    <w:p w14:paraId="5C568D71" w14:textId="29027A76" w:rsidR="000E6851" w:rsidRPr="00271D9E" w:rsidRDefault="000E6851" w:rsidP="00271D9E">
      <w:pPr>
        <w:pStyle w:val="Heading2"/>
      </w:pPr>
      <w:bookmarkStart w:id="49" w:name="_Toc209078273"/>
      <w:r w:rsidRPr="00271D9E">
        <w:t>GPFS audited by a Registered Company Auditor</w:t>
      </w:r>
      <w:bookmarkEnd w:id="49"/>
    </w:p>
    <w:p w14:paraId="7F7D2002" w14:textId="368E2EBB" w:rsidR="000E6851" w:rsidRPr="00322243" w:rsidRDefault="000E6851" w:rsidP="00322243">
      <w:r w:rsidRPr="00322243">
        <w:t>Providers must have their GPFS audited by a Registered Company Auditor (RCA). Section 1281 of the Corporations Act 2001 (</w:t>
      </w:r>
      <w:proofErr w:type="spellStart"/>
      <w:r w:rsidRPr="00322243">
        <w:t>Cth</w:t>
      </w:r>
      <w:proofErr w:type="spellEnd"/>
      <w:r w:rsidRPr="00322243">
        <w:t>) provides that the Auditor-General of the Commonwealth, a state or a territory is taken to be an RCA. It is a provider’s responsibility to ensure that their auditor is an RCA. One method of checking this is to perform a search o</w:t>
      </w:r>
      <w:r w:rsidR="00E64AA7" w:rsidRPr="00322243">
        <w:t>f</w:t>
      </w:r>
      <w:r w:rsidRPr="00322243">
        <w:t xml:space="preserve"> the</w:t>
      </w:r>
      <w:r w:rsidR="00E64AA7" w:rsidRPr="00322243">
        <w:t xml:space="preserve"> ‘Professional registers’ on the</w:t>
      </w:r>
      <w:r w:rsidRPr="00322243">
        <w:t xml:space="preserve"> </w:t>
      </w:r>
      <w:hyperlink r:id="rId36" w:history="1">
        <w:r w:rsidRPr="00322243">
          <w:rPr>
            <w:rStyle w:val="Hyperlink"/>
          </w:rPr>
          <w:t>Australian Securities and Investment Commission’s website</w:t>
        </w:r>
      </w:hyperlink>
      <w:r w:rsidR="00E64AA7" w:rsidRPr="00322243">
        <w:t>.</w:t>
      </w:r>
      <w:r w:rsidRPr="00322243">
        <w:t xml:space="preserve"> Company auditors will need to comply with all applicable auditor independence requirements in the Corporations Act 2001.</w:t>
      </w:r>
    </w:p>
    <w:p w14:paraId="7E41E582" w14:textId="6C71167A" w:rsidR="000E6851" w:rsidRPr="00271D9E" w:rsidRDefault="000E6851" w:rsidP="00271D9E">
      <w:pPr>
        <w:pStyle w:val="Heading2"/>
      </w:pPr>
      <w:bookmarkStart w:id="50" w:name="_Toc209078274"/>
      <w:r w:rsidRPr="00271D9E">
        <w:t>Audit requirements and alternative auditor</w:t>
      </w:r>
      <w:bookmarkEnd w:id="50"/>
      <w:r w:rsidRPr="00271D9E">
        <w:t xml:space="preserve"> </w:t>
      </w:r>
    </w:p>
    <w:p w14:paraId="410EA4F0" w14:textId="77777777" w:rsidR="000E6851" w:rsidRPr="00EA55D0" w:rsidRDefault="000E6851" w:rsidP="00322243">
      <w:pPr>
        <w:pStyle w:val="ListBullet"/>
      </w:pPr>
      <w:r w:rsidRPr="00EA55D0">
        <w:t xml:space="preserve">The only exception to a GPFS and APCS being audited by an RCA is where approval has been given for an alternative auditor. </w:t>
      </w:r>
    </w:p>
    <w:p w14:paraId="69DA56A3" w14:textId="2DAD7F55" w:rsidR="000E6851" w:rsidRPr="00EA55D0" w:rsidRDefault="000E6851" w:rsidP="00322243">
      <w:pPr>
        <w:pStyle w:val="ListBullet"/>
      </w:pPr>
      <w:r w:rsidRPr="00EA55D0">
        <w:t xml:space="preserve">The </w:t>
      </w:r>
      <w:r w:rsidR="00AF627D">
        <w:t>System Governor</w:t>
      </w:r>
      <w:r w:rsidRPr="00EA55D0">
        <w:t xml:space="preserve"> must be satisfied with the qualifications and experience of the proposed alternative auditor. For </w:t>
      </w:r>
      <w:r w:rsidR="00E95A8D">
        <w:t>example</w:t>
      </w:r>
      <w:r w:rsidRPr="00EA55D0">
        <w:t xml:space="preserve">, if a provider </w:t>
      </w:r>
      <w:proofErr w:type="gramStart"/>
      <w:r w:rsidRPr="00EA55D0">
        <w:t>is not able to</w:t>
      </w:r>
      <w:proofErr w:type="gramEnd"/>
      <w:r w:rsidRPr="00EA55D0">
        <w:t xml:space="preserve"> readily access the services of an RCA because they are in a rural/remote location where there are no RCAs; then they may request that the </w:t>
      </w:r>
      <w:r w:rsidR="00AF627D">
        <w:t>System Governor</w:t>
      </w:r>
      <w:r w:rsidRPr="00EA55D0">
        <w:t xml:space="preserve"> approve an alternative auditor who is not an RCA. Approval of an alternative auditor is at the discretion of the </w:t>
      </w:r>
      <w:r w:rsidR="007874F0">
        <w:t>System Governor</w:t>
      </w:r>
      <w:r w:rsidRPr="00EA55D0">
        <w:t xml:space="preserve">. </w:t>
      </w:r>
    </w:p>
    <w:p w14:paraId="783AA80B" w14:textId="66CE94B0" w:rsidR="000E6851" w:rsidRPr="00EA55D0" w:rsidRDefault="000E6851" w:rsidP="00322243">
      <w:pPr>
        <w:pStyle w:val="ListBullet"/>
      </w:pPr>
      <w:r w:rsidRPr="00EA55D0">
        <w:t xml:space="preserve">Providers can request an application form for an alternative auditor by </w:t>
      </w:r>
      <w:hyperlink r:id="rId37" w:history="1">
        <w:r w:rsidRPr="00EA55D0">
          <w:rPr>
            <w:color w:val="2AB1BB" w:themeColor="hyperlink"/>
            <w:u w:val="single"/>
          </w:rPr>
          <w:t>contacting Forms Administration</w:t>
        </w:r>
      </w:hyperlink>
      <w:r w:rsidRPr="00EA55D0">
        <w:t xml:space="preserve">. Please note, the department has 28 days in which to process any application for alternative arrangements, therefore any request for an alternative auditor must be made by 31 </w:t>
      </w:r>
      <w:r w:rsidR="00C13396">
        <w:t>July</w:t>
      </w:r>
      <w:r w:rsidRPr="00EA55D0">
        <w:t xml:space="preserve">. </w:t>
      </w:r>
    </w:p>
    <w:p w14:paraId="7D4D9F5C" w14:textId="77777777" w:rsidR="000E6851" w:rsidRPr="00EA55D0" w:rsidRDefault="000E6851" w:rsidP="00322243">
      <w:pPr>
        <w:pStyle w:val="ListBullet"/>
      </w:pPr>
      <w:r w:rsidRPr="00EA55D0">
        <w:t>Obtain from the auditor (or the approved person) an audit opinion including whether the GPFS is in accordance with the applicable accounting standards and whether the GPFS gives a true and fair view of the financial position and performance of the entity for the relevant financial year.</w:t>
      </w:r>
    </w:p>
    <w:p w14:paraId="25E785E2" w14:textId="77777777" w:rsidR="000E6851" w:rsidRPr="00EA55D0" w:rsidRDefault="000E6851" w:rsidP="00322243">
      <w:pPr>
        <w:pStyle w:val="ListBullet"/>
      </w:pPr>
      <w:r w:rsidRPr="00EA55D0">
        <w:t xml:space="preserve">The audit report must be signed and dated by the auditor before it is deemed complete and must be lodged with the financial report by the due date. </w:t>
      </w:r>
    </w:p>
    <w:p w14:paraId="3E07F383" w14:textId="17443E39" w:rsidR="000E6851" w:rsidRPr="00271D9E" w:rsidRDefault="000E6851" w:rsidP="00271D9E">
      <w:pPr>
        <w:pStyle w:val="Heading2"/>
      </w:pPr>
      <w:r w:rsidRPr="00271D9E">
        <w:t xml:space="preserve">Government providers </w:t>
      </w:r>
    </w:p>
    <w:p w14:paraId="5215BC36" w14:textId="58DCAD39" w:rsidR="000E6851" w:rsidRPr="00EA55D0" w:rsidRDefault="000E6851" w:rsidP="000E6851">
      <w:r w:rsidRPr="00EA55D0">
        <w:t xml:space="preserve">If an organisation is </w:t>
      </w:r>
      <w:r w:rsidR="0098570F" w:rsidRPr="00EA55D0">
        <w:t>a Registered Provider</w:t>
      </w:r>
      <w:r w:rsidRPr="00EA55D0">
        <w:t xml:space="preserve"> of residential aged care and is also a state or territory government, an authority of a state or territory or a local government authority then they are not required to submit a GPFS</w:t>
      </w:r>
      <w:r w:rsidR="00F46EB3" w:rsidRPr="00EA55D0">
        <w:t>.</w:t>
      </w:r>
      <w:r w:rsidRPr="00EA55D0">
        <w:t xml:space="preserve"> </w:t>
      </w:r>
    </w:p>
    <w:p w14:paraId="2A7193D9" w14:textId="77777777" w:rsidR="00C0414C" w:rsidRPr="00322243" w:rsidRDefault="00C0414C" w:rsidP="00322243">
      <w:bookmarkStart w:id="51" w:name="_Toc184198008"/>
      <w:bookmarkStart w:id="52" w:name="_Toc205730280"/>
      <w:r>
        <w:br w:type="page"/>
      </w:r>
    </w:p>
    <w:p w14:paraId="3EB6F74D" w14:textId="2EE531DF" w:rsidR="00AA110D" w:rsidRPr="00EA55D0" w:rsidRDefault="002837E6" w:rsidP="002837E6">
      <w:pPr>
        <w:pStyle w:val="Chapternumbers"/>
      </w:pPr>
      <w:bookmarkStart w:id="53" w:name="_Toc224723297"/>
      <w:r w:rsidRPr="00EA55D0">
        <w:rPr>
          <w:noProof/>
        </w:rPr>
        <mc:AlternateContent>
          <mc:Choice Requires="wps">
            <w:drawing>
              <wp:anchor distT="0" distB="0" distL="114300" distR="114300" simplePos="0" relativeHeight="251658251" behindDoc="1" locked="0" layoutInCell="1" allowOverlap="1" wp14:anchorId="59582C7E" wp14:editId="29B71107">
                <wp:simplePos x="0" y="0"/>
                <wp:positionH relativeFrom="page">
                  <wp:align>left</wp:align>
                </wp:positionH>
                <wp:positionV relativeFrom="page">
                  <wp:posOffset>-515293</wp:posOffset>
                </wp:positionV>
                <wp:extent cx="8607425" cy="12729845"/>
                <wp:effectExtent l="0" t="0" r="3175" b="0"/>
                <wp:wrapNone/>
                <wp:docPr id="1040380026" name="Rectangle 10403800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07425" cy="127298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0833B" id="Rectangle 1040380026" o:spid="_x0000_s1026" alt="&quot;&quot;" style="position:absolute;margin-left:0;margin-top:-40.55pt;width:677.75pt;height:1002.35pt;z-index:-25165822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sSfQIAAGAFAAAOAAAAZHJzL2Uyb0RvYy54bWysVNtuGyEQfa/Uf0C8N3uRnYuVdWQ5SlUp&#10;SqIkVZ4JC14klqGAvXa/vgN7cZpGfajqBwzMmTMzZ2e4vNq3muyE8wpMRYuTnBJhONTKbCr6/fnm&#10;yzklPjBTMw1GVPQgPL1afv502dmFKKEBXQtHkMT4RWcr2oRgF1nmeSNa5k/ACoNGCa5lAY9uk9WO&#10;dcje6qzM89OsA1dbB1x4j7fXvZEuE7+Ugod7Kb0IRFcUcwtpdWl9jWu2vGSLjWO2UXxIg/1DFi1T&#10;BoNOVNcsMLJ16g+qVnEHHmQ44dBmIKXiItWA1RT5u2qeGmZFqgXF8XaSyf8/Wn63e7IPDmXorF94&#10;3MYq9tK18R/zI/sk1mESS+wD4Xh5fpqfzco5JRxtRXlWXpzP5lHP7OhvnQ9fBbQkbirq8HMkldju&#10;1oceOkJiOA9a1TdK63SILSDW2pEdw48X9sVA/htKm4g1EL16wniTHYtJu3DQIuK0eRSSqBrTL1Mi&#10;qc+OQRjnwoSiNzWsFn3seY6/MfqYVio0EUZmifEn7oFgRPYkI3ef5YCPriK16eSc/y2x3nnySJHB&#10;hMm5VQbcRwQaqxoi9/hRpF6aqNIr1IcHRxz0Q+Itv1H42W6ZDw/M4VTg/OCkh3tcpIauojDsKGnA&#10;/fzoPuKxWdFKSYdTVlH/Y8ucoER/M9jGF8VsFscyHWbzsxIP7q3l9a3FbNs1YC8U+KZYnrYRH/S4&#10;lQ7aF3wQVjEqmpjhGLuiPLjxsA799OOTwsVqlWA4ipaFW/NkeSSPqsa2fN6/MGeH3g3Y93cwTiRb&#10;vGvhHhs9Day2AaRK/X3UddAbxzg1zvDkxHfi7Tmhjg/j8hcAAAD//wMAUEsDBBQABgAIAAAAIQD8&#10;BPZ73gAAAAoBAAAPAAAAZHJzL2Rvd25yZXYueG1sTI/BboMwEETvlfoP1lbKLTEEESUEE1VVc60U&#10;GkU5OniLEXiNsCHk7+uc2tusZjXzJj/MpmMTDq6xJCBeRcCQKqsaqgWcv4/LLTDnJSnZWUIBD3Rw&#10;KF5fcpkpe6cTTqWvWQghl0kB2vs+49xVGo10K9sjBe/HDkb6cA41V4O8h3DT8XUUbbiRDYUGLXv8&#10;0Fi15WgE1Nfj5zS3Gu3JJeXY9rvz10UJsXib3/fAPM7+7xme+AEdisB0syMpxzoBYYgXsNzGMbCn&#10;naRpCuwW1G6dbIAXOf8/ofgFAAD//wMAUEsBAi0AFAAGAAgAAAAhALaDOJL+AAAA4QEAABMAAAAA&#10;AAAAAAAAAAAAAAAAAFtDb250ZW50X1R5cGVzXS54bWxQSwECLQAUAAYACAAAACEAOP0h/9YAAACU&#10;AQAACwAAAAAAAAAAAAAAAAAvAQAAX3JlbHMvLnJlbHNQSwECLQAUAAYACAAAACEAoKcLEn0CAABg&#10;BQAADgAAAAAAAAAAAAAAAAAuAgAAZHJzL2Uyb0RvYy54bWxQSwECLQAUAAYACAAAACEA/AT2e94A&#10;AAAKAQAADwAAAAAAAAAAAAAAAADXBAAAZHJzL2Rvd25yZXYueG1sUEsFBgAAAAAEAAQA8wAAAOIF&#10;AAAAAA==&#10;" fillcolor="#1e1545 [3213]" stroked="f" strokeweight="2pt">
                <w10:wrap anchorx="page" anchory="page"/>
              </v:rect>
            </w:pict>
          </mc:Fallback>
        </mc:AlternateContent>
      </w:r>
      <w:bookmarkEnd w:id="53"/>
      <w:r w:rsidR="00AA110D">
        <w:t>7</w:t>
      </w:r>
    </w:p>
    <w:p w14:paraId="68C9D8A3" w14:textId="5D4DACE3" w:rsidR="008502E2" w:rsidRPr="005274C5" w:rsidRDefault="00AA110D" w:rsidP="00F255A4">
      <w:pPr>
        <w:pStyle w:val="Titleforpagesbetweensections"/>
      </w:pPr>
      <w:r>
        <w:t>Residential Aged Care reporting</w:t>
      </w:r>
      <w:r w:rsidR="008502E2" w:rsidRPr="005274C5">
        <w:br w:type="page"/>
      </w:r>
    </w:p>
    <w:p w14:paraId="58C43625" w14:textId="0121146C" w:rsidR="00591D82" w:rsidRPr="00EA55D0" w:rsidRDefault="00591D82" w:rsidP="00E22085">
      <w:pPr>
        <w:pStyle w:val="Heading1"/>
      </w:pPr>
      <w:bookmarkStart w:id="54" w:name="_Toc224723298"/>
      <w:r w:rsidRPr="00EA55D0">
        <w:t xml:space="preserve">Residential Aged Care </w:t>
      </w:r>
      <w:bookmarkEnd w:id="51"/>
      <w:bookmarkEnd w:id="52"/>
      <w:r w:rsidR="001E2EA1" w:rsidRPr="00EA55D0">
        <w:t>reporting</w:t>
      </w:r>
      <w:bookmarkEnd w:id="54"/>
    </w:p>
    <w:p w14:paraId="2F597872" w14:textId="5CCF061B" w:rsidR="005C3B15" w:rsidRPr="00EA55D0" w:rsidRDefault="005C3B15" w:rsidP="005C3B15">
      <w:r w:rsidRPr="00EA55D0">
        <w:t xml:space="preserve">Residential aged care </w:t>
      </w:r>
      <w:r w:rsidR="001E2EA1" w:rsidRPr="00EA55D0">
        <w:t>reporting</w:t>
      </w:r>
      <w:r w:rsidRPr="00EA55D0">
        <w:t xml:space="preserve"> includes:</w:t>
      </w:r>
    </w:p>
    <w:p w14:paraId="60B2BCC9" w14:textId="67CF084C" w:rsidR="00364893" w:rsidRPr="00EA55D0" w:rsidRDefault="00342DF6" w:rsidP="005274C5">
      <w:pPr>
        <w:pStyle w:val="ListBullet"/>
      </w:pPr>
      <w:r w:rsidRPr="00EA55D0">
        <w:t xml:space="preserve">Residential aged care home Income and Expenditure Statement (data </w:t>
      </w:r>
      <w:r w:rsidR="00C70E7E" w:rsidRPr="00EA55D0">
        <w:t xml:space="preserve">is </w:t>
      </w:r>
      <w:r w:rsidRPr="00EA55D0">
        <w:t>linked</w:t>
      </w:r>
      <w:r w:rsidR="00C70E7E" w:rsidRPr="00EA55D0">
        <w:t xml:space="preserve"> from </w:t>
      </w:r>
      <w:r w:rsidR="00364893" w:rsidRPr="00EA55D0">
        <w:t>Income and Expenses forms)</w:t>
      </w:r>
    </w:p>
    <w:p w14:paraId="480973AD" w14:textId="77777777" w:rsidR="00FD39FD" w:rsidRPr="00EA55D0" w:rsidRDefault="00364893" w:rsidP="005274C5">
      <w:pPr>
        <w:pStyle w:val="ListBullet"/>
      </w:pPr>
      <w:r w:rsidRPr="00EA55D0">
        <w:t xml:space="preserve">Residential </w:t>
      </w:r>
      <w:r w:rsidR="00FD39FD" w:rsidRPr="00EA55D0">
        <w:t>aged care home Income</w:t>
      </w:r>
    </w:p>
    <w:p w14:paraId="7ABF6298" w14:textId="77777777" w:rsidR="00FD39FD" w:rsidRPr="00EA55D0" w:rsidRDefault="00FD39FD" w:rsidP="005274C5">
      <w:pPr>
        <w:pStyle w:val="ListBullet"/>
      </w:pPr>
      <w:r w:rsidRPr="00EA55D0">
        <w:t>Residential aged care home Expenditure</w:t>
      </w:r>
    </w:p>
    <w:p w14:paraId="1F7C2DCB" w14:textId="77777777" w:rsidR="00601507" w:rsidRPr="00EA55D0" w:rsidRDefault="0010406E" w:rsidP="005274C5">
      <w:pPr>
        <w:pStyle w:val="ListBullet"/>
      </w:pPr>
      <w:r w:rsidRPr="00EA55D0">
        <w:t>Residential aged care home Income and Expenditure Statement Per Resident Per Day (data is calculated from other forms)</w:t>
      </w:r>
    </w:p>
    <w:p w14:paraId="39D2154A" w14:textId="752CB2CE" w:rsidR="00601507" w:rsidRPr="00EA55D0" w:rsidRDefault="00601507" w:rsidP="005274C5">
      <w:pPr>
        <w:pStyle w:val="ListBullet"/>
      </w:pPr>
      <w:r w:rsidRPr="00EA55D0">
        <w:t>Residential aged care Non-Recurrent Income and Expenses</w:t>
      </w:r>
    </w:p>
    <w:p w14:paraId="79378CF0" w14:textId="77777777" w:rsidR="00F10C86" w:rsidRPr="00EA55D0" w:rsidRDefault="003160A3" w:rsidP="005274C5">
      <w:pPr>
        <w:pStyle w:val="ListBullet"/>
      </w:pPr>
      <w:r w:rsidRPr="00EA55D0">
        <w:t xml:space="preserve">Residential aged care </w:t>
      </w:r>
      <w:r w:rsidR="00CB0C47" w:rsidRPr="00EA55D0">
        <w:t>Balance Sheet</w:t>
      </w:r>
    </w:p>
    <w:p w14:paraId="38E26F6A" w14:textId="77777777" w:rsidR="00A71390" w:rsidRPr="00EA55D0" w:rsidRDefault="00F10C86" w:rsidP="005274C5">
      <w:pPr>
        <w:pStyle w:val="ListBullet"/>
      </w:pPr>
      <w:r w:rsidRPr="00EA55D0">
        <w:t>Care Minutes Performance Statement</w:t>
      </w:r>
    </w:p>
    <w:p w14:paraId="6FF45564" w14:textId="6C1D9BBD" w:rsidR="00A71390" w:rsidRPr="00EA55D0" w:rsidRDefault="005123BB" w:rsidP="005274C5">
      <w:pPr>
        <w:pStyle w:val="ListBullet"/>
      </w:pPr>
      <w:r w:rsidRPr="00EA55D0">
        <w:t xml:space="preserve">Registered </w:t>
      </w:r>
      <w:r w:rsidR="00A71390" w:rsidRPr="00EA55D0">
        <w:t>Provider Permitted Uses Reconciliation</w:t>
      </w:r>
    </w:p>
    <w:p w14:paraId="43A3ECEE" w14:textId="1D993BAA" w:rsidR="005C3B15" w:rsidRPr="004A17CD" w:rsidRDefault="00A71390" w:rsidP="005274C5">
      <w:pPr>
        <w:pStyle w:val="ListBullet"/>
      </w:pPr>
      <w:r w:rsidRPr="00EA55D0">
        <w:t>Financial Support Statement</w:t>
      </w:r>
      <w:r w:rsidR="00342DF6" w:rsidRPr="00EA55D0">
        <w:t xml:space="preserve"> </w:t>
      </w:r>
    </w:p>
    <w:p w14:paraId="4CB6E414" w14:textId="402028BB" w:rsidR="00591D82" w:rsidRPr="00EA55D0" w:rsidRDefault="00591D82" w:rsidP="00591D82">
      <w:r w:rsidRPr="00EA55D0">
        <w:t xml:space="preserve">The residential </w:t>
      </w:r>
      <w:r w:rsidR="00174000" w:rsidRPr="00EA55D0">
        <w:t xml:space="preserve">aged </w:t>
      </w:r>
      <w:r w:rsidRPr="00EA55D0">
        <w:t xml:space="preserve">care </w:t>
      </w:r>
      <w:r w:rsidR="003C136F" w:rsidRPr="00EA55D0">
        <w:t>forms</w:t>
      </w:r>
      <w:r w:rsidRPr="00EA55D0">
        <w:t xml:space="preserve"> within the ACFR should only include financial information related to residential aged care operations as defined under the Act</w:t>
      </w:r>
      <w:r w:rsidR="009660A3" w:rsidRPr="00EA55D0">
        <w:t>.</w:t>
      </w:r>
      <w:r w:rsidRPr="00EA55D0">
        <w:t xml:space="preserve"> </w:t>
      </w:r>
      <w:r w:rsidR="009660A3" w:rsidRPr="00EA55D0">
        <w:t>F</w:t>
      </w:r>
      <w:r w:rsidRPr="00EA55D0">
        <w:t xml:space="preserve">inancial information for other aged care operations such as </w:t>
      </w:r>
      <w:r w:rsidR="00725280" w:rsidRPr="00EA55D0">
        <w:t>Support at Home</w:t>
      </w:r>
      <w:r w:rsidRPr="00EA55D0">
        <w:t xml:space="preserve"> or flexible care, or independent living units for seniors is not to be included. </w:t>
      </w:r>
    </w:p>
    <w:p w14:paraId="2A45DBD7" w14:textId="0BD23C3D" w:rsidR="00591D82" w:rsidRDefault="00591D82" w:rsidP="00591D82">
      <w:r w:rsidRPr="00EA55D0">
        <w:t xml:space="preserve">The ACFR and GPFS must report on all </w:t>
      </w:r>
      <w:r w:rsidR="00FC0184">
        <w:t>homes</w:t>
      </w:r>
      <w:r w:rsidRPr="00EA55D0">
        <w:t xml:space="preserve"> a provider operated for all or part of the financial year. </w:t>
      </w:r>
    </w:p>
    <w:p w14:paraId="050254C3" w14:textId="33257452" w:rsidR="00591D82" w:rsidRPr="00271D9E" w:rsidRDefault="00B36A9E" w:rsidP="00271D9E">
      <w:pPr>
        <w:pStyle w:val="Heading2"/>
      </w:pPr>
      <w:bookmarkStart w:id="55" w:name="_Toc209078278"/>
      <w:r w:rsidRPr="00271D9E">
        <w:t>R</w:t>
      </w:r>
      <w:r w:rsidR="00591D82" w:rsidRPr="00271D9E">
        <w:t xml:space="preserve">esidential aged care </w:t>
      </w:r>
      <w:r w:rsidR="00EF6E46" w:rsidRPr="00271D9E">
        <w:t>I</w:t>
      </w:r>
      <w:r w:rsidR="00591D82" w:rsidRPr="00271D9E">
        <w:t xml:space="preserve">ncome and </w:t>
      </w:r>
      <w:r w:rsidR="00EF6E46" w:rsidRPr="00271D9E">
        <w:t>E</w:t>
      </w:r>
      <w:r w:rsidR="00591D82" w:rsidRPr="00271D9E">
        <w:t>xpenses</w:t>
      </w:r>
      <w:bookmarkEnd w:id="55"/>
      <w:r w:rsidR="00591D82" w:rsidRPr="00271D9E">
        <w:t xml:space="preserve"> </w:t>
      </w:r>
    </w:p>
    <w:p w14:paraId="457A6CCB" w14:textId="6F94D366" w:rsidR="00591D82" w:rsidRPr="00EA55D0" w:rsidRDefault="00591D82" w:rsidP="00591D82">
      <w:r w:rsidRPr="00EA55D0">
        <w:t xml:space="preserve">These </w:t>
      </w:r>
      <w:r w:rsidR="00ED6BC0" w:rsidRPr="00EA55D0">
        <w:t>forms</w:t>
      </w:r>
      <w:r w:rsidRPr="00EA55D0">
        <w:t xml:space="preserve"> must be completed for each </w:t>
      </w:r>
      <w:r w:rsidR="0043038B">
        <w:t xml:space="preserve">approved residential </w:t>
      </w:r>
      <w:r w:rsidRPr="00EA55D0">
        <w:t xml:space="preserve">care </w:t>
      </w:r>
      <w:r w:rsidR="00035EEC" w:rsidRPr="00EA55D0">
        <w:t>home</w:t>
      </w:r>
      <w:r w:rsidRPr="00EA55D0">
        <w:t xml:space="preserve"> operated by the </w:t>
      </w:r>
      <w:r w:rsidR="00EB555B" w:rsidRPr="00EA55D0">
        <w:t>Registered Provider</w:t>
      </w:r>
      <w:r w:rsidRPr="00EA55D0">
        <w:t xml:space="preserve"> and ha</w:t>
      </w:r>
      <w:r w:rsidR="00585247" w:rsidRPr="00EA55D0">
        <w:t>ve</w:t>
      </w:r>
      <w:r w:rsidRPr="00EA55D0">
        <w:t xml:space="preserve"> been pre-populated to include the Service ID(s) that constitute the </w:t>
      </w:r>
      <w:r w:rsidR="0043038B">
        <w:t>homes</w:t>
      </w:r>
      <w:r w:rsidRPr="00EA55D0">
        <w:t xml:space="preserve"> to be included.</w:t>
      </w:r>
    </w:p>
    <w:p w14:paraId="04AC8B2E" w14:textId="77777777" w:rsidR="00591D82" w:rsidRPr="00EA55D0" w:rsidRDefault="00591D82" w:rsidP="00591D82">
      <w:r w:rsidRPr="00EA55D0">
        <w:t>If there is no parent entity, the total residential aged care result must agree to the CSR residential segment result.</w:t>
      </w:r>
    </w:p>
    <w:p w14:paraId="13160C41" w14:textId="5F9290E7" w:rsidR="009A6391" w:rsidRPr="00EA55D0" w:rsidRDefault="009A6391" w:rsidP="00591D82">
      <w:r w:rsidRPr="00EA55D0">
        <w:t xml:space="preserve">The residential aged care income </w:t>
      </w:r>
      <w:r w:rsidR="007555C2" w:rsidRPr="00EA55D0">
        <w:t xml:space="preserve">form </w:t>
      </w:r>
      <w:r w:rsidRPr="00EA55D0">
        <w:t>includes</w:t>
      </w:r>
      <w:r w:rsidR="00F056EB" w:rsidRPr="00EA55D0">
        <w:t>:</w:t>
      </w:r>
    </w:p>
    <w:p w14:paraId="70450E4A" w14:textId="250E3AE4" w:rsidR="00F056EB" w:rsidRPr="00EA55D0" w:rsidRDefault="00F056EB" w:rsidP="005274C5">
      <w:pPr>
        <w:pStyle w:val="ListBullet"/>
      </w:pPr>
      <w:r w:rsidRPr="00EA55D0">
        <w:t xml:space="preserve">Care </w:t>
      </w:r>
      <w:r w:rsidR="00A7045E" w:rsidRPr="00EA55D0">
        <w:t>I</w:t>
      </w:r>
      <w:r w:rsidRPr="00EA55D0">
        <w:t>ncome</w:t>
      </w:r>
    </w:p>
    <w:p w14:paraId="789DA0E2" w14:textId="16A26FBB" w:rsidR="00F056EB" w:rsidRPr="00EA55D0" w:rsidRDefault="00F056EB" w:rsidP="005274C5">
      <w:pPr>
        <w:pStyle w:val="ListBullet"/>
      </w:pPr>
      <w:r w:rsidRPr="00EA55D0">
        <w:t>Hotel Services Income</w:t>
      </w:r>
    </w:p>
    <w:p w14:paraId="07BCFF9A" w14:textId="017CBA64" w:rsidR="00F056EB" w:rsidRPr="00EA55D0" w:rsidRDefault="00F056EB" w:rsidP="005274C5">
      <w:pPr>
        <w:pStyle w:val="ListBullet"/>
      </w:pPr>
      <w:r w:rsidRPr="00EA55D0">
        <w:t>Accommodation Income</w:t>
      </w:r>
    </w:p>
    <w:p w14:paraId="13BCACCF" w14:textId="417D4DB3" w:rsidR="00F056EB" w:rsidRPr="00EA55D0" w:rsidRDefault="00F056EB" w:rsidP="005274C5">
      <w:pPr>
        <w:pStyle w:val="ListBullet"/>
      </w:pPr>
      <w:r w:rsidRPr="00EA55D0">
        <w:t>Finance Income</w:t>
      </w:r>
    </w:p>
    <w:p w14:paraId="3BBECE4E" w14:textId="09CCEFD1" w:rsidR="00F056EB" w:rsidRPr="00EA55D0" w:rsidRDefault="00F056EB" w:rsidP="005274C5">
      <w:pPr>
        <w:pStyle w:val="ListBullet"/>
      </w:pPr>
      <w:r w:rsidRPr="00EA55D0">
        <w:t xml:space="preserve">Operational </w:t>
      </w:r>
      <w:r w:rsidR="007E6192" w:rsidRPr="00EA55D0">
        <w:t xml:space="preserve">and Occupied </w:t>
      </w:r>
      <w:r w:rsidRPr="00EA55D0">
        <w:t>Bed Days</w:t>
      </w:r>
    </w:p>
    <w:p w14:paraId="58037D69" w14:textId="20961527" w:rsidR="008A2319" w:rsidRPr="00EA55D0" w:rsidRDefault="008A2319" w:rsidP="005274C5">
      <w:pPr>
        <w:pStyle w:val="ListBullet"/>
      </w:pPr>
      <w:r w:rsidRPr="00EA55D0">
        <w:t xml:space="preserve">A question regarding how many residents </w:t>
      </w:r>
      <w:proofErr w:type="gramStart"/>
      <w:r w:rsidRPr="00EA55D0">
        <w:t>are</w:t>
      </w:r>
      <w:proofErr w:type="gramEnd"/>
      <w:r w:rsidRPr="00EA55D0">
        <w:t xml:space="preserve"> paying the Higher Everyday Living Fees / Additional Services Fees / Extra Services Fees</w:t>
      </w:r>
    </w:p>
    <w:p w14:paraId="6598ADBF" w14:textId="4C4183B0" w:rsidR="008A2319" w:rsidRPr="00EA55D0" w:rsidRDefault="007555C2" w:rsidP="008A2319">
      <w:r w:rsidRPr="00EA55D0">
        <w:t>The residential aged care expenses form includes:</w:t>
      </w:r>
    </w:p>
    <w:p w14:paraId="460CC832" w14:textId="52AFD974" w:rsidR="007555C2" w:rsidRPr="00EA55D0" w:rsidRDefault="00697FA4" w:rsidP="005274C5">
      <w:pPr>
        <w:pStyle w:val="ListBullet"/>
      </w:pPr>
      <w:r w:rsidRPr="00EA55D0">
        <w:t>Care expenses</w:t>
      </w:r>
    </w:p>
    <w:p w14:paraId="19BA4D66" w14:textId="6F871EB3" w:rsidR="00697FA4" w:rsidRPr="00EA55D0" w:rsidRDefault="005E3A7D" w:rsidP="005274C5">
      <w:pPr>
        <w:pStyle w:val="ListBullet"/>
      </w:pPr>
      <w:r w:rsidRPr="00EA55D0">
        <w:t>Labour worked hours – direct care</w:t>
      </w:r>
    </w:p>
    <w:p w14:paraId="12086D0E" w14:textId="1097CA5B" w:rsidR="005E3A7D" w:rsidRPr="00EA55D0" w:rsidRDefault="00AF45BD" w:rsidP="005274C5">
      <w:pPr>
        <w:pStyle w:val="ListBullet"/>
      </w:pPr>
      <w:r w:rsidRPr="00EA55D0">
        <w:t>Non-worked hours</w:t>
      </w:r>
    </w:p>
    <w:p w14:paraId="28A80053" w14:textId="0B5E6FD8" w:rsidR="00AF45BD" w:rsidRPr="00EA55D0" w:rsidRDefault="00AB23EA" w:rsidP="005274C5">
      <w:pPr>
        <w:pStyle w:val="ListBullet"/>
      </w:pPr>
      <w:r w:rsidRPr="00EA55D0">
        <w:t>Direct Care Minutes (worked) Per Occupied Bed Day (calculated)</w:t>
      </w:r>
    </w:p>
    <w:p w14:paraId="218A6573" w14:textId="3D1D7334" w:rsidR="00AB23EA" w:rsidRPr="00EA55D0" w:rsidRDefault="00AB23EA" w:rsidP="005274C5">
      <w:pPr>
        <w:pStyle w:val="ListBullet"/>
      </w:pPr>
      <w:r w:rsidRPr="00EA55D0">
        <w:t>Hotel Services Expenses</w:t>
      </w:r>
    </w:p>
    <w:p w14:paraId="082F204F" w14:textId="7E3BEEA4" w:rsidR="00AB23EA" w:rsidRPr="00EA55D0" w:rsidRDefault="00AB23EA" w:rsidP="005274C5">
      <w:pPr>
        <w:pStyle w:val="ListBullet"/>
      </w:pPr>
      <w:r w:rsidRPr="00EA55D0">
        <w:t>Administration Expenses</w:t>
      </w:r>
    </w:p>
    <w:p w14:paraId="77F16036" w14:textId="709F8C9D" w:rsidR="00AB23EA" w:rsidRPr="00EA55D0" w:rsidRDefault="00AB23EA" w:rsidP="005274C5">
      <w:pPr>
        <w:pStyle w:val="ListBullet"/>
      </w:pPr>
      <w:r w:rsidRPr="00EA55D0">
        <w:t>Accommodation Expenses</w:t>
      </w:r>
    </w:p>
    <w:p w14:paraId="77B816B8" w14:textId="77777777" w:rsidR="00AC3C0A" w:rsidRDefault="00D762E9" w:rsidP="005274C5">
      <w:pPr>
        <w:pStyle w:val="ListBullet"/>
      </w:pPr>
      <w:r w:rsidRPr="00EA55D0">
        <w:t>Percentage allocation of administration expenses to care, hotel and accommodation</w:t>
      </w:r>
    </w:p>
    <w:p w14:paraId="2936489B" w14:textId="421F50DF" w:rsidR="00CE75BC" w:rsidRPr="00EA55D0" w:rsidRDefault="00CE75BC" w:rsidP="005274C5">
      <w:pPr>
        <w:pStyle w:val="ListBullet"/>
      </w:pPr>
      <w:r w:rsidRPr="00CE75BC">
        <w:t>Higher Everyday Living/Additional Service/Extra Service Expenses</w:t>
      </w:r>
    </w:p>
    <w:p w14:paraId="6A64189C" w14:textId="500C0211" w:rsidR="00591D82" w:rsidRDefault="00591D82" w:rsidP="00AC3C0A">
      <w:r w:rsidRPr="00EA55D0">
        <w:t>Staff costs need to be accurately allocated to the respective Care, Hotel, Accommodation and Administration sections.</w:t>
      </w:r>
    </w:p>
    <w:p w14:paraId="4BD6B190" w14:textId="11B2AF63" w:rsidR="00035EEC" w:rsidRPr="00271D9E" w:rsidRDefault="00035EEC" w:rsidP="00271D9E">
      <w:pPr>
        <w:pStyle w:val="Heading2"/>
      </w:pPr>
      <w:bookmarkStart w:id="56" w:name="_Toc209078279"/>
      <w:r w:rsidRPr="00271D9E">
        <w:t>Residential aged care Balance Sheet</w:t>
      </w:r>
      <w:bookmarkEnd w:id="56"/>
    </w:p>
    <w:p w14:paraId="0666CEA3" w14:textId="4BA0367E" w:rsidR="00035EEC" w:rsidRPr="00EA55D0" w:rsidRDefault="00035EEC" w:rsidP="00035EEC">
      <w:r w:rsidRPr="00EA55D0">
        <w:t xml:space="preserve">This is the consolidated residential aged care segment Balance Sheet for all aged care </w:t>
      </w:r>
      <w:r w:rsidR="00502F4F" w:rsidRPr="00EA55D0">
        <w:t>homes</w:t>
      </w:r>
      <w:r w:rsidRPr="00EA55D0">
        <w:t xml:space="preserve"> operated by the Registered Provider.</w:t>
      </w:r>
    </w:p>
    <w:p w14:paraId="3111F737" w14:textId="77777777" w:rsidR="00035EEC" w:rsidRPr="00EA55D0" w:rsidRDefault="00035EEC" w:rsidP="00035EEC">
      <w:r w:rsidRPr="00EA55D0">
        <w:t>The department has adopted the liquidity format balance sheet due to the treatment of refundable loans (accommodation bonds, refundable accommodation deposits and entry contributions) as current liabilities do not reflect the true liquidity of the Registered Provider as these liabilities are not likely to be repaid in the next 12 months.</w:t>
      </w:r>
    </w:p>
    <w:p w14:paraId="1945D512" w14:textId="77777777" w:rsidR="00035EEC" w:rsidRPr="00EA55D0" w:rsidRDefault="00035EEC" w:rsidP="00035EEC">
      <w:r w:rsidRPr="00EA55D0">
        <w:t>If there is no parent entity, the total net assets must align to the CSR residential segment net assets.</w:t>
      </w:r>
    </w:p>
    <w:p w14:paraId="270BD015" w14:textId="77777777" w:rsidR="00035EEC" w:rsidRPr="00EA55D0" w:rsidRDefault="00035EEC" w:rsidP="00035EEC">
      <w:r w:rsidRPr="00EA55D0">
        <w:t>The opening balance of the residential segment equity must align to the closing balance from the previous year ACFR.</w:t>
      </w:r>
    </w:p>
    <w:p w14:paraId="0B3A867B" w14:textId="77777777" w:rsidR="00035EEC" w:rsidRDefault="00035EEC" w:rsidP="00035EEC">
      <w:r w:rsidRPr="00EA55D0">
        <w:t xml:space="preserve">The residential allocation for cash, financial assets, and the allocation of all other residual current assets should be included in the residential segment balance sheet under ‘Other Assets’. </w:t>
      </w:r>
    </w:p>
    <w:p w14:paraId="0CC9EDBB" w14:textId="68F6ECAF" w:rsidR="009464E9" w:rsidRPr="00271D9E" w:rsidRDefault="009464E9" w:rsidP="00271D9E">
      <w:pPr>
        <w:pStyle w:val="Heading2"/>
      </w:pPr>
      <w:r w:rsidRPr="00271D9E">
        <w:t xml:space="preserve">Care </w:t>
      </w:r>
      <w:r w:rsidR="00C936C1" w:rsidRPr="00271D9E">
        <w:t>M</w:t>
      </w:r>
      <w:r w:rsidRPr="00271D9E">
        <w:t xml:space="preserve">inutes </w:t>
      </w:r>
      <w:r w:rsidR="00C936C1" w:rsidRPr="00271D9E">
        <w:t>P</w:t>
      </w:r>
      <w:r w:rsidRPr="00271D9E">
        <w:t xml:space="preserve">erformance </w:t>
      </w:r>
      <w:r w:rsidR="00C936C1" w:rsidRPr="00271D9E">
        <w:t>S</w:t>
      </w:r>
      <w:r w:rsidRPr="00271D9E">
        <w:t xml:space="preserve">tatement </w:t>
      </w:r>
    </w:p>
    <w:p w14:paraId="39B1C705" w14:textId="7A82D09B" w:rsidR="009464E9" w:rsidRPr="00EA55D0" w:rsidRDefault="009464E9" w:rsidP="009464E9">
      <w:pPr>
        <w:pStyle w:val="NormalText"/>
      </w:pPr>
      <w:r w:rsidRPr="00EA55D0">
        <w:t xml:space="preserve">A </w:t>
      </w:r>
      <w:r w:rsidR="00326DF4" w:rsidRPr="00EA55D0">
        <w:t>C</w:t>
      </w:r>
      <w:r w:rsidRPr="00EA55D0">
        <w:t xml:space="preserve">are </w:t>
      </w:r>
      <w:r w:rsidR="00326DF4" w:rsidRPr="00EA55D0">
        <w:t>M</w:t>
      </w:r>
      <w:r w:rsidRPr="00EA55D0">
        <w:t xml:space="preserve">inutes </w:t>
      </w:r>
      <w:r w:rsidR="00326DF4" w:rsidRPr="00EA55D0">
        <w:t>P</w:t>
      </w:r>
      <w:r w:rsidRPr="00EA55D0">
        <w:t xml:space="preserve">erformance </w:t>
      </w:r>
      <w:r w:rsidR="00326DF4" w:rsidRPr="00EA55D0">
        <w:t>S</w:t>
      </w:r>
      <w:r w:rsidRPr="00EA55D0">
        <w:t xml:space="preserve">tatement </w:t>
      </w:r>
      <w:r w:rsidR="00FE135F" w:rsidRPr="00EA55D0">
        <w:t>is being</w:t>
      </w:r>
      <w:r w:rsidRPr="00EA55D0">
        <w:t xml:space="preserve"> introduced in the ACFR </w:t>
      </w:r>
      <w:r w:rsidR="00C936C1" w:rsidRPr="00EA55D0">
        <w:t>20</w:t>
      </w:r>
      <w:r w:rsidRPr="00EA55D0">
        <w:t>25-26. This will include</w:t>
      </w:r>
      <w:r w:rsidR="00504FA0" w:rsidRPr="00EA55D0">
        <w:t xml:space="preserve"> reporting of</w:t>
      </w:r>
      <w:r w:rsidRPr="00EA55D0">
        <w:t xml:space="preserve"> direct care minutes delivered, associated labour hours and costs, Registered Nurse coverage, and occupancy. This will not replace reporting in the QFR. </w:t>
      </w:r>
    </w:p>
    <w:p w14:paraId="742CEB79" w14:textId="424D3D4C" w:rsidR="009464E9" w:rsidRPr="00EA55D0" w:rsidRDefault="009464E9" w:rsidP="009464E9">
      <w:pPr>
        <w:pStyle w:val="NormalText"/>
      </w:pPr>
      <w:r w:rsidRPr="00EA55D0">
        <w:t xml:space="preserve">Providers will be required to engage an external registered auditor to complete an audit of their Care Minutes Performance Statement. This requirement applies to </w:t>
      </w:r>
      <w:r w:rsidRPr="00EA55D0" w:rsidDel="00910E8B">
        <w:t xml:space="preserve">all </w:t>
      </w:r>
      <w:r w:rsidRPr="00EA55D0">
        <w:t>residential aged care services, including specialised and non-specialised services, provided at all locations.</w:t>
      </w:r>
    </w:p>
    <w:p w14:paraId="7A5266EE" w14:textId="1E960E16" w:rsidR="009464E9" w:rsidRDefault="009464E9" w:rsidP="009464E9">
      <w:pPr>
        <w:pStyle w:val="NormalText"/>
      </w:pPr>
      <w:r w:rsidRPr="00EA55D0">
        <w:t>Further information is available</w:t>
      </w:r>
      <w:r w:rsidR="008B340A" w:rsidRPr="00EA55D0">
        <w:t xml:space="preserve"> at</w:t>
      </w:r>
      <w:r w:rsidRPr="00EA55D0">
        <w:t xml:space="preserve"> </w:t>
      </w:r>
      <w:hyperlink r:id="rId38" w:history="1">
        <w:r w:rsidR="008B340A" w:rsidRPr="00EA55D0">
          <w:rPr>
            <w:rStyle w:val="Hyperlink"/>
          </w:rPr>
          <w:t>Care Minutes Performance Statement | Australian Government Department of Health, Disability and Ageing</w:t>
        </w:r>
      </w:hyperlink>
    </w:p>
    <w:p w14:paraId="6575031A" w14:textId="63E2D6D4" w:rsidR="002F6E48" w:rsidRPr="00271D9E" w:rsidRDefault="002F6E48" w:rsidP="00271D9E">
      <w:pPr>
        <w:pStyle w:val="Heading2"/>
      </w:pPr>
      <w:r w:rsidRPr="00271D9E">
        <w:t>Registered Provider Permitted Uses Reconciliation</w:t>
      </w:r>
    </w:p>
    <w:p w14:paraId="5504FBF9" w14:textId="1B98C975" w:rsidR="002F6E48" w:rsidRPr="00EA55D0" w:rsidRDefault="002F6E48" w:rsidP="002F6E48">
      <w:r w:rsidRPr="00EA55D0">
        <w:t xml:space="preserve">The </w:t>
      </w:r>
      <w:r w:rsidR="00326DF4" w:rsidRPr="00EA55D0">
        <w:t>P</w:t>
      </w:r>
      <w:r w:rsidRPr="00EA55D0">
        <w:t xml:space="preserve">ermitted </w:t>
      </w:r>
      <w:r w:rsidR="00326DF4" w:rsidRPr="00EA55D0">
        <w:t>U</w:t>
      </w:r>
      <w:r w:rsidRPr="00EA55D0">
        <w:t xml:space="preserve">ses </w:t>
      </w:r>
      <w:r w:rsidR="00326DF4" w:rsidRPr="00EA55D0">
        <w:t>R</w:t>
      </w:r>
      <w:r w:rsidRPr="00EA55D0">
        <w:t>econciliation does not form part of the APCS and therefore does not need to be audited as part of the APCS audit.</w:t>
      </w:r>
    </w:p>
    <w:p w14:paraId="21461C76" w14:textId="5F26CB38" w:rsidR="002F6E48" w:rsidRPr="00EA55D0" w:rsidRDefault="0BC99233" w:rsidP="072B4159">
      <w:r w:rsidRPr="00EA55D0">
        <w:t>The aged care legislation defines the permitted uses of refundable deposits.</w:t>
      </w:r>
    </w:p>
    <w:p w14:paraId="3B435F24" w14:textId="5CF7012D" w:rsidR="002F6E48" w:rsidRPr="00EA55D0" w:rsidRDefault="0BC99233" w:rsidP="005274C5">
      <w:pPr>
        <w:pStyle w:val="ListBullet"/>
      </w:pPr>
      <w:r w:rsidRPr="00EA55D0">
        <w:t>For the period pre-1 November 2025, d</w:t>
      </w:r>
      <w:r w:rsidR="002F6E48" w:rsidRPr="00EA55D0">
        <w:t xml:space="preserve">ivision 52N of the </w:t>
      </w:r>
      <w:r w:rsidR="002F6E48" w:rsidRPr="00EA55D0">
        <w:rPr>
          <w:i/>
        </w:rPr>
        <w:t>Aged Care Act 1997</w:t>
      </w:r>
      <w:r w:rsidR="002F6E48" w:rsidRPr="00EA55D0">
        <w:t xml:space="preserve"> defines permitted uses and this is further regulated by Part 6 of the</w:t>
      </w:r>
      <w:r w:rsidR="002F6E48" w:rsidRPr="00EA55D0">
        <w:rPr>
          <w:i/>
        </w:rPr>
        <w:t xml:space="preserve"> Fees and Payments Principles 2014 (No 2)</w:t>
      </w:r>
      <w:r w:rsidR="002F6E48" w:rsidRPr="00EA55D0">
        <w:t>.</w:t>
      </w:r>
    </w:p>
    <w:p w14:paraId="538D378A" w14:textId="5F0513EF" w:rsidR="7B66B31C" w:rsidRPr="00EA55D0" w:rsidRDefault="7B66B31C" w:rsidP="005274C5">
      <w:pPr>
        <w:pStyle w:val="ListBullet"/>
      </w:pPr>
      <w:r w:rsidRPr="00EA55D0">
        <w:t xml:space="preserve">From 1 November 2025 onwards, section 310 of the </w:t>
      </w:r>
      <w:r w:rsidRPr="00EA55D0">
        <w:rPr>
          <w:i/>
          <w:iCs/>
        </w:rPr>
        <w:t>Aged Care Act 2024</w:t>
      </w:r>
      <w:r w:rsidRPr="00EA55D0">
        <w:t xml:space="preserve"> defines permitted uses</w:t>
      </w:r>
      <w:r w:rsidR="62667AA7" w:rsidRPr="00EA55D0">
        <w:t xml:space="preserve"> for refundable deposits</w:t>
      </w:r>
      <w:r w:rsidRPr="00EA55D0">
        <w:t xml:space="preserve">, </w:t>
      </w:r>
      <w:r w:rsidR="7391E332" w:rsidRPr="00EA55D0">
        <w:t xml:space="preserve">with further </w:t>
      </w:r>
      <w:r w:rsidRPr="00EA55D0">
        <w:t>regulat</w:t>
      </w:r>
      <w:r w:rsidR="55054939" w:rsidRPr="00EA55D0">
        <w:t>ions outlined</w:t>
      </w:r>
      <w:r w:rsidRPr="00EA55D0">
        <w:t xml:space="preserve"> in the </w:t>
      </w:r>
      <w:r w:rsidRPr="00EA55D0">
        <w:rPr>
          <w:i/>
          <w:iCs/>
        </w:rPr>
        <w:t>Aged Care Rules 2025</w:t>
      </w:r>
      <w:r w:rsidRPr="00EA55D0">
        <w:t>.</w:t>
      </w:r>
      <w:r w:rsidR="7D26D712" w:rsidRPr="00EA55D0">
        <w:t xml:space="preserve"> Permitted uses of accommodation bonds are outlined in section 287-101 of the Rules. </w:t>
      </w:r>
      <w:r w:rsidRPr="00EA55D0">
        <w:t xml:space="preserve"> </w:t>
      </w:r>
    </w:p>
    <w:p w14:paraId="22A5C032" w14:textId="77777777" w:rsidR="002F6E48" w:rsidRDefault="002F6E48" w:rsidP="002F6E48">
      <w:r w:rsidRPr="00EA55D0">
        <w:t>The Permitted Uses Reconciliation is intended to help providers determine if RAD/Bond monies have been utilised in accordance with the above legislation. A surplus or deficit reported in the reconciliation does not automatically imply compliance or non-compliance to prudential standards.</w:t>
      </w:r>
    </w:p>
    <w:p w14:paraId="65CFA8ED" w14:textId="10587A61" w:rsidR="00120008" w:rsidRPr="00271D9E" w:rsidRDefault="26267DD5" w:rsidP="00271D9E">
      <w:pPr>
        <w:pStyle w:val="Heading2"/>
      </w:pPr>
      <w:r w:rsidRPr="00271D9E">
        <w:t>Financial Support Statement</w:t>
      </w:r>
    </w:p>
    <w:p w14:paraId="13DFBA0B" w14:textId="1292847B" w:rsidR="3AF6033A" w:rsidRPr="00EA55D0" w:rsidRDefault="3AF6033A" w:rsidP="4E8F1F79">
      <w:r w:rsidRPr="00EA55D0">
        <w:rPr>
          <w:rFonts w:cs="Arial"/>
          <w:color w:val="000000"/>
        </w:rPr>
        <w:t>A</w:t>
      </w:r>
      <w:r w:rsidRPr="00EA55D0">
        <w:rPr>
          <w:color w:val="1E1545" w:themeColor="text2"/>
        </w:rPr>
        <w:t xml:space="preserve"> financial support statement is required if:</w:t>
      </w:r>
    </w:p>
    <w:p w14:paraId="15F88CEE" w14:textId="7934A339" w:rsidR="3AF6033A" w:rsidRPr="00EA55D0" w:rsidRDefault="3AF6033A" w:rsidP="005274C5">
      <w:pPr>
        <w:pStyle w:val="ListBullet"/>
      </w:pPr>
      <w:r w:rsidRPr="00EA55D0">
        <w:t>the provider provides a residential care service; and</w:t>
      </w:r>
    </w:p>
    <w:p w14:paraId="1118FCC3" w14:textId="0D7784CF" w:rsidR="3AF6033A" w:rsidRPr="00EA55D0" w:rsidRDefault="3AF6033A" w:rsidP="005274C5">
      <w:pPr>
        <w:pStyle w:val="ListBullet"/>
      </w:pPr>
      <w:r w:rsidRPr="00EA55D0">
        <w:t>the provider is not a State, a Territory, an authority of a State or Territory or a local government authority; and</w:t>
      </w:r>
    </w:p>
    <w:p w14:paraId="5628C41D" w14:textId="51572302" w:rsidR="3AF6033A" w:rsidRPr="00EA55D0" w:rsidRDefault="3AF6033A" w:rsidP="005274C5">
      <w:pPr>
        <w:pStyle w:val="ListBullet"/>
      </w:pPr>
      <w:r w:rsidRPr="00EA55D0">
        <w:t>the provider is a subsidiary of another body corporate.</w:t>
      </w:r>
    </w:p>
    <w:p w14:paraId="59F522B3" w14:textId="7F4A24AE" w:rsidR="3AF6033A" w:rsidRPr="00EA55D0" w:rsidRDefault="3AF6033A" w:rsidP="4E8F1F79">
      <w:r w:rsidRPr="00EA55D0">
        <w:t xml:space="preserve">A financial support statement, for a </w:t>
      </w:r>
      <w:r w:rsidR="001C378C">
        <w:t>registered</w:t>
      </w:r>
      <w:r w:rsidRPr="00EA55D0">
        <w:t xml:space="preserve"> provider, is a written/signed statement by the ultimate holding company that either:</w:t>
      </w:r>
    </w:p>
    <w:p w14:paraId="78D96135" w14:textId="5A6E15CE" w:rsidR="3AF6033A" w:rsidRPr="00EA55D0" w:rsidRDefault="3AF6033A" w:rsidP="005274C5">
      <w:pPr>
        <w:pStyle w:val="ListBullet"/>
      </w:pPr>
      <w:r w:rsidRPr="00EA55D0">
        <w:t>states that the ultimate holding company is willing and able, while the provider remains a</w:t>
      </w:r>
      <w:r w:rsidR="003819A6">
        <w:t xml:space="preserve"> registered </w:t>
      </w:r>
      <w:r w:rsidRPr="00EA55D0">
        <w:t xml:space="preserve">provider, to provide any financial support to the provider that is needed </w:t>
      </w:r>
      <w:proofErr w:type="gramStart"/>
      <w:r w:rsidRPr="00EA55D0">
        <w:t>in order to</w:t>
      </w:r>
      <w:proofErr w:type="gramEnd"/>
      <w:r w:rsidRPr="00EA55D0">
        <w:t xml:space="preserve"> enable the provider to pay the debts of the provider</w:t>
      </w:r>
    </w:p>
    <w:p w14:paraId="042BAFDA" w14:textId="4C475D92" w:rsidR="3AF6033A" w:rsidRPr="00EA55D0" w:rsidRDefault="3AF6033A" w:rsidP="005274C5">
      <w:pPr>
        <w:pStyle w:val="ListBullet"/>
      </w:pPr>
      <w:r w:rsidRPr="00EA55D0">
        <w:t>states that the ultimate holding company is not willing and able, while the provider remains a</w:t>
      </w:r>
      <w:r w:rsidR="0053751E">
        <w:t xml:space="preserve"> </w:t>
      </w:r>
      <w:r w:rsidR="001377CF">
        <w:t>registered</w:t>
      </w:r>
      <w:r w:rsidRPr="00EA55D0">
        <w:t xml:space="preserve"> provider, to provide such financial support to the provider.</w:t>
      </w:r>
    </w:p>
    <w:p w14:paraId="3058072A" w14:textId="27BE0B2D" w:rsidR="00AD57C2" w:rsidRPr="00EA55D0" w:rsidRDefault="5D57622E" w:rsidP="005274C5">
      <w:r w:rsidRPr="00EA55D0">
        <w:t xml:space="preserve">Refer to the </w:t>
      </w:r>
      <w:r w:rsidR="03760EC7" w:rsidRPr="00EA55D0">
        <w:rPr>
          <w:i/>
        </w:rPr>
        <w:t xml:space="preserve">Aged Care Rules </w:t>
      </w:r>
      <w:r w:rsidR="03760EC7" w:rsidRPr="00EA55D0">
        <w:rPr>
          <w:i/>
          <w:iCs/>
        </w:rPr>
        <w:t>2025</w:t>
      </w:r>
      <w:r w:rsidRPr="00EA55D0">
        <w:rPr>
          <w:i/>
        </w:rPr>
        <w:t xml:space="preserve"> </w:t>
      </w:r>
      <w:r w:rsidR="00C00AB5" w:rsidRPr="002E3F77">
        <w:rPr>
          <w:iCs/>
        </w:rPr>
        <w:t>sections 166-315</w:t>
      </w:r>
      <w:r w:rsidR="004F77B1" w:rsidRPr="002E3F77">
        <w:rPr>
          <w:iCs/>
        </w:rPr>
        <w:t xml:space="preserve"> and 166-320</w:t>
      </w:r>
      <w:r w:rsidR="004F77B1">
        <w:rPr>
          <w:i/>
        </w:rPr>
        <w:t xml:space="preserve"> </w:t>
      </w:r>
      <w:r w:rsidRPr="00EA55D0">
        <w:t>for further details.</w:t>
      </w:r>
    </w:p>
    <w:p w14:paraId="33EB65D9" w14:textId="2D5B9C47" w:rsidR="00DF54E2" w:rsidRPr="00271D9E" w:rsidRDefault="00DF54E2" w:rsidP="00271D9E">
      <w:pPr>
        <w:pStyle w:val="Heading2"/>
      </w:pPr>
      <w:r w:rsidRPr="00271D9E">
        <w:t xml:space="preserve">Government providers </w:t>
      </w:r>
    </w:p>
    <w:p w14:paraId="0CDEEE99" w14:textId="77777777" w:rsidR="007753C2" w:rsidRPr="00EA55D0" w:rsidRDefault="00DF54E2" w:rsidP="00DF54E2">
      <w:r w:rsidRPr="00EA55D0">
        <w:t xml:space="preserve">All government residential aged care providers must complete </w:t>
      </w:r>
      <w:r w:rsidR="007753C2" w:rsidRPr="00EA55D0">
        <w:t>the:</w:t>
      </w:r>
    </w:p>
    <w:p w14:paraId="3AA32C8A" w14:textId="77777777" w:rsidR="007753C2" w:rsidRPr="00EA55D0" w:rsidRDefault="007753C2" w:rsidP="005274C5">
      <w:pPr>
        <w:pStyle w:val="ListBullet"/>
      </w:pPr>
      <w:r w:rsidRPr="00EA55D0">
        <w:t>Residential aged care home Income and Expenditure Statement (data is linked from Income and Expenses forms)</w:t>
      </w:r>
    </w:p>
    <w:p w14:paraId="20F08433" w14:textId="77777777" w:rsidR="007753C2" w:rsidRPr="00EA55D0" w:rsidRDefault="007753C2" w:rsidP="005274C5">
      <w:pPr>
        <w:pStyle w:val="ListBullet"/>
      </w:pPr>
      <w:r w:rsidRPr="00EA55D0">
        <w:t>Residential aged care home Income</w:t>
      </w:r>
    </w:p>
    <w:p w14:paraId="460C58BE" w14:textId="77777777" w:rsidR="007753C2" w:rsidRPr="00EA55D0" w:rsidRDefault="007753C2" w:rsidP="005274C5">
      <w:pPr>
        <w:pStyle w:val="ListBullet"/>
      </w:pPr>
      <w:r w:rsidRPr="00EA55D0">
        <w:t>Residential aged care home Expenditure</w:t>
      </w:r>
    </w:p>
    <w:p w14:paraId="62B53E0C" w14:textId="77777777" w:rsidR="007753C2" w:rsidRPr="00EA55D0" w:rsidRDefault="007753C2" w:rsidP="005274C5">
      <w:pPr>
        <w:pStyle w:val="ListBullet"/>
      </w:pPr>
      <w:r w:rsidRPr="00EA55D0">
        <w:t>Residential aged care home Income and Expenditure Statement Per Resident Per Day (data is calculated from other forms)</w:t>
      </w:r>
    </w:p>
    <w:p w14:paraId="5E1A4812" w14:textId="77777777" w:rsidR="007753C2" w:rsidRPr="00EA55D0" w:rsidRDefault="007753C2" w:rsidP="005274C5">
      <w:pPr>
        <w:pStyle w:val="ListBullet"/>
      </w:pPr>
      <w:r w:rsidRPr="00EA55D0">
        <w:t>Residential aged care Non-Recurrent Income and Expenses</w:t>
      </w:r>
    </w:p>
    <w:p w14:paraId="314BC217" w14:textId="77777777" w:rsidR="007753C2" w:rsidRPr="00EA55D0" w:rsidRDefault="007753C2" w:rsidP="005274C5">
      <w:pPr>
        <w:pStyle w:val="ListBullet"/>
      </w:pPr>
      <w:r w:rsidRPr="00EA55D0">
        <w:t>Residential aged care Balance Sheet</w:t>
      </w:r>
    </w:p>
    <w:p w14:paraId="4261C73E" w14:textId="77777777" w:rsidR="007753C2" w:rsidRPr="00EA55D0" w:rsidRDefault="007753C2" w:rsidP="005274C5">
      <w:pPr>
        <w:pStyle w:val="ListBullet"/>
      </w:pPr>
      <w:r w:rsidRPr="00EA55D0">
        <w:t>Care Minutes Performance Statement</w:t>
      </w:r>
    </w:p>
    <w:p w14:paraId="3C257C07" w14:textId="38162033" w:rsidR="007753C2" w:rsidRPr="00EA55D0" w:rsidRDefault="007753C2" w:rsidP="005274C5">
      <w:pPr>
        <w:pStyle w:val="ListBullet"/>
      </w:pPr>
      <w:r w:rsidRPr="00EA55D0">
        <w:t>Registered Provider Permitted Uses Reconciliation</w:t>
      </w:r>
    </w:p>
    <w:p w14:paraId="1043B9A1" w14:textId="73885DC3" w:rsidR="007753C2" w:rsidRPr="005274C5" w:rsidRDefault="007753C2" w:rsidP="005274C5">
      <w:r w:rsidRPr="005274C5">
        <w:t>Government residential aged care providers do not have to complete the:</w:t>
      </w:r>
    </w:p>
    <w:p w14:paraId="0513DE9B" w14:textId="77777777" w:rsidR="007753C2" w:rsidRPr="00EA55D0" w:rsidRDefault="007753C2" w:rsidP="005274C5">
      <w:pPr>
        <w:pStyle w:val="ListBullet"/>
      </w:pPr>
      <w:r w:rsidRPr="00EA55D0">
        <w:t xml:space="preserve">Financial Support Statement </w:t>
      </w:r>
    </w:p>
    <w:p w14:paraId="122E5B36" w14:textId="2E871CBF" w:rsidR="00785A48" w:rsidRPr="00271D9E" w:rsidRDefault="00591D82" w:rsidP="00271D9E">
      <w:pPr>
        <w:pStyle w:val="Heading2"/>
        <w:rPr>
          <w:rFonts w:eastAsiaTheme="minorHAnsi"/>
        </w:rPr>
      </w:pPr>
      <w:r w:rsidRPr="00271D9E">
        <w:rPr>
          <w:rFonts w:eastAsiaTheme="minorHAnsi"/>
        </w:rPr>
        <w:t xml:space="preserve">Residential aged care </w:t>
      </w:r>
      <w:r w:rsidR="001F6C30" w:rsidRPr="00271D9E">
        <w:rPr>
          <w:rFonts w:eastAsiaTheme="minorHAnsi"/>
        </w:rPr>
        <w:t>reporting</w:t>
      </w:r>
      <w:r w:rsidRPr="00271D9E">
        <w:rPr>
          <w:rFonts w:eastAsiaTheme="minorHAnsi"/>
        </w:rPr>
        <w:t xml:space="preserve"> FAQs</w:t>
      </w:r>
    </w:p>
    <w:p w14:paraId="7E366961" w14:textId="106693C5" w:rsidR="00785A48" w:rsidRDefault="00785A48" w:rsidP="006D27F3">
      <w:pPr>
        <w:pStyle w:val="Heading3"/>
      </w:pPr>
      <w:r>
        <w:t>What are the administration expenses associated with Care, Hotel and Accommodation?</w:t>
      </w:r>
    </w:p>
    <w:p w14:paraId="45E79FD0" w14:textId="77777777" w:rsidR="005462C7" w:rsidRPr="005274C5" w:rsidRDefault="00785A48" w:rsidP="005274C5">
      <w:r w:rsidRPr="005274C5">
        <w:t xml:space="preserve">The ACFR definitions </w:t>
      </w:r>
      <w:r w:rsidR="00EA2A46" w:rsidRPr="005274C5">
        <w:t xml:space="preserve">provide examples of administration expenses that need to be reported in the ACFR. The ACFR also asks providers to input proportions (%) that allocate </w:t>
      </w:r>
      <w:r w:rsidR="005462C7" w:rsidRPr="005274C5">
        <w:t>out the total administration cost to the following categories:</w:t>
      </w:r>
    </w:p>
    <w:p w14:paraId="2D3B4955" w14:textId="77777777" w:rsidR="00576BC4" w:rsidRPr="00E22085" w:rsidRDefault="00576BC4" w:rsidP="005274C5">
      <w:pPr>
        <w:pStyle w:val="ListBullet"/>
        <w:rPr>
          <w:rFonts w:eastAsiaTheme="minorHAnsi"/>
        </w:rPr>
      </w:pPr>
      <w:r>
        <w:t xml:space="preserve">Care: Costs associated with administration of direct care, resident expenses, and consumables. </w:t>
      </w:r>
    </w:p>
    <w:p w14:paraId="241E0AF5" w14:textId="77777777" w:rsidR="008E541C" w:rsidRPr="005274C5" w:rsidRDefault="00576BC4" w:rsidP="005274C5">
      <w:pPr>
        <w:pStyle w:val="ListBullet"/>
        <w:rPr>
          <w:rFonts w:eastAsiaTheme="minorHAnsi"/>
        </w:rPr>
      </w:pPr>
      <w:r>
        <w:t>Hotel: Costs associated with administration of catering, cleaning and laundry servic</w:t>
      </w:r>
      <w:r w:rsidRPr="005274C5">
        <w:t xml:space="preserve">es. </w:t>
      </w:r>
    </w:p>
    <w:p w14:paraId="50EA8EDE" w14:textId="4A3FB1E0" w:rsidR="00591D82" w:rsidRPr="00C8403F" w:rsidRDefault="00576BC4" w:rsidP="00271D9E">
      <w:pPr>
        <w:pStyle w:val="ListBullet"/>
      </w:pPr>
      <w:r w:rsidRPr="008E541C">
        <w:t xml:space="preserve">Accommodation: Costs associated with administration of building occupation, maintenance, and </w:t>
      </w:r>
      <w:proofErr w:type="spellStart"/>
      <w:proofErr w:type="gramStart"/>
      <w:r w:rsidRPr="008E541C">
        <w:t>interest.</w:t>
      </w:r>
      <w:r w:rsidR="00591D82" w:rsidRPr="00C8403F">
        <w:t>What</w:t>
      </w:r>
      <w:proofErr w:type="spellEnd"/>
      <w:proofErr w:type="gramEnd"/>
      <w:r w:rsidR="00591D82" w:rsidRPr="00C8403F">
        <w:t xml:space="preserve"> is the purpose of apportioning our administration costs across Care, Hotel and Accommodation? </w:t>
      </w:r>
    </w:p>
    <w:p w14:paraId="5177B9E2" w14:textId="05C05A64" w:rsidR="00591D82" w:rsidRPr="00C8403F" w:rsidRDefault="00591D82" w:rsidP="00C8403F">
      <w:r w:rsidRPr="00C8403F">
        <w:t xml:space="preserve">Providers </w:t>
      </w:r>
      <w:r w:rsidR="008C732A">
        <w:t>are asked</w:t>
      </w:r>
      <w:r w:rsidR="008C732A" w:rsidRPr="00C8403F">
        <w:t xml:space="preserve"> </w:t>
      </w:r>
      <w:r w:rsidRPr="00C8403F">
        <w:t xml:space="preserve">to allocate administration expenses to the residential </w:t>
      </w:r>
      <w:r w:rsidR="00207CAC" w:rsidRPr="00C8403F">
        <w:t xml:space="preserve">aged </w:t>
      </w:r>
      <w:r w:rsidRPr="00C8403F">
        <w:t>care level and split this amount between Care, Hotel and Accommodation using a data-driven approach. This would take into consideration the underlying drivers of administration activity for the eight sub</w:t>
      </w:r>
      <w:r w:rsidR="00313D73" w:rsidRPr="00C8403F">
        <w:t>-</w:t>
      </w:r>
      <w:r w:rsidRPr="00C8403F">
        <w:t xml:space="preserve">categories listed under the “Residential (Expenses)” section. This data is used to support costing studies and subsequently Australian National Aged Care Classification (AN-ACC) pricing for the sector. Administration allocation percentages will continue to be collected at the entity/provider level and are not required at the </w:t>
      </w:r>
      <w:r w:rsidR="001632E1">
        <w:t>approved resid</w:t>
      </w:r>
      <w:r w:rsidR="00A0238B">
        <w:t>ential care home</w:t>
      </w:r>
      <w:r w:rsidRPr="00C8403F">
        <w:t xml:space="preserve"> level. </w:t>
      </w:r>
    </w:p>
    <w:p w14:paraId="7922E7C4" w14:textId="0897B8E4" w:rsidR="00591D82" w:rsidRPr="00EA55D0" w:rsidRDefault="00591D82" w:rsidP="006D27F3">
      <w:pPr>
        <w:pStyle w:val="Heading3"/>
      </w:pPr>
      <w:r w:rsidRPr="00EA55D0">
        <w:t>Can the department provide an example of apportioning administration costs across Care, Hotel and Accommodation?</w:t>
      </w:r>
    </w:p>
    <w:p w14:paraId="4B225425" w14:textId="77777777" w:rsidR="00591D82" w:rsidRPr="00EA55D0" w:rsidRDefault="00591D82" w:rsidP="00591D82">
      <w:r w:rsidRPr="00EA55D0">
        <w:t>Below is an example of how insurance could be allocated between Care, Hotel and Accommodation.</w:t>
      </w:r>
    </w:p>
    <w:p w14:paraId="7F02F8B6" w14:textId="2AD47E66" w:rsidR="001A1103" w:rsidRPr="00EA55D0" w:rsidRDefault="00591D82" w:rsidP="005274C5">
      <w:pPr>
        <w:pStyle w:val="ListNumber"/>
      </w:pPr>
      <w:r w:rsidRPr="00EA55D0">
        <w:t>Identify the expenses associated with the admin</w:t>
      </w:r>
      <w:r w:rsidR="003A5AED">
        <w:t>istration</w:t>
      </w:r>
      <w:r w:rsidRPr="00EA55D0">
        <w:t xml:space="preserve"> expense sub-category. In this example, insurance could include professional indemnity, volunteers, public liability, rental property, building and contents and motor vehicle insurance.</w:t>
      </w:r>
    </w:p>
    <w:p w14:paraId="300C6630" w14:textId="2042E510" w:rsidR="009B2687" w:rsidRPr="00EA55D0" w:rsidRDefault="00591D82" w:rsidP="005274C5">
      <w:pPr>
        <w:pStyle w:val="ListNumber"/>
      </w:pPr>
      <w:r w:rsidRPr="00EA55D0">
        <w:t xml:space="preserve">Assess whether the insurance expense relates to Care, Hotel or Accommodation, or a combination of these categories. </w:t>
      </w:r>
    </w:p>
    <w:p w14:paraId="32092B8B" w14:textId="77777777" w:rsidR="005A2BFE" w:rsidRPr="00EA55D0" w:rsidRDefault="009B2687" w:rsidP="005274C5">
      <w:pPr>
        <w:pStyle w:val="ListNumber"/>
      </w:pPr>
      <w:r w:rsidRPr="00EA55D0">
        <w:t>A</w:t>
      </w:r>
      <w:r w:rsidR="00591D82" w:rsidRPr="00EA55D0">
        <w:t>llocate expenditure based on the assessment on Step 2. For example, a provider could attribute 100% of building and contents insurance cost to accommodation, whilst proportionally allocating professional indemnity insurance between Care, Hotel and Accommodation based on the employee expenses incurred in these categories.</w:t>
      </w:r>
    </w:p>
    <w:p w14:paraId="653C93C6" w14:textId="12751DE9" w:rsidR="00591D82" w:rsidRPr="00EA55D0" w:rsidRDefault="00591D82" w:rsidP="005274C5">
      <w:pPr>
        <w:pStyle w:val="ListNumber"/>
      </w:pPr>
      <w:r w:rsidRPr="00EA55D0">
        <w:t xml:space="preserve">Finally, once all administration costs are allocated out to Care, Hotel, and Accommodation, divide each category’s total by the total administration cost to determine the administration allocation percentage attributable to each category that is reported in the ACFR. </w:t>
      </w:r>
    </w:p>
    <w:p w14:paraId="5FFE087E" w14:textId="3E3E946F" w:rsidR="00591D82" w:rsidRPr="00EA55D0" w:rsidRDefault="00591D82" w:rsidP="00591D82">
      <w:r w:rsidRPr="00EA55D0">
        <w:t xml:space="preserve">The department recognises the difficulty in perfectly allocating administration </w:t>
      </w:r>
      <w:r w:rsidR="004F1262" w:rsidRPr="00EA55D0">
        <w:t>expenses;</w:t>
      </w:r>
      <w:r w:rsidRPr="00EA55D0">
        <w:t xml:space="preserve"> however, we ask that providers allocate based on reasonable data-driven assumptions. For any questions, the</w:t>
      </w:r>
      <w:r w:rsidR="00FA60DF" w:rsidRPr="00EA55D0">
        <w:t xml:space="preserve"> residential aged care help desk can assist. </w:t>
      </w:r>
      <w:r w:rsidRPr="00EA55D0">
        <w:t xml:space="preserve"> </w:t>
      </w:r>
    </w:p>
    <w:p w14:paraId="6E440583" w14:textId="07A6082F" w:rsidR="00591D82" w:rsidRPr="00EA55D0" w:rsidRDefault="00591D82" w:rsidP="006D27F3">
      <w:pPr>
        <w:pStyle w:val="Heading3"/>
      </w:pPr>
      <w:r w:rsidRPr="00EA55D0">
        <w:t xml:space="preserve">If a provider has a general ledger that does not allow for easy identification of certain expenses such as diversional therapists, nutritional supplements or incontinence supplies etc., can the expenses be reported together as one?  </w:t>
      </w:r>
    </w:p>
    <w:p w14:paraId="429470C6" w14:textId="3E9C7BD6" w:rsidR="00591D82" w:rsidRPr="00EA55D0" w:rsidRDefault="002C71AF" w:rsidP="00591D82">
      <w:r w:rsidRPr="00EA55D0">
        <w:t>Where possible, t</w:t>
      </w:r>
      <w:r w:rsidR="00591D82" w:rsidRPr="00EA55D0">
        <w:t xml:space="preserve">he </w:t>
      </w:r>
      <w:r w:rsidR="00B178E3" w:rsidRPr="00EA55D0">
        <w:t xml:space="preserve">general ledger </w:t>
      </w:r>
      <w:r w:rsidR="00591D82" w:rsidRPr="00EA55D0">
        <w:t xml:space="preserve">chart of accounts should be </w:t>
      </w:r>
      <w:r w:rsidR="00B178E3" w:rsidRPr="00EA55D0">
        <w:t xml:space="preserve">set up to be able to capture </w:t>
      </w:r>
      <w:r w:rsidR="000A51E7" w:rsidRPr="00EA55D0">
        <w:t>each expense category</w:t>
      </w:r>
      <w:r w:rsidR="00C814AE" w:rsidRPr="00EA55D0">
        <w:t xml:space="preserve">. If not, alternative processes will need to be used to separately identify </w:t>
      </w:r>
      <w:r w:rsidR="007543E6" w:rsidRPr="00EA55D0">
        <w:t xml:space="preserve">expenses. </w:t>
      </w:r>
    </w:p>
    <w:p w14:paraId="53B721FD" w14:textId="7C778412" w:rsidR="00591D82" w:rsidRPr="00EA55D0" w:rsidRDefault="00591D82" w:rsidP="006D27F3">
      <w:pPr>
        <w:pStyle w:val="Heading3"/>
      </w:pPr>
      <w:r w:rsidRPr="00EA55D0">
        <w:t xml:space="preserve">Where do providers report income and expenditure for </w:t>
      </w:r>
      <w:r w:rsidR="007F34B9" w:rsidRPr="00EA55D0">
        <w:t xml:space="preserve">residential aged care </w:t>
      </w:r>
      <w:r w:rsidRPr="00EA55D0">
        <w:t xml:space="preserve">sites that are either under construction or </w:t>
      </w:r>
      <w:r w:rsidR="007F34B9" w:rsidRPr="00EA55D0">
        <w:t>not yet operational</w:t>
      </w:r>
      <w:r w:rsidR="00C27885" w:rsidRPr="00EA55D0">
        <w:t>?</w:t>
      </w:r>
    </w:p>
    <w:p w14:paraId="339FBA62" w14:textId="4B55EE46" w:rsidR="00591D82" w:rsidRPr="00EA55D0" w:rsidRDefault="00591D82" w:rsidP="00591D82">
      <w:r w:rsidRPr="00EA55D0">
        <w:t xml:space="preserve">If the sites are either under construction, or </w:t>
      </w:r>
      <w:r w:rsidR="007F34B9" w:rsidRPr="00EA55D0">
        <w:t>not yet operational,</w:t>
      </w:r>
      <w:r w:rsidRPr="00EA55D0">
        <w:t xml:space="preserve"> the assets should be reported as ‘Capital Work in Progress’ or within ‘Property Plant and Equipment’ in the residential balance sheet. The income and expenditure relevant to these offline </w:t>
      </w:r>
      <w:r w:rsidR="00767F87">
        <w:t xml:space="preserve">approved residential care homes </w:t>
      </w:r>
      <w:r w:rsidRPr="00EA55D0">
        <w:t xml:space="preserve">should be reported as ‘Other’ in the ‘Residential Non-Recurrent income and expenses section of the ACFR. </w:t>
      </w:r>
    </w:p>
    <w:p w14:paraId="11BE026B" w14:textId="3F26E5F3" w:rsidR="00591D82" w:rsidRPr="00EA55D0" w:rsidRDefault="00591D82" w:rsidP="00591D82">
      <w:r w:rsidRPr="00EA55D0">
        <w:t xml:space="preserve">Where the site is currently being used for a purpose outside of residential aged care according to the </w:t>
      </w:r>
      <w:r w:rsidRPr="00EA55D0">
        <w:rPr>
          <w:i/>
        </w:rPr>
        <w:t xml:space="preserve">Aged Care Act </w:t>
      </w:r>
      <w:r w:rsidR="00B858E8" w:rsidRPr="00EA55D0">
        <w:rPr>
          <w:i/>
        </w:rPr>
        <w:t>2024</w:t>
      </w:r>
      <w:r w:rsidRPr="00EA55D0">
        <w:t xml:space="preserve">, that site, and its income and expenditure should only be reported at the </w:t>
      </w:r>
      <w:r w:rsidR="00EB555B" w:rsidRPr="00EA55D0">
        <w:t>Registered Provider</w:t>
      </w:r>
      <w:r w:rsidRPr="00EA55D0">
        <w:t xml:space="preserve"> level. </w:t>
      </w:r>
    </w:p>
    <w:p w14:paraId="416F7AEB" w14:textId="10129E81" w:rsidR="00591D82" w:rsidRPr="00EA55D0" w:rsidRDefault="00591D82" w:rsidP="006D27F3">
      <w:pPr>
        <w:pStyle w:val="Heading3"/>
      </w:pPr>
      <w:r w:rsidRPr="00EA55D0">
        <w:t xml:space="preserve">If all the staff of the </w:t>
      </w:r>
      <w:r w:rsidR="00167412" w:rsidRPr="00EA55D0">
        <w:t>Registered P</w:t>
      </w:r>
      <w:r w:rsidRPr="00EA55D0">
        <w:t xml:space="preserve">rovider are employed by its related party entity, how should labour costs be reported in the ACFR?  </w:t>
      </w:r>
    </w:p>
    <w:p w14:paraId="6CCB5E1D" w14:textId="75827338" w:rsidR="00591D82" w:rsidRPr="00EA55D0" w:rsidRDefault="00591D82" w:rsidP="00591D82">
      <w:r w:rsidRPr="00EA55D0">
        <w:t>If a provider does not directly employ their staff and the related part</w:t>
      </w:r>
      <w:r w:rsidR="008743C7" w:rsidRPr="00EA55D0">
        <w:t>y</w:t>
      </w:r>
      <w:r w:rsidRPr="00EA55D0">
        <w:t xml:space="preserve"> entity does, the provider should report it under employee staff costs. Agency staff reporting items capture the costs of engaging staff through an unrelated organisation.</w:t>
      </w:r>
    </w:p>
    <w:p w14:paraId="50E66915" w14:textId="77777777" w:rsidR="00591D82" w:rsidRPr="00EA55D0" w:rsidRDefault="00591D82" w:rsidP="00591D82">
      <w:r w:rsidRPr="00EA55D0">
        <w:t>If a management fee is paid to the related party for operational expenditure, including staff costs, this management fee should be split out to allocate costs to the relevant direct care categories. The actual management fee after these costs would be reported in administration expenses. As the entities are related, it is expected that there is visibility of operational costs incurred.</w:t>
      </w:r>
    </w:p>
    <w:p w14:paraId="325A2FDC" w14:textId="355766FF" w:rsidR="00591D82" w:rsidRPr="00EA55D0" w:rsidRDefault="00591D82" w:rsidP="006D27F3">
      <w:pPr>
        <w:pStyle w:val="Heading3"/>
      </w:pPr>
      <w:r w:rsidRPr="00EA55D0">
        <w:t xml:space="preserve">If an organisation has two </w:t>
      </w:r>
      <w:r w:rsidR="008352E0">
        <w:t>approved residential care homes</w:t>
      </w:r>
      <w:r w:rsidRPr="00EA55D0">
        <w:t xml:space="preserve"> and all revenue and expenditure are recorded as one, is it acceptable to provide the data against one facility or are providers required to split them </w:t>
      </w:r>
      <w:r w:rsidR="00564811" w:rsidRPr="00EA55D0">
        <w:t>separately</w:t>
      </w:r>
      <w:r w:rsidRPr="00EA55D0">
        <w:t>?</w:t>
      </w:r>
    </w:p>
    <w:p w14:paraId="48EACD9C" w14:textId="719630A8" w:rsidR="00591D82" w:rsidRDefault="00591D82" w:rsidP="00591D82">
      <w:r w:rsidRPr="00EA55D0">
        <w:t xml:space="preserve">Data (e.g., income, expenses, and hours) for the co-located </w:t>
      </w:r>
      <w:r w:rsidR="008352E0">
        <w:t xml:space="preserve">approved </w:t>
      </w:r>
      <w:r w:rsidR="005C46E2">
        <w:t>residential care homes</w:t>
      </w:r>
      <w:r w:rsidRPr="00EA55D0">
        <w:t xml:space="preserve"> should not be combined. It should be reported separately for every individual </w:t>
      </w:r>
      <w:r w:rsidR="005C46E2">
        <w:t>home</w:t>
      </w:r>
      <w:r w:rsidRPr="00EA55D0">
        <w:t xml:space="preserve">. The same data should not be duplicated across both </w:t>
      </w:r>
      <w:r w:rsidR="005C46E2">
        <w:t>homes</w:t>
      </w:r>
      <w:r w:rsidRPr="00EA55D0">
        <w:t xml:space="preserve"> and should be reflective of what was incurred for that </w:t>
      </w:r>
      <w:r w:rsidR="005C46E2">
        <w:t>home</w:t>
      </w:r>
      <w:r w:rsidRPr="00EA55D0">
        <w:t>.</w:t>
      </w:r>
    </w:p>
    <w:p w14:paraId="406DF91D" w14:textId="75171DF3" w:rsidR="00FF7877" w:rsidRPr="0031053D" w:rsidRDefault="00FF7877" w:rsidP="00FF7877">
      <w:pPr>
        <w:pStyle w:val="Heading3"/>
      </w:pPr>
      <w:r w:rsidRPr="0031053D">
        <w:t xml:space="preserve">How are training expenses reported? </w:t>
      </w:r>
    </w:p>
    <w:p w14:paraId="17957E2F" w14:textId="306102F9" w:rsidR="00D044DD" w:rsidRPr="007562EE" w:rsidRDefault="00D044DD" w:rsidP="00D044DD">
      <w:pPr>
        <w:rPr>
          <w:rFonts w:eastAsia="Calibri" w:cs="Arial"/>
        </w:rPr>
      </w:pPr>
      <w:r w:rsidRPr="007562EE">
        <w:rPr>
          <w:rFonts w:eastAsia="Calibri" w:cs="Arial"/>
        </w:rPr>
        <w:t xml:space="preserve">The labour cost of the time </w:t>
      </w:r>
      <w:r>
        <w:rPr>
          <w:rFonts w:eastAsia="Calibri" w:cs="Arial"/>
        </w:rPr>
        <w:t xml:space="preserve">direct care </w:t>
      </w:r>
      <w:r w:rsidRPr="007562EE">
        <w:rPr>
          <w:rFonts w:eastAsia="Calibri" w:cs="Arial"/>
        </w:rPr>
        <w:t>staff spen</w:t>
      </w:r>
      <w:r w:rsidR="00C43D57">
        <w:rPr>
          <w:rFonts w:eastAsia="Calibri" w:cs="Arial"/>
        </w:rPr>
        <w:t>t</w:t>
      </w:r>
      <w:r w:rsidR="00DD2226">
        <w:rPr>
          <w:rFonts w:eastAsia="Calibri" w:cs="Arial"/>
        </w:rPr>
        <w:t xml:space="preserve"> </w:t>
      </w:r>
      <w:r w:rsidRPr="007562EE">
        <w:rPr>
          <w:rFonts w:eastAsia="Calibri" w:cs="Arial"/>
        </w:rPr>
        <w:t xml:space="preserve">attending training can be included in </w:t>
      </w:r>
      <w:r>
        <w:rPr>
          <w:rFonts w:eastAsia="Calibri" w:cs="Arial"/>
        </w:rPr>
        <w:t xml:space="preserve">direct care </w:t>
      </w:r>
      <w:r w:rsidRPr="007562EE">
        <w:rPr>
          <w:rFonts w:eastAsia="Calibri" w:cs="Arial"/>
        </w:rPr>
        <w:t>labour cost reporting.</w:t>
      </w:r>
    </w:p>
    <w:p w14:paraId="1BE96253" w14:textId="12E4E0E7" w:rsidR="006C26ED" w:rsidRPr="00271D9E" w:rsidRDefault="00616E42" w:rsidP="00271D9E">
      <w:pPr>
        <w:rPr>
          <w:rFonts w:eastAsia="Calibri" w:cs="Arial"/>
        </w:rPr>
      </w:pPr>
      <w:r>
        <w:rPr>
          <w:rFonts w:eastAsia="Calibri" w:cs="Arial"/>
        </w:rPr>
        <w:t>Training expenses</w:t>
      </w:r>
      <w:r w:rsidR="00F22736">
        <w:rPr>
          <w:rFonts w:eastAsia="Calibri" w:cs="Arial"/>
        </w:rPr>
        <w:t xml:space="preserve"> </w:t>
      </w:r>
      <w:r w:rsidR="00264A11">
        <w:rPr>
          <w:rFonts w:eastAsia="Calibri" w:cs="Arial"/>
        </w:rPr>
        <w:t xml:space="preserve">such as </w:t>
      </w:r>
      <w:r w:rsidR="00FF7877" w:rsidRPr="00A877AF">
        <w:rPr>
          <w:rFonts w:eastAsia="Calibri" w:cs="Arial"/>
        </w:rPr>
        <w:t>training fees, speaker fees, room hire, equipment hire, associated transport fees or accommodation</w:t>
      </w:r>
      <w:r w:rsidR="00264A11">
        <w:rPr>
          <w:rFonts w:eastAsia="Calibri" w:cs="Arial"/>
        </w:rPr>
        <w:t xml:space="preserve"> should be </w:t>
      </w:r>
      <w:r w:rsidR="00256510">
        <w:rPr>
          <w:rFonts w:eastAsia="Calibri" w:cs="Arial"/>
        </w:rPr>
        <w:t xml:space="preserve">included in the </w:t>
      </w:r>
      <w:r w:rsidR="00257D3B">
        <w:rPr>
          <w:rFonts w:eastAsia="Calibri" w:cs="Arial"/>
        </w:rPr>
        <w:t>“</w:t>
      </w:r>
      <w:r w:rsidR="00256510">
        <w:rPr>
          <w:rFonts w:eastAsia="Calibri" w:cs="Arial"/>
        </w:rPr>
        <w:t>Quality,</w:t>
      </w:r>
      <w:r w:rsidR="00257D3B">
        <w:rPr>
          <w:rFonts w:eastAsia="Calibri" w:cs="Arial"/>
        </w:rPr>
        <w:t xml:space="preserve"> compliance and training costs” under Admini</w:t>
      </w:r>
      <w:r w:rsidR="00697614">
        <w:rPr>
          <w:rFonts w:eastAsia="Calibri" w:cs="Arial"/>
        </w:rPr>
        <w:t>stration expenses.</w:t>
      </w:r>
    </w:p>
    <w:p w14:paraId="72DEA678" w14:textId="77777777" w:rsidR="00591D82" w:rsidRPr="00EA55D0" w:rsidRDefault="00591D82" w:rsidP="006C26ED">
      <w:pPr>
        <w:pStyle w:val="SubjectHeading"/>
      </w:pPr>
      <w:r w:rsidRPr="00EA55D0">
        <w:t>Labour Worked Hours – Direct Care</w:t>
      </w:r>
    </w:p>
    <w:p w14:paraId="62A550C3" w14:textId="7194A780" w:rsidR="00591D82" w:rsidRPr="00EA55D0" w:rsidRDefault="00591D82" w:rsidP="006D27F3">
      <w:pPr>
        <w:pStyle w:val="Heading3"/>
      </w:pPr>
      <w:r w:rsidRPr="00EA55D0">
        <w:t xml:space="preserve">Should the direct care hours include contractor hours? (e.g., a podiatrist or specialist who comes to a site periodically)  </w:t>
      </w:r>
    </w:p>
    <w:p w14:paraId="7B183CC0" w14:textId="77777777" w:rsidR="00591D82" w:rsidRPr="00EA55D0" w:rsidRDefault="00591D82" w:rsidP="00591D82">
      <w:r w:rsidRPr="00EA55D0">
        <w:t>The hours that contractors spend delivering care should be included in direct care hours. Hours of care should be requested on the invoices from contractors. If the invoice is not itemised by care type, an average time can be requested from the contractor for consultations and then the average can be applied to the number of client visits. The hours for a podiatrist would be captured under allied health.</w:t>
      </w:r>
    </w:p>
    <w:p w14:paraId="6BDF91E0" w14:textId="6CAF41ED" w:rsidR="00591D82" w:rsidRPr="00EA55D0" w:rsidRDefault="00591D82" w:rsidP="006D27F3">
      <w:pPr>
        <w:pStyle w:val="Heading3"/>
      </w:pPr>
      <w:r w:rsidRPr="00EA55D0">
        <w:t>In the section ‘Labour Worked Hours - Direct Care’, is training and leave hours included?</w:t>
      </w:r>
    </w:p>
    <w:p w14:paraId="7AEC2F97" w14:textId="2DACB02B" w:rsidR="00591D82" w:rsidRPr="00EA55D0" w:rsidRDefault="005C5CDE" w:rsidP="00591D82">
      <w:r w:rsidRPr="00EA55D0">
        <w:t>Labour</w:t>
      </w:r>
      <w:r w:rsidR="00591D82" w:rsidRPr="00EA55D0">
        <w:t xml:space="preserve"> worked hours for </w:t>
      </w:r>
      <w:r w:rsidR="00771AE3" w:rsidRPr="00EA55D0">
        <w:t xml:space="preserve">direct care should </w:t>
      </w:r>
      <w:r w:rsidR="00591D82" w:rsidRPr="00EA55D0">
        <w:t xml:space="preserve">not include any leave or training hours. </w:t>
      </w:r>
      <w:r w:rsidR="006F35CD" w:rsidRPr="00EA55D0">
        <w:t xml:space="preserve">Leave and training hours is reported under non-worked hours. </w:t>
      </w:r>
      <w:r w:rsidR="00F40C36" w:rsidRPr="00EA55D0">
        <w:rPr>
          <w:rFonts w:cs="Arial"/>
        </w:rPr>
        <w:t>Leave without pay hours should not be included in non-worked hours.</w:t>
      </w:r>
    </w:p>
    <w:p w14:paraId="51EA9F60" w14:textId="5CE0DD24" w:rsidR="00591D82" w:rsidRPr="00EA55D0" w:rsidRDefault="00591D82" w:rsidP="006D27F3">
      <w:pPr>
        <w:pStyle w:val="Heading3"/>
      </w:pPr>
      <w:r w:rsidRPr="00EA55D0">
        <w:t xml:space="preserve">Is worked hours the same as full time equivalent (FTE)? </w:t>
      </w:r>
    </w:p>
    <w:p w14:paraId="30F118E4" w14:textId="77777777" w:rsidR="00591D82" w:rsidRPr="00EA55D0" w:rsidRDefault="00591D82" w:rsidP="00591D82">
      <w:r w:rsidRPr="00EA55D0">
        <w:t>No. Worked hours is different to FTE. Worked hours captures all the hours worked by staff to deliver care, while FTE is a unit to measure employed persons in a way that makes them comparable. The roster or payroll system should be used to gather hours worked.</w:t>
      </w:r>
    </w:p>
    <w:p w14:paraId="2C54B5B3" w14:textId="28AE23D5" w:rsidR="00591D82" w:rsidRPr="00EA55D0" w:rsidRDefault="00591D82" w:rsidP="006D27F3">
      <w:pPr>
        <w:pStyle w:val="Heading3"/>
        <w:rPr>
          <w:rFonts w:eastAsia="Calibri Light"/>
        </w:rPr>
      </w:pPr>
      <w:r w:rsidRPr="00EA55D0">
        <w:rPr>
          <w:rFonts w:eastAsia="Calibri Light"/>
        </w:rPr>
        <w:t>If a direct care worker also performs other roles such as catering, laundry, and cleaning, does a provider need to apportion the percentage of direct care hours worked for the ‘Care hours’ reporting?</w:t>
      </w:r>
    </w:p>
    <w:p w14:paraId="48CB69D2" w14:textId="67C2D8F1" w:rsidR="00591D82" w:rsidRPr="00EA55D0" w:rsidRDefault="00B261E8" w:rsidP="00591D82">
      <w:pPr>
        <w:rPr>
          <w:rFonts w:eastAsia="Arial"/>
        </w:rPr>
      </w:pPr>
      <w:r w:rsidRPr="00EA55D0">
        <w:t xml:space="preserve">Yes, </w:t>
      </w:r>
      <w:r w:rsidR="005023A3" w:rsidRPr="00EA55D0">
        <w:t xml:space="preserve">the worked </w:t>
      </w:r>
      <w:r w:rsidR="00591D82" w:rsidRPr="00EA55D0">
        <w:t xml:space="preserve">hours should be </w:t>
      </w:r>
      <w:r w:rsidR="00EA76A1" w:rsidRPr="00EA55D0">
        <w:t xml:space="preserve">apportioned </w:t>
      </w:r>
      <w:r w:rsidR="001152A4" w:rsidRPr="00EA55D0">
        <w:t xml:space="preserve">to direct care hours </w:t>
      </w:r>
      <w:r w:rsidR="00EA76A1" w:rsidRPr="00EA55D0">
        <w:t xml:space="preserve">based on the </w:t>
      </w:r>
      <w:r w:rsidR="00591D82" w:rsidRPr="00EA55D0">
        <w:t xml:space="preserve">time spent by the employee </w:t>
      </w:r>
      <w:r w:rsidR="001152A4" w:rsidRPr="00EA55D0">
        <w:t xml:space="preserve">on </w:t>
      </w:r>
      <w:r w:rsidR="00BA25EE" w:rsidRPr="00EA55D0">
        <w:t>direct care vs n</w:t>
      </w:r>
      <w:r w:rsidR="00AE43F5" w:rsidRPr="00EA55D0">
        <w:t>on-care.</w:t>
      </w:r>
    </w:p>
    <w:p w14:paraId="3EA7764E" w14:textId="4CAD3E01" w:rsidR="00591D82" w:rsidRPr="00EA55D0" w:rsidRDefault="00591D82" w:rsidP="006D27F3">
      <w:pPr>
        <w:pStyle w:val="Heading3"/>
        <w:rPr>
          <w:rFonts w:eastAsia="Calibri Light"/>
        </w:rPr>
      </w:pPr>
      <w:r w:rsidRPr="00EA55D0">
        <w:rPr>
          <w:rFonts w:eastAsia="Calibri Light"/>
        </w:rPr>
        <w:t xml:space="preserve">What is the difference between non-face-to-face </w:t>
      </w:r>
      <w:r w:rsidR="00E90154" w:rsidRPr="00EA55D0">
        <w:rPr>
          <w:rFonts w:eastAsia="Calibri Light"/>
        </w:rPr>
        <w:t xml:space="preserve">direct </w:t>
      </w:r>
      <w:r w:rsidRPr="00EA55D0">
        <w:rPr>
          <w:rFonts w:eastAsia="Calibri Light"/>
        </w:rPr>
        <w:t>care and virtual telehealth or on-call support?</w:t>
      </w:r>
    </w:p>
    <w:p w14:paraId="39726015" w14:textId="77777777" w:rsidR="00591D82" w:rsidRPr="00EA55D0" w:rsidRDefault="00591D82" w:rsidP="00591D82">
      <w:r w:rsidRPr="00EA55D0">
        <w:t>Non-face-to-face direct care may include, for example, writing up care plans or organising a referral for an allied health service, attending multidisciplinary team meetings in relation to resident care. To count as care minutes this must be conducted on-site (i.e., working within the aged care service).</w:t>
      </w:r>
    </w:p>
    <w:p w14:paraId="73DCE5FC" w14:textId="4FDC9389" w:rsidR="00591D82" w:rsidRPr="00EA55D0" w:rsidRDefault="00591D82" w:rsidP="00591D82">
      <w:r w:rsidRPr="00EA55D0">
        <w:t xml:space="preserve">However, virtual telehealth/on-call </w:t>
      </w:r>
      <w:r w:rsidR="006B2DCA" w:rsidRPr="00EA55D0">
        <w:t>support</w:t>
      </w:r>
      <w:r w:rsidRPr="00EA55D0">
        <w:t xml:space="preserve"> would include support by video/phone conference from someone (usually a nurse, allied health or medical practitioner) who is not on-site.</w:t>
      </w:r>
    </w:p>
    <w:p w14:paraId="7C6FE503" w14:textId="1ADA4829" w:rsidR="00591D82" w:rsidRPr="00EA55D0" w:rsidRDefault="00591D82" w:rsidP="006D27F3">
      <w:pPr>
        <w:pStyle w:val="Heading3"/>
        <w:rPr>
          <w:rFonts w:eastAsia="Calibri Light"/>
        </w:rPr>
      </w:pPr>
      <w:r w:rsidRPr="00EA55D0">
        <w:rPr>
          <w:rFonts w:eastAsia="Calibri Light"/>
        </w:rPr>
        <w:t xml:space="preserve">Should labour hours worked - direct care include outbreak staff hours?  </w:t>
      </w:r>
    </w:p>
    <w:p w14:paraId="57D366A6" w14:textId="7FD32C9E" w:rsidR="00B313AC" w:rsidRPr="00322243" w:rsidRDefault="00591D82" w:rsidP="00322243">
      <w:r w:rsidRPr="00322243">
        <w:t>Yes. Direct care hours should include all hours worked providing direct care, including where extra staff are brought in to support the operations of the home during an outbreak. From 2024-25 onwards the labour costs of extra outbreak staff should be reported in their relevant labour expenses – direct care category.</w:t>
      </w:r>
    </w:p>
    <w:p w14:paraId="16ED7A88" w14:textId="77777777" w:rsidR="00591D82" w:rsidRPr="00EA55D0" w:rsidRDefault="00591D82" w:rsidP="00B313AC">
      <w:pPr>
        <w:pStyle w:val="SubjectHeading"/>
      </w:pPr>
      <w:r w:rsidRPr="00EA55D0">
        <w:t xml:space="preserve">Bed days </w:t>
      </w:r>
    </w:p>
    <w:p w14:paraId="2F82829B" w14:textId="459CFA0E" w:rsidR="00591D82" w:rsidRPr="00EA55D0" w:rsidRDefault="00591D82" w:rsidP="006D27F3">
      <w:pPr>
        <w:pStyle w:val="Heading3"/>
        <w:rPr>
          <w:rFonts w:eastAsia="Calibri Light"/>
        </w:rPr>
      </w:pPr>
      <w:r w:rsidRPr="00EA55D0">
        <w:rPr>
          <w:rFonts w:eastAsia="Calibri Light"/>
        </w:rPr>
        <w:t>How should ‘</w:t>
      </w:r>
      <w:r w:rsidR="00840E23" w:rsidRPr="00EA55D0">
        <w:rPr>
          <w:rFonts w:eastAsia="Calibri Light"/>
        </w:rPr>
        <w:t>Operational</w:t>
      </w:r>
      <w:r w:rsidRPr="00EA55D0">
        <w:rPr>
          <w:rFonts w:eastAsia="Calibri Light"/>
        </w:rPr>
        <w:t xml:space="preserve"> Bed Days’ be calculated in the report? </w:t>
      </w:r>
    </w:p>
    <w:p w14:paraId="3CD94DEC" w14:textId="59D968B7" w:rsidR="00591D82" w:rsidRPr="00EA55D0" w:rsidRDefault="00840E23" w:rsidP="00591D82">
      <w:pPr>
        <w:rPr>
          <w:b/>
          <w:bCs/>
        </w:rPr>
      </w:pPr>
      <w:r w:rsidRPr="00EA55D0">
        <w:t>Operational</w:t>
      </w:r>
      <w:r w:rsidR="00591D82" w:rsidRPr="00EA55D0">
        <w:t xml:space="preserve"> bed days represents the number of days beds were physically available to be occupied. It is not the number of beds. </w:t>
      </w:r>
    </w:p>
    <w:p w14:paraId="778F39DD" w14:textId="7251B989" w:rsidR="00591D82" w:rsidRPr="00EA55D0" w:rsidRDefault="00591D82" w:rsidP="00591D82">
      <w:pPr>
        <w:rPr>
          <w:b/>
          <w:bCs/>
        </w:rPr>
      </w:pPr>
      <w:r w:rsidRPr="00EA55D0">
        <w:t>For example, if there were 100 beds physically available for 11 months (334 days), and only 90 beds available in the last month (31 days), the calculation would be = 100 beds * 334 days + 90 beds * 31 days = 36,190 available bed days.</w:t>
      </w:r>
    </w:p>
    <w:p w14:paraId="4CABB90A" w14:textId="6D8C0959" w:rsidR="00591D82" w:rsidRPr="00EA55D0" w:rsidRDefault="00591D82" w:rsidP="006D27F3">
      <w:pPr>
        <w:pStyle w:val="Heading3"/>
        <w:rPr>
          <w:rFonts w:eastAsia="Calibri Light"/>
        </w:rPr>
      </w:pPr>
      <w:r w:rsidRPr="00EA55D0">
        <w:rPr>
          <w:rFonts w:eastAsia="Calibri Light"/>
        </w:rPr>
        <w:t>If a resident departs at 10am on a certain day, is the bed considered an occupied bed day?</w:t>
      </w:r>
    </w:p>
    <w:p w14:paraId="72E681E2" w14:textId="77D2342E" w:rsidR="00591D82" w:rsidRPr="00EA55D0" w:rsidRDefault="00591D82" w:rsidP="00591D82">
      <w:pPr>
        <w:rPr>
          <w:rFonts w:cs="Arial"/>
        </w:rPr>
      </w:pPr>
      <w:r w:rsidRPr="00EA55D0">
        <w:rPr>
          <w:rFonts w:cs="Arial"/>
        </w:rPr>
        <w:t xml:space="preserve">Each monthly payment statement lists the number of total full bed days that subsidies have been paid to the </w:t>
      </w:r>
      <w:r w:rsidR="000324A4">
        <w:rPr>
          <w:rFonts w:cs="Arial"/>
        </w:rPr>
        <w:t>approved residential care home</w:t>
      </w:r>
      <w:r w:rsidRPr="00EA55D0">
        <w:rPr>
          <w:rFonts w:cs="Arial"/>
        </w:rPr>
        <w:t>, please use these total full bed day numbers to tally up the number of occupied bed days for the financial year.</w:t>
      </w:r>
    </w:p>
    <w:p w14:paraId="10119F5C" w14:textId="5A7F6AD8" w:rsidR="00591D82" w:rsidRPr="00EA55D0" w:rsidRDefault="00591D82" w:rsidP="006D27F3">
      <w:pPr>
        <w:pStyle w:val="Heading3"/>
        <w:rPr>
          <w:rFonts w:eastAsia="Calibri Light"/>
        </w:rPr>
      </w:pPr>
      <w:r w:rsidRPr="00EA55D0">
        <w:rPr>
          <w:rFonts w:eastAsia="Calibri Light"/>
        </w:rPr>
        <w:t xml:space="preserve">Is social leave over </w:t>
      </w:r>
      <w:r w:rsidR="00703E42">
        <w:rPr>
          <w:rFonts w:eastAsia="Calibri Light"/>
        </w:rPr>
        <w:t>52</w:t>
      </w:r>
      <w:r w:rsidRPr="00EA55D0">
        <w:rPr>
          <w:rFonts w:eastAsia="Calibri Light"/>
        </w:rPr>
        <w:t xml:space="preserve"> days in a year included in the occupancy for the ACFR?</w:t>
      </w:r>
    </w:p>
    <w:p w14:paraId="07342D49" w14:textId="5FC23603" w:rsidR="002B6727" w:rsidRPr="00EA55D0" w:rsidRDefault="00591D82" w:rsidP="00C47A9C">
      <w:r w:rsidRPr="00EA55D0">
        <w:t xml:space="preserve">Yes. Residents are entitled to 52 days of social leave in a financial year, and this is included in the occupied bed days. Residents can also take extra social leave. However, the Government will not pay the subsidy. The extra social leave over 52 days should not be included in occupied bed days in the ACFR. </w:t>
      </w:r>
      <w:bookmarkStart w:id="57" w:name="_Toc184198009"/>
      <w:bookmarkStart w:id="58" w:name="_Toc205730281"/>
    </w:p>
    <w:p w14:paraId="64CB8405" w14:textId="076D8609" w:rsidR="002B6727" w:rsidRPr="00EA55D0" w:rsidRDefault="00775586" w:rsidP="00C47A9C">
      <w:pPr>
        <w:pStyle w:val="SubjectHeading"/>
      </w:pPr>
      <w:r w:rsidRPr="00EA55D0">
        <w:t>Higher Everyday Living Fees</w:t>
      </w:r>
      <w:r w:rsidR="00CA7C60" w:rsidRPr="00EA55D0">
        <w:t>/Additional Service Fees/Extra Service Fees</w:t>
      </w:r>
    </w:p>
    <w:p w14:paraId="56437796" w14:textId="1F81BF99" w:rsidR="00B96E1C" w:rsidRPr="00EA55D0" w:rsidRDefault="003F2877" w:rsidP="006D27F3">
      <w:pPr>
        <w:pStyle w:val="Heading3"/>
        <w:rPr>
          <w:rFonts w:eastAsia="Calibri Light"/>
        </w:rPr>
      </w:pPr>
      <w:r w:rsidRPr="00EA55D0">
        <w:rPr>
          <w:rFonts w:eastAsia="Calibri Light"/>
        </w:rPr>
        <w:t>Why do I have to report the number of residents</w:t>
      </w:r>
      <w:r w:rsidR="00735EB8" w:rsidRPr="00EA55D0">
        <w:rPr>
          <w:rFonts w:eastAsia="Calibri Light"/>
        </w:rPr>
        <w:t xml:space="preserve"> paying the Higher Everyday Living Fees / Additional Services Fees / Extra Services Fees</w:t>
      </w:r>
      <w:r w:rsidR="0506200D" w:rsidRPr="00EA55D0">
        <w:rPr>
          <w:rFonts w:eastAsia="Calibri Light"/>
        </w:rPr>
        <w:t>?</w:t>
      </w:r>
      <w:r w:rsidRPr="00EA55D0">
        <w:rPr>
          <w:rFonts w:eastAsia="Calibri Light"/>
        </w:rPr>
        <w:t xml:space="preserve"> </w:t>
      </w:r>
    </w:p>
    <w:p w14:paraId="0B1F92AF" w14:textId="622F4EF7" w:rsidR="00FC2063" w:rsidRPr="00EA55D0" w:rsidRDefault="0046549A" w:rsidP="002070AD">
      <w:r w:rsidRPr="00EA55D0">
        <w:t xml:space="preserve">With the </w:t>
      </w:r>
      <w:r w:rsidR="003942AF" w:rsidRPr="00EA55D0">
        <w:t xml:space="preserve">introduction of the new Higher Everyday </w:t>
      </w:r>
      <w:r w:rsidR="006602FC">
        <w:t>L</w:t>
      </w:r>
      <w:r w:rsidR="003942AF" w:rsidRPr="00EA55D0">
        <w:t xml:space="preserve">iving </w:t>
      </w:r>
      <w:r w:rsidR="006602FC">
        <w:t>F</w:t>
      </w:r>
      <w:r w:rsidR="003942AF" w:rsidRPr="00EA55D0">
        <w:t>ee</w:t>
      </w:r>
      <w:r w:rsidR="00ED744B" w:rsidRPr="00EA55D0">
        <w:t xml:space="preserve"> from 1 November 2025 (</w:t>
      </w:r>
      <w:r w:rsidR="003942AF" w:rsidRPr="00EA55D0">
        <w:t>which will replace</w:t>
      </w:r>
      <w:r w:rsidR="000050C3" w:rsidRPr="00EA55D0">
        <w:t xml:space="preserve"> </w:t>
      </w:r>
      <w:r w:rsidR="002D79F2">
        <w:t>all</w:t>
      </w:r>
      <w:r w:rsidR="00ED744B" w:rsidRPr="00EA55D0">
        <w:t xml:space="preserve"> </w:t>
      </w:r>
      <w:r w:rsidR="000050C3" w:rsidRPr="00EA55D0">
        <w:t xml:space="preserve">Additional Service and Extra Service fees </w:t>
      </w:r>
      <w:r w:rsidR="007E3A22" w:rsidRPr="00EA55D0">
        <w:t xml:space="preserve">from </w:t>
      </w:r>
      <w:r w:rsidR="00D85A79" w:rsidRPr="00EA55D0">
        <w:t xml:space="preserve">1 November </w:t>
      </w:r>
      <w:r w:rsidR="0EC1462F" w:rsidRPr="00EA55D0">
        <w:t>2026</w:t>
      </w:r>
      <w:r w:rsidR="3E9FCF77" w:rsidRPr="00EA55D0">
        <w:t>)</w:t>
      </w:r>
      <w:r w:rsidR="7F50889A" w:rsidRPr="00EA55D0">
        <w:t>,</w:t>
      </w:r>
      <w:r w:rsidR="00D85A79" w:rsidRPr="00EA55D0">
        <w:t xml:space="preserve"> the </w:t>
      </w:r>
      <w:r w:rsidR="00C43A72" w:rsidRPr="00EA55D0">
        <w:t>Department</w:t>
      </w:r>
      <w:r w:rsidR="0066214C" w:rsidRPr="00EA55D0">
        <w:t xml:space="preserve"> </w:t>
      </w:r>
      <w:r w:rsidR="00ED744B" w:rsidRPr="00EA55D0">
        <w:t>wants</w:t>
      </w:r>
      <w:r w:rsidR="00C43E71" w:rsidRPr="00EA55D0">
        <w:t xml:space="preserve"> to understand the </w:t>
      </w:r>
      <w:r w:rsidR="005108D9" w:rsidRPr="00EA55D0">
        <w:t>number of residen</w:t>
      </w:r>
      <w:r w:rsidR="00060034" w:rsidRPr="00EA55D0">
        <w:t>t</w:t>
      </w:r>
      <w:r w:rsidR="005108D9" w:rsidRPr="00EA55D0">
        <w:t xml:space="preserve">s </w:t>
      </w:r>
      <w:r w:rsidR="00525705" w:rsidRPr="00EA55D0">
        <w:t xml:space="preserve">exercising a preference to receive optional </w:t>
      </w:r>
      <w:r w:rsidR="00637FB9" w:rsidRPr="00EA55D0">
        <w:t>lifestyle services</w:t>
      </w:r>
      <w:r w:rsidR="006C3BEA" w:rsidRPr="00EA55D0">
        <w:t>.</w:t>
      </w:r>
    </w:p>
    <w:p w14:paraId="097CC7CD" w14:textId="1FD2E05F" w:rsidR="00351D58" w:rsidRPr="00EA55D0" w:rsidRDefault="00FC2063" w:rsidP="002070AD">
      <w:r w:rsidRPr="00EA55D0">
        <w:t>It should be noted that this is a point in time snapshot</w:t>
      </w:r>
      <w:r w:rsidR="00846E4D" w:rsidRPr="00EA55D0">
        <w:t xml:space="preserve">, </w:t>
      </w:r>
      <w:r w:rsidR="00BF5F6E" w:rsidRPr="00EA55D0">
        <w:t>with</w:t>
      </w:r>
      <w:r w:rsidR="00846E4D" w:rsidRPr="00EA55D0">
        <w:t xml:space="preserve"> providers </w:t>
      </w:r>
      <w:r w:rsidR="00BF5F6E" w:rsidRPr="00EA55D0">
        <w:t>only required to report</w:t>
      </w:r>
      <w:r w:rsidR="002D0D97" w:rsidRPr="00EA55D0">
        <w:t xml:space="preserve"> </w:t>
      </w:r>
      <w:r w:rsidR="00846E4D" w:rsidRPr="00EA55D0">
        <w:t xml:space="preserve">the total number of </w:t>
      </w:r>
      <w:r w:rsidR="002D0D97" w:rsidRPr="00EA55D0">
        <w:t xml:space="preserve">residents </w:t>
      </w:r>
      <w:r w:rsidR="00D14B8A" w:rsidRPr="00EA55D0">
        <w:t xml:space="preserve">in their home </w:t>
      </w:r>
      <w:r w:rsidR="002D0D97" w:rsidRPr="00EA55D0">
        <w:t>paying these fees</w:t>
      </w:r>
      <w:r w:rsidR="00D14B8A" w:rsidRPr="00EA55D0">
        <w:t>,</w:t>
      </w:r>
      <w:r w:rsidR="002D0D97" w:rsidRPr="00EA55D0">
        <w:t xml:space="preserve"> as at </w:t>
      </w:r>
      <w:r w:rsidR="00605249" w:rsidRPr="00EA55D0">
        <w:t>the end of the</w:t>
      </w:r>
      <w:r w:rsidR="008E402E">
        <w:t>ir</w:t>
      </w:r>
      <w:r w:rsidR="00605249" w:rsidRPr="00EA55D0">
        <w:t xml:space="preserve"> financial year</w:t>
      </w:r>
      <w:r w:rsidR="4A440A79" w:rsidRPr="00EA55D0">
        <w:t xml:space="preserve"> (30 June 2026)</w:t>
      </w:r>
      <w:r w:rsidR="2B0C5EAB" w:rsidRPr="00EA55D0">
        <w:t>.</w:t>
      </w:r>
    </w:p>
    <w:p w14:paraId="16C70A30" w14:textId="4FA00987" w:rsidR="007D20DF" w:rsidRPr="00EA55D0" w:rsidRDefault="00CC2BE2" w:rsidP="006D27F3">
      <w:pPr>
        <w:pStyle w:val="Heading3"/>
      </w:pPr>
      <w:r w:rsidRPr="00EA55D0">
        <w:t xml:space="preserve">What should be included in </w:t>
      </w:r>
      <w:r w:rsidR="00441D2E" w:rsidRPr="00EA55D0">
        <w:t>Higher Everyday Living /Additional Service /Extra Service- staffing costs (non-agency)</w:t>
      </w:r>
      <w:r w:rsidR="009D589F">
        <w:t xml:space="preserve"> expenses</w:t>
      </w:r>
      <w:r w:rsidR="00441D2E" w:rsidRPr="00EA55D0">
        <w:t>?</w:t>
      </w:r>
    </w:p>
    <w:p w14:paraId="5DB07417" w14:textId="1E93608F" w:rsidR="004F1581" w:rsidRPr="00FD4F84" w:rsidRDefault="009F24B7" w:rsidP="002070AD">
      <w:r w:rsidRPr="00FD4F84">
        <w:t xml:space="preserve">This expense item </w:t>
      </w:r>
      <w:r w:rsidR="00C43377" w:rsidRPr="00FD4F84">
        <w:t xml:space="preserve">captures </w:t>
      </w:r>
      <w:r w:rsidR="00FA4F30" w:rsidRPr="00FD4F84">
        <w:t xml:space="preserve">the </w:t>
      </w:r>
      <w:r w:rsidR="00B6042B">
        <w:t xml:space="preserve">additional </w:t>
      </w:r>
      <w:r w:rsidR="00FA4F30" w:rsidRPr="00FD4F84">
        <w:t>labour cost of</w:t>
      </w:r>
      <w:r w:rsidR="00C43377" w:rsidRPr="00FD4F84">
        <w:t xml:space="preserve"> </w:t>
      </w:r>
      <w:r w:rsidR="006D2945" w:rsidRPr="00FD4F84">
        <w:t xml:space="preserve">the time </w:t>
      </w:r>
      <w:r w:rsidR="00DB3C78" w:rsidRPr="00FD4F84">
        <w:t xml:space="preserve">an aged care home’s </w:t>
      </w:r>
      <w:r w:rsidRPr="00FD4F84">
        <w:t xml:space="preserve">staff </w:t>
      </w:r>
      <w:r w:rsidR="006D2945" w:rsidRPr="00FD4F84">
        <w:t xml:space="preserve">spend </w:t>
      </w:r>
      <w:r w:rsidR="00F63A6E" w:rsidRPr="00FD4F84">
        <w:t>provid</w:t>
      </w:r>
      <w:r w:rsidR="006D2945" w:rsidRPr="00FD4F84">
        <w:t>ing</w:t>
      </w:r>
      <w:r w:rsidRPr="00FD4F84">
        <w:t xml:space="preserve"> higher everyday living/extra services/additional services</w:t>
      </w:r>
      <w:r w:rsidR="00F63A6E" w:rsidRPr="00FD4F84">
        <w:t>.</w:t>
      </w:r>
      <w:r w:rsidR="00071A3F" w:rsidRPr="00FD4F84">
        <w:t xml:space="preserve"> The labour cost can be </w:t>
      </w:r>
      <w:r w:rsidRPr="00FD4F84">
        <w:t>proportion</w:t>
      </w:r>
      <w:r w:rsidR="000A27B5" w:rsidRPr="00FD4F84">
        <w:t xml:space="preserve">ed </w:t>
      </w:r>
      <w:r w:rsidRPr="00FD4F84">
        <w:t>at the provider</w:t>
      </w:r>
      <w:r w:rsidR="000B0C1F" w:rsidRPr="00FD4F84">
        <w:t>’</w:t>
      </w:r>
      <w:r w:rsidRPr="00FD4F84">
        <w:t>s discretion</w:t>
      </w:r>
      <w:r w:rsidR="000A27B5" w:rsidRPr="00FD4F84">
        <w:t>. The costs of agency staff should not be included</w:t>
      </w:r>
      <w:r w:rsidRPr="00FD4F84">
        <w:t xml:space="preserve">. </w:t>
      </w:r>
    </w:p>
    <w:p w14:paraId="65C0682B" w14:textId="499A5BAE" w:rsidR="009F24B7" w:rsidRPr="00EA55D0" w:rsidRDefault="00030815" w:rsidP="006D27F3">
      <w:pPr>
        <w:pStyle w:val="Heading3"/>
      </w:pPr>
      <w:r>
        <w:t xml:space="preserve">What </w:t>
      </w:r>
      <w:r w:rsidR="006C5540">
        <w:t xml:space="preserve">should be included in the </w:t>
      </w:r>
      <w:r w:rsidR="00CC40FC" w:rsidRPr="00EA55D0">
        <w:t>Higher Everyday Living /</w:t>
      </w:r>
      <w:r w:rsidR="00351165">
        <w:t xml:space="preserve"> </w:t>
      </w:r>
      <w:r w:rsidR="00CC40FC" w:rsidRPr="00EA55D0">
        <w:t>Additional Service /</w:t>
      </w:r>
      <w:r w:rsidR="00351165">
        <w:t xml:space="preserve"> </w:t>
      </w:r>
      <w:r w:rsidR="00CC40FC" w:rsidRPr="00EA55D0">
        <w:t>Extra Service - consumables and contracting</w:t>
      </w:r>
      <w:r w:rsidR="006C5540">
        <w:t xml:space="preserve"> expenses</w:t>
      </w:r>
      <w:r w:rsidR="00CB106D" w:rsidRPr="00EA55D0">
        <w:t>?</w:t>
      </w:r>
    </w:p>
    <w:p w14:paraId="27AA9B46" w14:textId="363FEA20" w:rsidR="00D268B3" w:rsidRDefault="00FA33FE" w:rsidP="002070AD">
      <w:r w:rsidRPr="00EA55D0">
        <w:t xml:space="preserve">Providers should include the cost of all </w:t>
      </w:r>
      <w:r w:rsidR="00C21537">
        <w:t xml:space="preserve">additional </w:t>
      </w:r>
      <w:r w:rsidRPr="00EA55D0">
        <w:t>consumables supplied</w:t>
      </w:r>
      <w:r w:rsidR="00954233">
        <w:t xml:space="preserve"> or used</w:t>
      </w:r>
      <w:r w:rsidR="00D04E08">
        <w:t xml:space="preserve"> </w:t>
      </w:r>
      <w:r w:rsidR="00561F4F">
        <w:t>in</w:t>
      </w:r>
      <w:r w:rsidRPr="00EA55D0">
        <w:t xml:space="preserve"> the delivery of Higher Everyday Living, Extra Services and Additional Services</w:t>
      </w:r>
      <w:r w:rsidR="00D04E08">
        <w:t>.</w:t>
      </w:r>
      <w:r w:rsidR="00C24875">
        <w:t xml:space="preserve"> The cost of the consumab</w:t>
      </w:r>
      <w:r w:rsidR="009D5A5A">
        <w:t>les can be propo</w:t>
      </w:r>
      <w:r w:rsidR="00B173C3">
        <w:t xml:space="preserve">rtioned to this reporting </w:t>
      </w:r>
      <w:r w:rsidRPr="00EA55D0">
        <w:t>at the provider</w:t>
      </w:r>
      <w:r w:rsidR="000B0C1F" w:rsidRPr="00EA55D0">
        <w:t>’</w:t>
      </w:r>
      <w:r w:rsidRPr="00EA55D0">
        <w:t>s discretion.</w:t>
      </w:r>
    </w:p>
    <w:p w14:paraId="4D10B85D" w14:textId="323A88B4" w:rsidR="00D268B3" w:rsidRDefault="00FA33FE" w:rsidP="002070AD">
      <w:r w:rsidRPr="00EA55D0">
        <w:t xml:space="preserve">This expense item </w:t>
      </w:r>
      <w:r w:rsidR="00041A1C">
        <w:t xml:space="preserve">also includes </w:t>
      </w:r>
      <w:r w:rsidR="00EA7611">
        <w:t xml:space="preserve">the </w:t>
      </w:r>
      <w:r w:rsidR="006A6DF6">
        <w:t>additional</w:t>
      </w:r>
      <w:r w:rsidR="00EA7611">
        <w:t xml:space="preserve"> cost of a </w:t>
      </w:r>
      <w:r w:rsidRPr="00EA55D0">
        <w:t>sub-contracted third party deliver</w:t>
      </w:r>
      <w:r w:rsidR="00EA7611">
        <w:t xml:space="preserve">ing </w:t>
      </w:r>
      <w:r w:rsidR="00072394" w:rsidRPr="00EA55D0">
        <w:t>Higher Everyday Living/Additional/Extra Services</w:t>
      </w:r>
      <w:r w:rsidR="00704FDB">
        <w:t xml:space="preserve"> for a</w:t>
      </w:r>
      <w:r w:rsidR="005507B8">
        <w:t xml:space="preserve"> residential care home</w:t>
      </w:r>
      <w:r w:rsidR="00B038FF">
        <w:t xml:space="preserve">, such as </w:t>
      </w:r>
      <w:r w:rsidRPr="00EA55D0">
        <w:t>optional lifestyle services</w:t>
      </w:r>
      <w:r w:rsidR="00B038FF">
        <w:t>.</w:t>
      </w:r>
      <w:r w:rsidRPr="00EA55D0">
        <w:t xml:space="preserve"> (For example, where a home has </w:t>
      </w:r>
      <w:proofErr w:type="gramStart"/>
      <w:r w:rsidRPr="00EA55D0">
        <w:t>entered into</w:t>
      </w:r>
      <w:proofErr w:type="gramEnd"/>
      <w:r w:rsidRPr="00EA55D0">
        <w:t xml:space="preserve"> a contract for an external entity to:</w:t>
      </w:r>
    </w:p>
    <w:p w14:paraId="60909AD6" w14:textId="77777777" w:rsidR="00D268B3" w:rsidRDefault="00FA33FE" w:rsidP="005274C5">
      <w:pPr>
        <w:pStyle w:val="ListBullet"/>
      </w:pPr>
      <w:r w:rsidRPr="00EA55D0">
        <w:t>deliver yoga classes</w:t>
      </w:r>
    </w:p>
    <w:p w14:paraId="3E87D6FD" w14:textId="77777777" w:rsidR="00D268B3" w:rsidRDefault="00FA33FE" w:rsidP="005274C5">
      <w:pPr>
        <w:pStyle w:val="ListBullet"/>
      </w:pPr>
      <w:r w:rsidRPr="00EA55D0">
        <w:t>provide a newspaper service</w:t>
      </w:r>
    </w:p>
    <w:p w14:paraId="63AF0DE4" w14:textId="644F7B72" w:rsidR="00D268B3" w:rsidRDefault="00FA33FE" w:rsidP="005274C5">
      <w:pPr>
        <w:pStyle w:val="ListBullet"/>
      </w:pPr>
      <w:r w:rsidRPr="00EA55D0">
        <w:t>provide TV streaming services</w:t>
      </w:r>
      <w:r w:rsidR="00954233">
        <w:t>.</w:t>
      </w:r>
    </w:p>
    <w:p w14:paraId="6C6A32DA" w14:textId="41BC01AB" w:rsidR="00D268B3" w:rsidRDefault="00CC066E" w:rsidP="00CC066E">
      <w:pPr>
        <w:pStyle w:val="Heading3"/>
      </w:pPr>
      <w:r>
        <w:t xml:space="preserve">Do I </w:t>
      </w:r>
      <w:r w:rsidR="00351165">
        <w:t>only report the Higher Everyday Living / Additional Service / Extra Services expenses in the new section at the bottom of the form?</w:t>
      </w:r>
    </w:p>
    <w:p w14:paraId="6F5CCDF7" w14:textId="71F658B3" w:rsidR="009D589F" w:rsidRPr="005274C5" w:rsidRDefault="00351165" w:rsidP="005274C5">
      <w:r>
        <w:t xml:space="preserve">No. You </w:t>
      </w:r>
      <w:r w:rsidR="003344A2">
        <w:t xml:space="preserve">should report all </w:t>
      </w:r>
      <w:r w:rsidR="004F53A6">
        <w:t xml:space="preserve">the </w:t>
      </w:r>
      <w:r w:rsidR="003344A2">
        <w:t>expenses of the residential care home, including the Higher Everyday Living / Additional Service / Extra Services expenses</w:t>
      </w:r>
      <w:r w:rsidR="005A3019">
        <w:t xml:space="preserve">, in the </w:t>
      </w:r>
      <w:r w:rsidR="009C0182">
        <w:t>Care, Hotel Services, Administration and Accommodation expenses</w:t>
      </w:r>
      <w:r w:rsidR="004F53A6">
        <w:t xml:space="preserve"> categories. </w:t>
      </w:r>
      <w:r w:rsidR="003D3AAF">
        <w:t>In addition, please report the expenses related to the delivery of Higher Everyday Living / Additional Service / Extra Services in the new section at the bottom of the form</w:t>
      </w:r>
      <w:r w:rsidR="009C0182">
        <w:t>.</w:t>
      </w:r>
    </w:p>
    <w:p w14:paraId="6D1CEF6A" w14:textId="53221D20" w:rsidR="000F2225" w:rsidRPr="00EA55D0" w:rsidRDefault="000F2225" w:rsidP="00D268B3">
      <w:pPr>
        <w:pStyle w:val="SubjectHeading"/>
      </w:pPr>
      <w:r w:rsidRPr="00EA55D0">
        <w:t xml:space="preserve">Care </w:t>
      </w:r>
      <w:r w:rsidR="0012118E">
        <w:t>M</w:t>
      </w:r>
      <w:r w:rsidRPr="00EA55D0">
        <w:t xml:space="preserve">inutes </w:t>
      </w:r>
      <w:r w:rsidR="0012118E">
        <w:t>P</w:t>
      </w:r>
      <w:r w:rsidRPr="00EA55D0">
        <w:t xml:space="preserve">erformance </w:t>
      </w:r>
      <w:r w:rsidR="0012118E">
        <w:t>S</w:t>
      </w:r>
      <w:r w:rsidRPr="00EA55D0">
        <w:t>tatement</w:t>
      </w:r>
    </w:p>
    <w:p w14:paraId="0A19AAB3" w14:textId="6498E6B1" w:rsidR="000F2225" w:rsidRPr="00EA55D0" w:rsidRDefault="000F2225" w:rsidP="006D27F3">
      <w:pPr>
        <w:pStyle w:val="Heading3"/>
      </w:pPr>
      <w:r w:rsidRPr="00EA55D0">
        <w:t xml:space="preserve">Will any funding be available for providers to pay for an external auditor to audit the care minutes performance statement? </w:t>
      </w:r>
    </w:p>
    <w:p w14:paraId="1F14BFEA" w14:textId="0F9FAB13" w:rsidR="00B1597F" w:rsidRPr="005274C5" w:rsidRDefault="000F2225" w:rsidP="005274C5">
      <w:r w:rsidRPr="005274C5">
        <w:rPr>
          <w:lang w:eastAsia="en-AU"/>
        </w:rPr>
        <w:t>It is expected that the external audit will be an additional cost</w:t>
      </w:r>
      <w:r w:rsidR="009A03D7" w:rsidRPr="005274C5">
        <w:rPr>
          <w:lang w:eastAsia="en-AU"/>
        </w:rPr>
        <w:t xml:space="preserve"> for a provider</w:t>
      </w:r>
      <w:r w:rsidRPr="005274C5">
        <w:rPr>
          <w:lang w:eastAsia="en-AU"/>
        </w:rPr>
        <w:t xml:space="preserve">. </w:t>
      </w:r>
      <w:r w:rsidR="00CA01BD" w:rsidRPr="005274C5">
        <w:rPr>
          <w:lang w:eastAsia="en-AU"/>
        </w:rPr>
        <w:t xml:space="preserve">The cost of the external audit should be </w:t>
      </w:r>
      <w:r w:rsidRPr="005274C5">
        <w:rPr>
          <w:lang w:eastAsia="en-AU"/>
        </w:rPr>
        <w:t xml:space="preserve">captured in </w:t>
      </w:r>
      <w:r w:rsidR="00D852D1" w:rsidRPr="005274C5">
        <w:rPr>
          <w:lang w:eastAsia="en-AU"/>
        </w:rPr>
        <w:t>‘Other Administration Costs’</w:t>
      </w:r>
      <w:r w:rsidR="00961C46" w:rsidRPr="005274C5">
        <w:rPr>
          <w:lang w:eastAsia="en-AU"/>
        </w:rPr>
        <w:t>.</w:t>
      </w:r>
      <w:r w:rsidRPr="005274C5">
        <w:rPr>
          <w:lang w:eastAsia="en-AU"/>
        </w:rPr>
        <w:t xml:space="preserve"> </w:t>
      </w:r>
      <w:r w:rsidR="00186AE8" w:rsidRPr="005274C5">
        <w:rPr>
          <w:lang w:eastAsia="en-AU"/>
        </w:rPr>
        <w:t xml:space="preserve"> </w:t>
      </w:r>
      <w:r w:rsidR="00220ECA" w:rsidRPr="005274C5">
        <w:rPr>
          <w:lang w:eastAsia="en-AU"/>
        </w:rPr>
        <w:t xml:space="preserve">Administration costs </w:t>
      </w:r>
      <w:r w:rsidR="00C525E7" w:rsidRPr="005274C5">
        <w:rPr>
          <w:lang w:eastAsia="en-AU"/>
        </w:rPr>
        <w:t xml:space="preserve">are </w:t>
      </w:r>
      <w:proofErr w:type="gramStart"/>
      <w:r w:rsidR="00251AC3" w:rsidRPr="005274C5">
        <w:rPr>
          <w:lang w:eastAsia="en-AU"/>
        </w:rPr>
        <w:t>taken into account</w:t>
      </w:r>
      <w:proofErr w:type="gramEnd"/>
      <w:r w:rsidR="00251AC3" w:rsidRPr="005274C5">
        <w:rPr>
          <w:lang w:eastAsia="en-AU"/>
        </w:rPr>
        <w:t xml:space="preserve"> when </w:t>
      </w:r>
      <w:r w:rsidR="000C5355" w:rsidRPr="005274C5">
        <w:rPr>
          <w:lang w:eastAsia="en-AU"/>
        </w:rPr>
        <w:t xml:space="preserve">determining </w:t>
      </w:r>
      <w:r w:rsidR="00112C4F" w:rsidRPr="005274C5">
        <w:rPr>
          <w:lang w:eastAsia="en-AU"/>
        </w:rPr>
        <w:t xml:space="preserve">funding for providers. </w:t>
      </w:r>
    </w:p>
    <w:p w14:paraId="06D3EA5A" w14:textId="58D711E1" w:rsidR="000F2225" w:rsidRPr="00F7087C" w:rsidRDefault="000F2225" w:rsidP="006D27F3">
      <w:pPr>
        <w:pStyle w:val="Heading3"/>
      </w:pPr>
      <w:r w:rsidRPr="00F7087C">
        <w:t>Is this new requirement quarterly or only annual?</w:t>
      </w:r>
    </w:p>
    <w:p w14:paraId="3D966B40" w14:textId="7F788F61" w:rsidR="000F2225" w:rsidRPr="00322243" w:rsidRDefault="009C212A" w:rsidP="00322243">
      <w:pPr>
        <w:rPr>
          <w:lang w:eastAsia="en-AU"/>
        </w:rPr>
      </w:pPr>
      <w:r w:rsidRPr="00322243">
        <w:rPr>
          <w:lang w:eastAsia="en-AU"/>
        </w:rPr>
        <w:t xml:space="preserve">An external </w:t>
      </w:r>
      <w:r w:rsidR="000F2225" w:rsidRPr="00322243">
        <w:rPr>
          <w:lang w:eastAsia="en-AU"/>
        </w:rPr>
        <w:t xml:space="preserve">audit </w:t>
      </w:r>
      <w:r w:rsidRPr="00322243">
        <w:rPr>
          <w:lang w:eastAsia="en-AU"/>
        </w:rPr>
        <w:t xml:space="preserve">of the care minutes performance statement is only required </w:t>
      </w:r>
      <w:r w:rsidR="000F2225" w:rsidRPr="00322243">
        <w:rPr>
          <w:lang w:eastAsia="en-AU"/>
        </w:rPr>
        <w:t xml:space="preserve">annually. </w:t>
      </w:r>
    </w:p>
    <w:p w14:paraId="041EF3A5" w14:textId="4DD5CF10" w:rsidR="000F2225" w:rsidRPr="00EA55D0" w:rsidRDefault="000F2225" w:rsidP="006D27F3">
      <w:pPr>
        <w:pStyle w:val="Heading3"/>
      </w:pPr>
      <w:r w:rsidRPr="00EA55D0">
        <w:t>Will care time reporting assessments still occur?</w:t>
      </w:r>
    </w:p>
    <w:p w14:paraId="66ABB4A8" w14:textId="6674EF75" w:rsidR="000F2225" w:rsidRPr="00322243" w:rsidRDefault="000F2225" w:rsidP="00322243">
      <w:pPr>
        <w:rPr>
          <w:lang w:eastAsia="en-AU"/>
        </w:rPr>
      </w:pPr>
      <w:r w:rsidRPr="00322243">
        <w:rPr>
          <w:lang w:eastAsia="en-AU"/>
        </w:rPr>
        <w:t xml:space="preserve">Care </w:t>
      </w:r>
      <w:r w:rsidR="00946CEB" w:rsidRPr="00322243">
        <w:rPr>
          <w:lang w:eastAsia="en-AU"/>
        </w:rPr>
        <w:t>t</w:t>
      </w:r>
      <w:r w:rsidRPr="00322243">
        <w:rPr>
          <w:lang w:eastAsia="en-AU"/>
        </w:rPr>
        <w:t xml:space="preserve">ime </w:t>
      </w:r>
      <w:r w:rsidR="00946CEB" w:rsidRPr="00322243">
        <w:rPr>
          <w:lang w:eastAsia="en-AU"/>
        </w:rPr>
        <w:t>r</w:t>
      </w:r>
      <w:r w:rsidRPr="00322243">
        <w:rPr>
          <w:lang w:eastAsia="en-AU"/>
        </w:rPr>
        <w:t xml:space="preserve">eporting </w:t>
      </w:r>
      <w:r w:rsidR="00946CEB" w:rsidRPr="00322243">
        <w:rPr>
          <w:lang w:eastAsia="en-AU"/>
        </w:rPr>
        <w:t>a</w:t>
      </w:r>
      <w:r w:rsidRPr="00322243">
        <w:rPr>
          <w:lang w:eastAsia="en-AU"/>
        </w:rPr>
        <w:t xml:space="preserve">ssessments </w:t>
      </w:r>
      <w:r w:rsidR="00946CEB" w:rsidRPr="00322243">
        <w:rPr>
          <w:lang w:eastAsia="en-AU"/>
        </w:rPr>
        <w:t xml:space="preserve">conducted by the department </w:t>
      </w:r>
      <w:r w:rsidRPr="00322243">
        <w:rPr>
          <w:lang w:eastAsia="en-AU"/>
        </w:rPr>
        <w:t xml:space="preserve">will still occur, with less frequency. Previously, the </w:t>
      </w:r>
      <w:r w:rsidR="001A6728" w:rsidRPr="00322243">
        <w:rPr>
          <w:lang w:eastAsia="en-AU"/>
        </w:rPr>
        <w:t>d</w:t>
      </w:r>
      <w:r w:rsidRPr="00322243">
        <w:rPr>
          <w:lang w:eastAsia="en-AU"/>
        </w:rPr>
        <w:t xml:space="preserve">epartment committed to all services being audited every </w:t>
      </w:r>
      <w:r w:rsidR="00DA0141" w:rsidRPr="00322243">
        <w:rPr>
          <w:lang w:eastAsia="en-AU"/>
        </w:rPr>
        <w:t>three</w:t>
      </w:r>
      <w:r w:rsidRPr="00322243">
        <w:rPr>
          <w:lang w:eastAsia="en-AU"/>
        </w:rPr>
        <w:t xml:space="preserve"> years, or 33% coverage. </w:t>
      </w:r>
      <w:r w:rsidR="00422712" w:rsidRPr="00322243">
        <w:rPr>
          <w:lang w:eastAsia="en-AU"/>
        </w:rPr>
        <w:t xml:space="preserve">In future, </w:t>
      </w:r>
      <w:r w:rsidRPr="00322243">
        <w:rPr>
          <w:lang w:eastAsia="en-AU"/>
        </w:rPr>
        <w:t>reporting assessments will only be conducted over 10% of services each year.</w:t>
      </w:r>
    </w:p>
    <w:p w14:paraId="4BA4C704" w14:textId="1E7568FD" w:rsidR="000F2225" w:rsidRPr="006D27F3" w:rsidRDefault="000F2225" w:rsidP="006D27F3">
      <w:pPr>
        <w:pStyle w:val="Heading3"/>
      </w:pPr>
      <w:r w:rsidRPr="006D27F3">
        <w:t xml:space="preserve">Do these additional reporting and audit requirements relate to all </w:t>
      </w:r>
      <w:r w:rsidR="00237BE1" w:rsidRPr="006D27F3">
        <w:t>p</w:t>
      </w:r>
      <w:r w:rsidRPr="006D27F3">
        <w:t>roviders or only MM1?</w:t>
      </w:r>
    </w:p>
    <w:p w14:paraId="743DDF0F" w14:textId="2A6AF6E0" w:rsidR="000F2225" w:rsidRPr="00322243" w:rsidRDefault="000F2225" w:rsidP="00322243">
      <w:pPr>
        <w:rPr>
          <w:lang w:eastAsia="en-AU"/>
        </w:rPr>
      </w:pPr>
      <w:r w:rsidRPr="00322243">
        <w:rPr>
          <w:lang w:eastAsia="en-AU"/>
        </w:rPr>
        <w:t>All residential aged care providers will be required to complete the Care Minute</w:t>
      </w:r>
      <w:r w:rsidR="00EB6C5B" w:rsidRPr="00322243">
        <w:rPr>
          <w:lang w:eastAsia="en-AU"/>
        </w:rPr>
        <w:t>s</w:t>
      </w:r>
      <w:r w:rsidRPr="00322243">
        <w:rPr>
          <w:lang w:eastAsia="en-AU"/>
        </w:rPr>
        <w:t xml:space="preserve"> Performance Statement and obtain an external audit over it.</w:t>
      </w:r>
    </w:p>
    <w:p w14:paraId="054C7D7C" w14:textId="19497307" w:rsidR="000F2225" w:rsidRPr="00EA55D0" w:rsidRDefault="000F2225" w:rsidP="006D27F3">
      <w:pPr>
        <w:pStyle w:val="Heading3"/>
      </w:pPr>
      <w:r w:rsidRPr="00EA55D0">
        <w:t xml:space="preserve">Will the </w:t>
      </w:r>
      <w:r w:rsidR="00AF7C94" w:rsidRPr="00EA55D0">
        <w:t>Department</w:t>
      </w:r>
      <w:r w:rsidRPr="00EA55D0">
        <w:t xml:space="preserve"> be advising of approved auditors for these statements?</w:t>
      </w:r>
    </w:p>
    <w:p w14:paraId="014B336A" w14:textId="77777777" w:rsidR="000F2225" w:rsidRPr="001D34A1" w:rsidRDefault="000F2225" w:rsidP="001D34A1">
      <w:r w:rsidRPr="001D34A1">
        <w:t>All registered company auditors, including those currently engaged to perform your financial statement audit, are allowed to complete the audit.</w:t>
      </w:r>
    </w:p>
    <w:p w14:paraId="4542C54D" w14:textId="31CE811A" w:rsidR="000F2225" w:rsidRPr="00EA55D0" w:rsidRDefault="008C3860" w:rsidP="006D27F3">
      <w:pPr>
        <w:pStyle w:val="Heading3"/>
      </w:pPr>
      <w:r w:rsidRPr="00EA55D0">
        <w:t xml:space="preserve">Why do I have to </w:t>
      </w:r>
      <w:r w:rsidR="008E28BE" w:rsidRPr="00EA55D0">
        <w:t>re</w:t>
      </w:r>
      <w:r w:rsidRPr="00EA55D0">
        <w:t xml:space="preserve">submit </w:t>
      </w:r>
      <w:r w:rsidR="008F342F" w:rsidRPr="00EA55D0">
        <w:t>care minutes</w:t>
      </w:r>
      <w:r w:rsidR="004C4E48" w:rsidRPr="00EA55D0">
        <w:t xml:space="preserve"> and </w:t>
      </w:r>
      <w:r w:rsidR="00827F9D" w:rsidRPr="00EA55D0">
        <w:t>Registered Nurse</w:t>
      </w:r>
      <w:r w:rsidR="008F342F" w:rsidRPr="00EA55D0">
        <w:t xml:space="preserve"> data that has already been</w:t>
      </w:r>
      <w:r w:rsidR="00506455" w:rsidRPr="00EA55D0">
        <w:t xml:space="preserve"> report</w:t>
      </w:r>
      <w:r w:rsidR="002A61BB" w:rsidRPr="00EA55D0">
        <w:t>ed</w:t>
      </w:r>
      <w:r w:rsidR="00506455" w:rsidRPr="00EA55D0">
        <w:t xml:space="preserve"> in the QFR a</w:t>
      </w:r>
      <w:r w:rsidR="004C4E48" w:rsidRPr="00EA55D0">
        <w:t xml:space="preserve">nd </w:t>
      </w:r>
      <w:r w:rsidR="00DF238B" w:rsidRPr="00EA55D0">
        <w:t>24/7</w:t>
      </w:r>
      <w:r w:rsidR="008F342F" w:rsidRPr="00EA55D0">
        <w:t xml:space="preserve"> </w:t>
      </w:r>
      <w:r w:rsidR="00827F9D" w:rsidRPr="00EA55D0">
        <w:t xml:space="preserve">reporting? </w:t>
      </w:r>
    </w:p>
    <w:p w14:paraId="098F597A" w14:textId="77777777" w:rsidR="00AB6A2D" w:rsidRDefault="000F2225" w:rsidP="00AB6A2D">
      <w:r w:rsidRPr="001D34A1">
        <w:t xml:space="preserve">The </w:t>
      </w:r>
      <w:r w:rsidR="00F41E70" w:rsidRPr="001D34A1">
        <w:t>care minutes</w:t>
      </w:r>
      <w:r w:rsidR="00AC799F" w:rsidRPr="001D34A1">
        <w:t xml:space="preserve"> and </w:t>
      </w:r>
      <w:r w:rsidR="007E0B82" w:rsidRPr="001D34A1">
        <w:t>Registered Nurse data</w:t>
      </w:r>
      <w:r w:rsidR="002A61BB" w:rsidRPr="001D34A1">
        <w:t xml:space="preserve"> </w:t>
      </w:r>
      <w:r w:rsidR="00C22EE3" w:rsidRPr="001D34A1">
        <w:t>needs to be</w:t>
      </w:r>
      <w:r w:rsidR="003A62AE" w:rsidRPr="001D34A1">
        <w:t xml:space="preserve"> </w:t>
      </w:r>
      <w:r w:rsidR="000001EF" w:rsidRPr="001D34A1">
        <w:t xml:space="preserve">aggregated into </w:t>
      </w:r>
      <w:r w:rsidR="005119BF" w:rsidRPr="001D34A1">
        <w:t xml:space="preserve">the one </w:t>
      </w:r>
      <w:r w:rsidRPr="001D34A1">
        <w:t>Care Minute</w:t>
      </w:r>
      <w:r w:rsidR="00EB6C5B" w:rsidRPr="001D34A1">
        <w:t>s</w:t>
      </w:r>
      <w:r w:rsidRPr="001D34A1">
        <w:t xml:space="preserve"> Performance Statement</w:t>
      </w:r>
      <w:r w:rsidR="00CC606A" w:rsidRPr="001D34A1">
        <w:t xml:space="preserve"> </w:t>
      </w:r>
      <w:r w:rsidR="00FF7C8C" w:rsidRPr="001D34A1">
        <w:t xml:space="preserve">to enable </w:t>
      </w:r>
      <w:r w:rsidR="00514948" w:rsidRPr="001D34A1">
        <w:t>the external aud</w:t>
      </w:r>
      <w:r w:rsidR="00710E73" w:rsidRPr="001D34A1">
        <w:t>itor</w:t>
      </w:r>
      <w:r w:rsidRPr="001D34A1">
        <w:t xml:space="preserve"> </w:t>
      </w:r>
      <w:r w:rsidR="00DD2E64" w:rsidRPr="001D34A1">
        <w:t>to provide one audit opinion</w:t>
      </w:r>
      <w:r w:rsidR="00502BC0" w:rsidRPr="001D34A1">
        <w:t xml:space="preserve"> ab</w:t>
      </w:r>
      <w:r w:rsidR="003E3132" w:rsidRPr="001D34A1">
        <w:t xml:space="preserve">out </w:t>
      </w:r>
      <w:proofErr w:type="gramStart"/>
      <w:r w:rsidR="003E3132" w:rsidRPr="001D34A1">
        <w:t>all of</w:t>
      </w:r>
      <w:proofErr w:type="gramEnd"/>
      <w:r w:rsidR="003E3132" w:rsidRPr="001D34A1">
        <w:t xml:space="preserve"> the</w:t>
      </w:r>
      <w:r w:rsidR="00502BC0" w:rsidRPr="001D34A1">
        <w:t xml:space="preserve"> data.</w:t>
      </w:r>
    </w:p>
    <w:p w14:paraId="6F901138" w14:textId="5864F68D" w:rsidR="001D34A1" w:rsidRPr="001D34A1" w:rsidRDefault="00B05710" w:rsidP="00A2039A">
      <w:r w:rsidRPr="001D34A1">
        <w:t xml:space="preserve">If the </w:t>
      </w:r>
      <w:r w:rsidR="00312704" w:rsidRPr="001D34A1">
        <w:t xml:space="preserve">Care </w:t>
      </w:r>
      <w:r w:rsidR="000F2225" w:rsidRPr="001D34A1">
        <w:t>Minute</w:t>
      </w:r>
      <w:r w:rsidR="00EB6C5B" w:rsidRPr="001D34A1">
        <w:t>s</w:t>
      </w:r>
      <w:r w:rsidR="000F2225" w:rsidRPr="001D34A1">
        <w:t xml:space="preserve"> Performance Statement</w:t>
      </w:r>
      <w:r w:rsidRPr="001D34A1">
        <w:t xml:space="preserve"> was not introduced</w:t>
      </w:r>
      <w:r w:rsidR="000F2225" w:rsidRPr="001D34A1">
        <w:t xml:space="preserve">, </w:t>
      </w:r>
      <w:r w:rsidR="00AF6441" w:rsidRPr="001D34A1">
        <w:t>separate audit opinions would need to be sought on each of the four QFRs</w:t>
      </w:r>
      <w:r w:rsidR="009D7D15" w:rsidRPr="001D34A1">
        <w:t xml:space="preserve"> </w:t>
      </w:r>
      <w:r w:rsidR="00712521" w:rsidRPr="001D34A1">
        <w:t>plus</w:t>
      </w:r>
      <w:r w:rsidR="009D7D15" w:rsidRPr="001D34A1">
        <w:t xml:space="preserve"> 24/7</w:t>
      </w:r>
      <w:r w:rsidR="00BF140A" w:rsidRPr="001D34A1">
        <w:t xml:space="preserve"> reporting</w:t>
      </w:r>
      <w:r w:rsidR="004E2A50" w:rsidRPr="001D34A1">
        <w:t xml:space="preserve"> which would increase audit fees. </w:t>
      </w:r>
    </w:p>
    <w:p w14:paraId="58D455EC" w14:textId="648F7BDF" w:rsidR="00107BC7" w:rsidRDefault="00426CA9" w:rsidP="00A2039A">
      <w:r w:rsidRPr="001D34A1">
        <w:t>As the ACFR is on a different IT platform to the QFR and 24/7 reporting</w:t>
      </w:r>
      <w:r w:rsidR="00906EB8" w:rsidRPr="001D34A1">
        <w:t xml:space="preserve">, </w:t>
      </w:r>
      <w:r w:rsidR="00367109" w:rsidRPr="001D34A1">
        <w:t xml:space="preserve">the department </w:t>
      </w:r>
      <w:proofErr w:type="gramStart"/>
      <w:r w:rsidR="00367109" w:rsidRPr="001D34A1">
        <w:t>is not able to</w:t>
      </w:r>
      <w:proofErr w:type="gramEnd"/>
      <w:r w:rsidR="00367109" w:rsidRPr="001D34A1">
        <w:t xml:space="preserve"> pre-populate the Care </w:t>
      </w:r>
      <w:r w:rsidR="0023631E" w:rsidRPr="001D34A1">
        <w:t>Minutes</w:t>
      </w:r>
      <w:r w:rsidR="00367109" w:rsidRPr="001D34A1">
        <w:t xml:space="preserve"> Performance Statement with data that has previously been reported.</w:t>
      </w:r>
    </w:p>
    <w:p w14:paraId="7DBFE472" w14:textId="51356EE4" w:rsidR="008C7F9D" w:rsidRPr="00EA55D0" w:rsidRDefault="005F1F7C" w:rsidP="008C7F9D">
      <w:pPr>
        <w:pStyle w:val="Heading3"/>
      </w:pPr>
      <w:r>
        <w:t xml:space="preserve">Does the </w:t>
      </w:r>
      <w:r w:rsidR="008C7F9D" w:rsidRPr="00EA55D0">
        <w:t xml:space="preserve">care minutes data </w:t>
      </w:r>
      <w:r>
        <w:t xml:space="preserve">submitted in the Care Minutes Performance Statement need to match </w:t>
      </w:r>
      <w:r w:rsidR="00965E15">
        <w:t xml:space="preserve">the </w:t>
      </w:r>
      <w:r w:rsidR="00FE6D42">
        <w:t xml:space="preserve">care minutes </w:t>
      </w:r>
      <w:r w:rsidR="00965E15">
        <w:t>data that</w:t>
      </w:r>
      <w:r w:rsidR="008C7F9D" w:rsidRPr="00EA55D0">
        <w:t xml:space="preserve"> has </w:t>
      </w:r>
      <w:r w:rsidR="00FE6D42">
        <w:t xml:space="preserve">previously </w:t>
      </w:r>
      <w:r w:rsidR="008C7F9D" w:rsidRPr="00EA55D0">
        <w:t>been reported in the Q</w:t>
      </w:r>
      <w:r w:rsidR="00FE6D42">
        <w:t>uarterly Financial Report</w:t>
      </w:r>
      <w:r w:rsidR="00EE647C">
        <w:t xml:space="preserve"> (QFR)</w:t>
      </w:r>
      <w:r w:rsidR="008C7F9D" w:rsidRPr="00EA55D0">
        <w:t xml:space="preserve">? </w:t>
      </w:r>
    </w:p>
    <w:p w14:paraId="45ABE0DA" w14:textId="03911563" w:rsidR="008C7F9D" w:rsidRPr="005274C5" w:rsidRDefault="00965E15" w:rsidP="005274C5">
      <w:r>
        <w:t xml:space="preserve">No. </w:t>
      </w:r>
      <w:r w:rsidR="008C7F9D" w:rsidRPr="001D34A1">
        <w:t xml:space="preserve">The care minutes </w:t>
      </w:r>
      <w:r w:rsidR="00452FAD">
        <w:t>data submitted in the Care Minutes Performance Statement needs to be ac</w:t>
      </w:r>
      <w:r w:rsidR="00452FAD" w:rsidRPr="005274C5">
        <w:t>tual results that have been audited. T</w:t>
      </w:r>
      <w:r w:rsidR="00EE6CB2" w:rsidRPr="005274C5">
        <w:t xml:space="preserve">his may be different from data previously reported </w:t>
      </w:r>
      <w:r w:rsidR="002D6525" w:rsidRPr="005274C5">
        <w:t xml:space="preserve">in the </w:t>
      </w:r>
      <w:r w:rsidR="00A73F09" w:rsidRPr="005274C5">
        <w:t xml:space="preserve">four QFR submissions </w:t>
      </w:r>
      <w:r w:rsidR="00EE6CB2" w:rsidRPr="005274C5">
        <w:t xml:space="preserve">due to </w:t>
      </w:r>
      <w:r w:rsidR="00A042AD" w:rsidRPr="005274C5">
        <w:t xml:space="preserve">adjustments or late data. </w:t>
      </w:r>
    </w:p>
    <w:p w14:paraId="7CCB7123" w14:textId="5464E5D4" w:rsidR="00A042AD" w:rsidRPr="005274C5" w:rsidRDefault="00E94BFB" w:rsidP="005274C5">
      <w:r w:rsidRPr="005274C5">
        <w:t xml:space="preserve">Note that the total of the </w:t>
      </w:r>
      <w:r w:rsidR="003761E1" w:rsidRPr="005274C5">
        <w:t>four</w:t>
      </w:r>
      <w:r w:rsidRPr="005274C5">
        <w:t xml:space="preserve"> quarters of the care minutes data submitted in the Care Minutes Performance Statement should </w:t>
      </w:r>
      <w:r w:rsidR="009925E5" w:rsidRPr="005274C5">
        <w:t xml:space="preserve">be the same data that is </w:t>
      </w:r>
      <w:r w:rsidRPr="005274C5">
        <w:t xml:space="preserve">submitted in the residential reporting in </w:t>
      </w:r>
      <w:r w:rsidR="008F1137" w:rsidRPr="005274C5">
        <w:t>other parts of the ACFR.</w:t>
      </w:r>
      <w:r w:rsidRPr="005274C5">
        <w:t xml:space="preserve"> </w:t>
      </w:r>
    </w:p>
    <w:p w14:paraId="4EBB0BFC" w14:textId="77777777" w:rsidR="00B70E2F" w:rsidRPr="005274C5" w:rsidRDefault="00B70E2F" w:rsidP="005274C5">
      <w:r w:rsidRPr="005274C5">
        <w:br w:type="page"/>
      </w:r>
    </w:p>
    <w:p w14:paraId="050E33B1" w14:textId="2A2ADF2C" w:rsidR="00AA110D" w:rsidRPr="00EA55D0" w:rsidRDefault="002837E6" w:rsidP="002837E6">
      <w:pPr>
        <w:pStyle w:val="Chapternumbers"/>
      </w:pPr>
      <w:bookmarkStart w:id="59" w:name="_Toc224723299"/>
      <w:r w:rsidRPr="00EA55D0">
        <w:rPr>
          <w:noProof/>
        </w:rPr>
        <mc:AlternateContent>
          <mc:Choice Requires="wps">
            <w:drawing>
              <wp:anchor distT="0" distB="0" distL="114300" distR="114300" simplePos="0" relativeHeight="251658252" behindDoc="1" locked="0" layoutInCell="1" allowOverlap="1" wp14:anchorId="3951E8B9" wp14:editId="49C071AD">
                <wp:simplePos x="0" y="0"/>
                <wp:positionH relativeFrom="page">
                  <wp:align>left</wp:align>
                </wp:positionH>
                <wp:positionV relativeFrom="page">
                  <wp:posOffset>-332338</wp:posOffset>
                </wp:positionV>
                <wp:extent cx="8607425" cy="12691745"/>
                <wp:effectExtent l="0" t="0" r="3175" b="0"/>
                <wp:wrapNone/>
                <wp:docPr id="1439942107" name="Rectangle 14399421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07425" cy="126917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CA121" id="Rectangle 1439942107" o:spid="_x0000_s1026" alt="&quot;&quot;" style="position:absolute;margin-left:0;margin-top:-26.15pt;width:677.75pt;height:999.35pt;z-index:-25165822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gfQIAAGAFAAAOAAAAZHJzL2Uyb0RvYy54bWysVN9v2yAQfp+0/wHxvtqOkv6I6lRRq06T&#10;qrZqO/WZYqiRMMeAxMn++h1gO11X7WFaHghw33139/mO84tdp8lWOK/A1LQ6KikRhkOjzGtNvz9d&#10;fzmlxAdmGqbBiJruhacXq8+fznu7FDNoQTfCESQxftnbmrYh2GVReN6KjvkjsMKgUYLrWMCjey0a&#10;x3pk73QxK8vjogfXWAdceI+3V9lIV4lfSsHDnZReBKJrirmFtLq0vsS1WJ2z5atjtlV8SIP9QxYd&#10;UwaDTlRXLDCyceoPqk5xBx5kOOLQFSCl4iLVgNVU5btqHltmRaoFxfF2ksn/P1p+u3209w5l6K1f&#10;etzGKnbSdfEf8yO7JNZ+EkvsAuF4eXpcnsxnC0o42qrZ8Vl1Ml9EPYuDv3U+fBXQkbipqcPPkVRi&#10;2xsfMnSExHAetGquldbpEFtAXGpHtgw/XthVA/lvKG0i1kD0yoTxpjgUk3Zhr0XEafMgJFENpj9L&#10;iaQ+OwRhnAsTqmxqWSNy7EWJvzH6mFYqNBFGZonxJ+6BYERmkpE7Zzngo6tIbTo5l39LLDtPHiky&#10;mDA5d8qA+4hAY1VD5IwfRcrSRJVeoNnfO+IgD4m3/FrhZ7thPtwzh1OB84OTHu5wkRr6msKwo6QF&#10;9/Oj+4jHZkUrJT1OWU39jw1zghL9zWAbn1XzeRzLdJgvTmZ4cG8tL28tZtNdAvZChW+K5Wkb8UGP&#10;W+mge8YHYR2jookZjrFryoMbD5chTz8+KVys1wmGo2hZuDGPlkfyqGpsy6fdM3N26N2AfX8L40Sy&#10;5bsWztjoaWC9CSBV6u+DroPeOMapcYYnJ74Tb88JdXgYV78AAAD//wMAUEsDBBQABgAIAAAAIQCl&#10;Moi23gAAAAoBAAAPAAAAZHJzL2Rvd25yZXYueG1sTI/BbsIwEETvlfgHa5F6AwdCUAlxEELlWomA&#10;qh5NvI2jxOsodkL69zWn9jarWc28yQ6TadmIvastCVgtI2BIpVU1VQJu1/PiDZjzkpRsLaGAH3Rw&#10;yGcvmUyVfdAFx8JXLISQS6UA7X2Xcu5KjUa6pe2QgvdteyN9OPuKq14+Qrhp+TqKttzImkKDlh2e&#10;NJZNMRgB1df5fZwajfbi4mJout3t41MJ8TqfjntgHif/9wxP/IAOeWC624GUY62AMMQLWCTrGNjT&#10;jpMkAXYParfZboDnGf8/If8FAAD//wMAUEsBAi0AFAAGAAgAAAAhALaDOJL+AAAA4QEAABMAAAAA&#10;AAAAAAAAAAAAAAAAAFtDb250ZW50X1R5cGVzXS54bWxQSwECLQAUAAYACAAAACEAOP0h/9YAAACU&#10;AQAACwAAAAAAAAAAAAAAAAAvAQAAX3JlbHMvLnJlbHNQSwECLQAUAAYACAAAACEAfj5s4H0CAABg&#10;BQAADgAAAAAAAAAAAAAAAAAuAgAAZHJzL2Uyb0RvYy54bWxQSwECLQAUAAYACAAAACEApTKItt4A&#10;AAAKAQAADwAAAAAAAAAAAAAAAADXBAAAZHJzL2Rvd25yZXYueG1sUEsFBgAAAAAEAAQA8wAAAOIF&#10;AAAAAA==&#10;" fillcolor="#1e1545 [3213]" stroked="f" strokeweight="2pt">
                <w10:wrap anchorx="page" anchory="page"/>
              </v:rect>
            </w:pict>
          </mc:Fallback>
        </mc:AlternateContent>
      </w:r>
      <w:bookmarkEnd w:id="59"/>
      <w:r w:rsidR="00AA110D">
        <w:t>8</w:t>
      </w:r>
    </w:p>
    <w:p w14:paraId="6FAAF4C0" w14:textId="48DA77BA" w:rsidR="008502E2" w:rsidRPr="005274C5" w:rsidRDefault="00AA110D" w:rsidP="00F255A4">
      <w:pPr>
        <w:pStyle w:val="Titleforpagesbetweensections"/>
      </w:pPr>
      <w:r>
        <w:t xml:space="preserve">Short-Term Restorative Care </w:t>
      </w:r>
      <w:r w:rsidR="00463E63">
        <w:t>r</w:t>
      </w:r>
      <w:r>
        <w:t>eporting</w:t>
      </w:r>
      <w:r w:rsidR="008502E2" w:rsidRPr="005274C5">
        <w:br w:type="page"/>
      </w:r>
    </w:p>
    <w:p w14:paraId="04630A9E" w14:textId="5E0912B4" w:rsidR="000B7045" w:rsidRPr="00EA55D0" w:rsidRDefault="000B7045" w:rsidP="00E22085">
      <w:pPr>
        <w:pStyle w:val="Heading1"/>
      </w:pPr>
      <w:bookmarkStart w:id="60" w:name="_Toc224723300"/>
      <w:r w:rsidRPr="00EA55D0">
        <w:t xml:space="preserve">Short-Term Restorative Care </w:t>
      </w:r>
      <w:bookmarkEnd w:id="57"/>
      <w:bookmarkEnd w:id="58"/>
      <w:r w:rsidR="001735BE" w:rsidRPr="00EA55D0">
        <w:t>reporting</w:t>
      </w:r>
      <w:bookmarkEnd w:id="60"/>
    </w:p>
    <w:p w14:paraId="100E23F1" w14:textId="6BB604B3" w:rsidR="005D78E0" w:rsidRPr="00271D9E" w:rsidRDefault="00B70E2F" w:rsidP="00271D9E">
      <w:pPr>
        <w:pStyle w:val="Heading2"/>
      </w:pPr>
      <w:r w:rsidRPr="00271D9E">
        <w:t xml:space="preserve"> </w:t>
      </w:r>
      <w:r w:rsidR="005D78E0" w:rsidRPr="00271D9E">
        <w:t xml:space="preserve">Information about STRC </w:t>
      </w:r>
      <w:r w:rsidR="00A32B1B" w:rsidRPr="00271D9E">
        <w:t>pre-1 November 2025</w:t>
      </w:r>
    </w:p>
    <w:p w14:paraId="669B086B" w14:textId="762D5221" w:rsidR="000B7045" w:rsidRPr="00D471ED" w:rsidRDefault="007C0718" w:rsidP="000B7045">
      <w:r>
        <w:t xml:space="preserve">The </w:t>
      </w:r>
      <w:r w:rsidR="000B7045" w:rsidRPr="00EA55D0">
        <w:t>Short-Term Restorative Care (STRC)</w:t>
      </w:r>
      <w:r>
        <w:t xml:space="preserve"> Program</w:t>
      </w:r>
      <w:r w:rsidR="000B7045" w:rsidRPr="00EA55D0">
        <w:t xml:space="preserve"> is a type of flexible care under the </w:t>
      </w:r>
      <w:r w:rsidR="000B7045" w:rsidRPr="00827496">
        <w:rPr>
          <w:i/>
          <w:iCs/>
        </w:rPr>
        <w:t>Aged Care Act 1997</w:t>
      </w:r>
      <w:r w:rsidR="000B7045" w:rsidRPr="00EA55D0">
        <w:t xml:space="preserve"> that aims to reverse and/or slow ‘functional decline’ in older people and improve their wellbeing. STRC places were first allocated in February 2017.</w:t>
      </w:r>
      <w:r w:rsidR="00250723" w:rsidRPr="00D471ED">
        <w:t xml:space="preserve"> </w:t>
      </w:r>
    </w:p>
    <w:p w14:paraId="649ED37A" w14:textId="77777777" w:rsidR="000B7045" w:rsidRDefault="000B7045" w:rsidP="000B7045">
      <w:r w:rsidRPr="00EA55D0">
        <w:t xml:space="preserve">All STRC places were allocated with conditions of allocation requiring the submission of financial reports. This requirement is reflected in Section 35(8) of the </w:t>
      </w:r>
      <w:r w:rsidRPr="00827496">
        <w:rPr>
          <w:u w:val="single"/>
        </w:rPr>
        <w:t>Accountability Principles 2014</w:t>
      </w:r>
      <w:r w:rsidRPr="00EA55D0">
        <w:t xml:space="preserve">. The ACFR is the approved form through which these obligations are to be met. </w:t>
      </w:r>
    </w:p>
    <w:p w14:paraId="5103013F" w14:textId="1F1F5363" w:rsidR="00847889" w:rsidRPr="00D471ED" w:rsidRDefault="00847889" w:rsidP="000B7045">
      <w:r w:rsidRPr="00EA55D0">
        <w:rPr>
          <w:rFonts w:eastAsiaTheme="minorHAnsi" w:cs="Arial"/>
        </w:rPr>
        <w:t>STRC providers who delivered services up until 31 October 2025, must report income and expenses in “STRC Income and Expenditure Statement” in the ACFR 2025-26</w:t>
      </w:r>
      <w:r w:rsidRPr="00D471ED">
        <w:t>.</w:t>
      </w:r>
    </w:p>
    <w:p w14:paraId="3C23CAA9" w14:textId="653953C8" w:rsidR="000B7045" w:rsidRPr="00EA55D0" w:rsidRDefault="000B7045" w:rsidP="000B7045">
      <w:pPr>
        <w:rPr>
          <w:b/>
          <w:bCs/>
        </w:rPr>
      </w:pPr>
      <w:r w:rsidRPr="00EA55D0">
        <w:t>If a provider operates two or more STRC services, their ACFR must cover all services in a single report.</w:t>
      </w:r>
    </w:p>
    <w:p w14:paraId="37AEF6B1" w14:textId="1B1221D6" w:rsidR="00302E7B" w:rsidRPr="00271D9E" w:rsidRDefault="00302E7B" w:rsidP="00271D9E">
      <w:pPr>
        <w:pStyle w:val="Heading2"/>
      </w:pPr>
      <w:r w:rsidRPr="00271D9E">
        <w:t>Approach to reporting from 1 November 2025</w:t>
      </w:r>
    </w:p>
    <w:p w14:paraId="4E3AC256" w14:textId="5243D67E" w:rsidR="00302E7B" w:rsidRPr="00EA55D0" w:rsidRDefault="00302E7B" w:rsidP="00302E7B">
      <w:pPr>
        <w:rPr>
          <w:rFonts w:eastAsiaTheme="minorHAnsi" w:cs="Arial"/>
        </w:rPr>
      </w:pPr>
      <w:r w:rsidRPr="00EA55D0">
        <w:rPr>
          <w:rFonts w:eastAsiaTheme="minorHAnsi" w:cs="Arial"/>
        </w:rPr>
        <w:t xml:space="preserve">From 1 November 2025, </w:t>
      </w:r>
      <w:r w:rsidR="00245A3B">
        <w:rPr>
          <w:rFonts w:eastAsiaTheme="minorHAnsi" w:cs="Arial"/>
        </w:rPr>
        <w:t xml:space="preserve">the </w:t>
      </w:r>
      <w:r w:rsidRPr="00EA55D0">
        <w:rPr>
          <w:rFonts w:eastAsiaTheme="minorHAnsi" w:cs="Arial"/>
        </w:rPr>
        <w:t>Short-Term Restorative Care (STRC) Program transition</w:t>
      </w:r>
      <w:r w:rsidR="00720E7E">
        <w:rPr>
          <w:rFonts w:eastAsiaTheme="minorHAnsi" w:cs="Arial"/>
        </w:rPr>
        <w:t>ed</w:t>
      </w:r>
      <w:r w:rsidRPr="00EA55D0">
        <w:rPr>
          <w:rFonts w:eastAsiaTheme="minorHAnsi" w:cs="Arial"/>
        </w:rPr>
        <w:t xml:space="preserve"> to the new Support at Home program. </w:t>
      </w:r>
    </w:p>
    <w:p w14:paraId="3F3E3582" w14:textId="77777777" w:rsidR="00302E7B" w:rsidRPr="00EA55D0" w:rsidRDefault="00302E7B" w:rsidP="00302E7B">
      <w:pPr>
        <w:rPr>
          <w:rFonts w:eastAsiaTheme="minorHAnsi" w:cs="Arial"/>
        </w:rPr>
      </w:pPr>
      <w:r w:rsidRPr="00EA55D0">
        <w:rPr>
          <w:rFonts w:eastAsiaTheme="minorHAnsi" w:cs="Arial"/>
        </w:rPr>
        <w:t xml:space="preserve">Providers who deliver the Support at Home program from 1 November 2025 must report income and expenses in a new “Support at Home Income and Expenditure Statement”. </w:t>
      </w:r>
    </w:p>
    <w:p w14:paraId="50979504" w14:textId="5861BBFF" w:rsidR="00302E7B" w:rsidRPr="00EA55D0" w:rsidRDefault="00302E7B" w:rsidP="00302E7B">
      <w:r w:rsidRPr="00EA55D0">
        <w:rPr>
          <w:rFonts w:eastAsiaTheme="minorHAnsi" w:cs="Arial"/>
        </w:rPr>
        <w:t xml:space="preserve">Providers will need to attribute income and expenses received or incurred to the relevant program. </w:t>
      </w:r>
    </w:p>
    <w:p w14:paraId="559151DB" w14:textId="77777777" w:rsidR="00827496" w:rsidRPr="005274C5" w:rsidRDefault="00827496" w:rsidP="005274C5">
      <w:bookmarkStart w:id="61" w:name="_Toc184198010"/>
      <w:bookmarkStart w:id="62" w:name="_Toc199761945"/>
      <w:r w:rsidRPr="005274C5">
        <w:br w:type="page"/>
      </w:r>
    </w:p>
    <w:p w14:paraId="3A0F609A" w14:textId="2B2827D8" w:rsidR="00AA110D" w:rsidRPr="00EA55D0" w:rsidRDefault="002837E6" w:rsidP="002837E6">
      <w:pPr>
        <w:pStyle w:val="Chapternumbers"/>
      </w:pPr>
      <w:bookmarkStart w:id="63" w:name="_Toc224723301"/>
      <w:r w:rsidRPr="00EA55D0">
        <w:rPr>
          <w:noProof/>
        </w:rPr>
        <mc:AlternateContent>
          <mc:Choice Requires="wps">
            <w:drawing>
              <wp:anchor distT="0" distB="0" distL="114300" distR="114300" simplePos="0" relativeHeight="251658253" behindDoc="1" locked="0" layoutInCell="1" allowOverlap="1" wp14:anchorId="2C435BF3" wp14:editId="3E8D5B97">
                <wp:simplePos x="0" y="0"/>
                <wp:positionH relativeFrom="page">
                  <wp:align>left</wp:align>
                </wp:positionH>
                <wp:positionV relativeFrom="page">
                  <wp:posOffset>-177674</wp:posOffset>
                </wp:positionV>
                <wp:extent cx="8721725" cy="12215495"/>
                <wp:effectExtent l="0" t="0" r="3175" b="0"/>
                <wp:wrapNone/>
                <wp:docPr id="260186445" name="Rectangle 2601864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721725" cy="1221549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C5223" id="Rectangle 260186445" o:spid="_x0000_s1026" alt="&quot;&quot;" style="position:absolute;margin-left:0;margin-top:-14pt;width:686.75pt;height:961.85pt;z-index:-251658227;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v0fAIAAGAFAAAOAAAAZHJzL2Uyb0RvYy54bWysVFFv2yAQfp+0/4B4Xx1bydpGdaqoVadJ&#10;VVstnfpMMdRImGNA4mS/fgfYTtdVe5iWBwLcd9/dfb7j4nLfabITziswNS1PZpQIw6FR5qWm3x9v&#10;Pp1R4gMzDdNgRE0PwtPL1ccPF71digpa0I1wBEmMX/a2pm0IdlkUnreiY/4ErDBolOA6FvDoXorG&#10;sR7ZO11Us9nnogfXWAdceI+319lIV4lfSsHDvZReBKJrirmFtLq0Pse1WF2w5YtjtlV8SIP9QxYd&#10;UwaDTlTXLDCydeoPqk5xBx5kOOHQFSCl4iLVgNWUszfVbFpmRaoFxfF2ksn/P1p+t9vYB4cy9NYv&#10;PW5jFXvpuviP+ZF9EuswiSX2gXC8PDutytNqQQlHW1lV5WJ+voh6Fkd/63z4IqAjcVNTh58jqcR2&#10;tz5k6AiJ4Txo1dwordMhtoC40o7sGH68sC8H8t9Q2kSsgeiVCeNNcSwm7cJBi4jT5puQRDWYfpUS&#10;SX12DMI4FyaU2dSyRuTYixn+xuhjWqnQRBiZJcafuAeCEZlJRu6c5YCPriK16eQ8+1ti2XnySJHB&#10;hMm5UwbcewQaqxoiZ/woUpYmqvQMzeHBEQd5SLzlNwo/2y3z4YE5nAqcH5z0cI+L1NDXFIYdJS24&#10;n+/dRzw2K1op6XHKaup/bJkTlOivBtv4vJzP41imw3xxWuHBvbY8v7aYbXcF2AslvimWp23EBz1u&#10;pYPuCR+EdYyKJmY4xq4pD248XIU8/fikcLFeJxiOomXh1mwsj+RR1diWj/sn5uzQuwH7/g7GiWTL&#10;Ny2csdHTwHobQKrU30ddB71xjFPjDE9OfCdenxPq+DCufgEAAP//AwBQSwMEFAAGAAgAAAAhAKjO&#10;5kjeAAAACgEAAA8AAABkcnMvZG93bnJldi54bWxMj8FugzAQRO+V+g/WVuotMQ1KQwgmqqrmWikk&#10;qnp08AYQeI2wIfTvuzm1t1nNaPZNtp9tJyYcfONIwcsyAoFUOtNQpeB8OiwSED5oMrpzhAp+0MM+&#10;f3zIdGrcjY44FaESXEI+1QrqEPpUSl/WaLVfuh6JvasbrA58DpU0g75xue3kKopepdUN8Yda9/he&#10;Y9kWo1VQfR8+prmt0R19XIxtvz1/fhmlnp/mtx2IgHP4C8Mdn9EhZ6aLG8l40SngIUHBYpWwuNvx&#10;Jl6DuLBKtusNyDyT/yfkvwAAAP//AwBQSwECLQAUAAYACAAAACEAtoM4kv4AAADhAQAAEwAAAAAA&#10;AAAAAAAAAAAAAAAAW0NvbnRlbnRfVHlwZXNdLnhtbFBLAQItABQABgAIAAAAIQA4/SH/1gAAAJQB&#10;AAALAAAAAAAAAAAAAAAAAC8BAABfcmVscy8ucmVsc1BLAQItABQABgAIAAAAIQDPrLv0fAIAAGAF&#10;AAAOAAAAAAAAAAAAAAAAAC4CAABkcnMvZTJvRG9jLnhtbFBLAQItABQABgAIAAAAIQCozuZI3gAA&#10;AAoBAAAPAAAAAAAAAAAAAAAAANYEAABkcnMvZG93bnJldi54bWxQSwUGAAAAAAQABADzAAAA4QUA&#10;AAAA&#10;" fillcolor="#1e1545 [3213]" stroked="f" strokeweight="2pt">
                <w10:wrap anchorx="page" anchory="page"/>
              </v:rect>
            </w:pict>
          </mc:Fallback>
        </mc:AlternateContent>
      </w:r>
      <w:bookmarkEnd w:id="63"/>
      <w:r w:rsidR="00AA110D">
        <w:t>9</w:t>
      </w:r>
    </w:p>
    <w:p w14:paraId="4503BEBC" w14:textId="797CBCA4" w:rsidR="008502E2" w:rsidRPr="005274C5" w:rsidRDefault="00AA110D" w:rsidP="00F255A4">
      <w:pPr>
        <w:pStyle w:val="Titleforpagesbetweensections"/>
      </w:pPr>
      <w:r>
        <w:t>Home Care Packages Program and Support at Home program reporting</w:t>
      </w:r>
      <w:r w:rsidR="008502E2" w:rsidRPr="005274C5">
        <w:br w:type="page"/>
      </w:r>
    </w:p>
    <w:p w14:paraId="4F716870" w14:textId="36EF4CF5" w:rsidR="00D55EFE" w:rsidRPr="00EA55D0" w:rsidRDefault="00E55CBA" w:rsidP="00E22085">
      <w:pPr>
        <w:pStyle w:val="Heading1"/>
      </w:pPr>
      <w:bookmarkStart w:id="64" w:name="_Toc224723302"/>
      <w:r w:rsidRPr="00EA55D0">
        <w:t>Home Care Packages Program</w:t>
      </w:r>
      <w:r w:rsidR="004F5E95" w:rsidRPr="00EA55D0">
        <w:t xml:space="preserve"> and </w:t>
      </w:r>
      <w:r w:rsidR="00D55EFE" w:rsidRPr="00EA55D0">
        <w:t>Support at Home</w:t>
      </w:r>
      <w:r w:rsidR="00BF35DD" w:rsidRPr="00EA55D0">
        <w:t xml:space="preserve"> program</w:t>
      </w:r>
      <w:r w:rsidR="00D55EFE" w:rsidRPr="00EA55D0">
        <w:t xml:space="preserve"> </w:t>
      </w:r>
      <w:bookmarkEnd w:id="61"/>
      <w:bookmarkEnd w:id="62"/>
      <w:r w:rsidR="004D0E7A" w:rsidRPr="00EA55D0">
        <w:t>reporting</w:t>
      </w:r>
      <w:bookmarkEnd w:id="64"/>
    </w:p>
    <w:p w14:paraId="096143A2" w14:textId="3931A4AB" w:rsidR="004F5E95" w:rsidRPr="00271D9E" w:rsidRDefault="004F5E95" w:rsidP="00271D9E">
      <w:pPr>
        <w:pStyle w:val="Heading2"/>
      </w:pPr>
      <w:bookmarkStart w:id="65" w:name="_Toc209622224"/>
      <w:r w:rsidRPr="00271D9E">
        <w:t>Approach to reporting from 1 November 2025</w:t>
      </w:r>
      <w:bookmarkEnd w:id="65"/>
    </w:p>
    <w:p w14:paraId="5647BAA8" w14:textId="49CE0D4F" w:rsidR="00E21853" w:rsidRPr="00EA55D0" w:rsidRDefault="00E21853" w:rsidP="00E21853">
      <w:pPr>
        <w:rPr>
          <w:rFonts w:eastAsiaTheme="minorHAnsi" w:cs="Arial"/>
        </w:rPr>
      </w:pPr>
      <w:r w:rsidRPr="00EA55D0">
        <w:rPr>
          <w:rFonts w:eastAsiaTheme="minorHAnsi" w:cs="Arial"/>
        </w:rPr>
        <w:t xml:space="preserve">From 1 November 2025, </w:t>
      </w:r>
      <w:r w:rsidR="002A28D2" w:rsidRPr="00EA55D0">
        <w:rPr>
          <w:rFonts w:eastAsiaTheme="minorHAnsi" w:cs="Arial"/>
        </w:rPr>
        <w:t xml:space="preserve">providers delivering the </w:t>
      </w:r>
      <w:r w:rsidRPr="00EA55D0">
        <w:rPr>
          <w:rFonts w:eastAsiaTheme="minorHAnsi" w:cs="Arial"/>
        </w:rPr>
        <w:t xml:space="preserve">Home Care </w:t>
      </w:r>
      <w:r w:rsidR="002A28D2" w:rsidRPr="00EA55D0">
        <w:rPr>
          <w:rFonts w:eastAsiaTheme="minorHAnsi" w:cs="Arial"/>
        </w:rPr>
        <w:t xml:space="preserve">Packages </w:t>
      </w:r>
      <w:r w:rsidR="003E234E" w:rsidRPr="00EA55D0">
        <w:rPr>
          <w:rFonts w:eastAsiaTheme="minorHAnsi" w:cs="Arial"/>
        </w:rPr>
        <w:t>Program</w:t>
      </w:r>
      <w:r w:rsidRPr="00EA55D0">
        <w:rPr>
          <w:rFonts w:eastAsiaTheme="minorHAnsi" w:cs="Arial"/>
        </w:rPr>
        <w:t xml:space="preserve"> transition</w:t>
      </w:r>
      <w:r w:rsidR="00CC0D81">
        <w:rPr>
          <w:rFonts w:eastAsiaTheme="minorHAnsi" w:cs="Arial"/>
        </w:rPr>
        <w:t>ed</w:t>
      </w:r>
      <w:r w:rsidRPr="00EA55D0">
        <w:rPr>
          <w:rFonts w:eastAsiaTheme="minorHAnsi" w:cs="Arial"/>
        </w:rPr>
        <w:t xml:space="preserve"> to the new Support at Home program. </w:t>
      </w:r>
      <w:r w:rsidR="003E234E" w:rsidRPr="00EA55D0">
        <w:rPr>
          <w:rFonts w:eastAsiaTheme="minorHAnsi" w:cs="Arial"/>
        </w:rPr>
        <w:t>Home Care</w:t>
      </w:r>
      <w:r w:rsidRPr="00EA55D0">
        <w:rPr>
          <w:rFonts w:eastAsiaTheme="minorHAnsi" w:cs="Arial"/>
        </w:rPr>
        <w:t xml:space="preserve"> providers who delivered services up until 31 October 2025, must report income and expenses in</w:t>
      </w:r>
      <w:r w:rsidR="00827C02" w:rsidRPr="00EA55D0">
        <w:rPr>
          <w:rFonts w:eastAsiaTheme="minorHAnsi" w:cs="Arial"/>
        </w:rPr>
        <w:t xml:space="preserve"> the</w:t>
      </w:r>
      <w:r w:rsidRPr="00EA55D0">
        <w:rPr>
          <w:rFonts w:eastAsiaTheme="minorHAnsi" w:cs="Arial"/>
        </w:rPr>
        <w:t xml:space="preserve"> “</w:t>
      </w:r>
      <w:r w:rsidR="003E234E" w:rsidRPr="00EA55D0">
        <w:rPr>
          <w:rFonts w:eastAsiaTheme="minorHAnsi" w:cs="Arial"/>
        </w:rPr>
        <w:t>Home Care</w:t>
      </w:r>
      <w:r w:rsidRPr="00EA55D0">
        <w:rPr>
          <w:rFonts w:eastAsiaTheme="minorHAnsi" w:cs="Arial"/>
        </w:rPr>
        <w:t xml:space="preserve"> Income and Expenditure Statement” in the ACFR 2025-26. </w:t>
      </w:r>
    </w:p>
    <w:p w14:paraId="18D098B9" w14:textId="77777777" w:rsidR="00E21853" w:rsidRPr="00EA55D0" w:rsidRDefault="00E21853" w:rsidP="00E21853">
      <w:pPr>
        <w:rPr>
          <w:rFonts w:eastAsiaTheme="minorHAnsi" w:cs="Arial"/>
        </w:rPr>
      </w:pPr>
      <w:r w:rsidRPr="00EA55D0">
        <w:rPr>
          <w:rFonts w:eastAsiaTheme="minorHAnsi" w:cs="Arial"/>
        </w:rPr>
        <w:t xml:space="preserve">Providers who deliver the Support at Home program from 1 November 2025 must report income and expenses in a new “Support at Home Income and Expenditure Statement”. </w:t>
      </w:r>
    </w:p>
    <w:p w14:paraId="2BF30F51" w14:textId="75582F6D" w:rsidR="00AE1528" w:rsidRDefault="00E21853" w:rsidP="00AE1528">
      <w:r w:rsidRPr="00EA55D0">
        <w:rPr>
          <w:rFonts w:eastAsiaTheme="minorHAnsi" w:cs="Arial"/>
        </w:rPr>
        <w:t xml:space="preserve">Providers will need to attribute income and expenses received or incurred to the relevant program. </w:t>
      </w:r>
      <w:r w:rsidR="00AE1528" w:rsidRPr="00EA55D0">
        <w:t xml:space="preserve">Please refer to the data definitions on the </w:t>
      </w:r>
      <w:hyperlink r:id="rId39" w:history="1">
        <w:r w:rsidR="00AE1528" w:rsidRPr="00EA55D0">
          <w:rPr>
            <w:color w:val="2AB1BB" w:themeColor="hyperlink"/>
            <w:u w:val="single"/>
          </w:rPr>
          <w:t>department’s website</w:t>
        </w:r>
      </w:hyperlink>
      <w:r w:rsidR="00AE1528" w:rsidRPr="00EA55D0">
        <w:t xml:space="preserve"> before completing the </w:t>
      </w:r>
      <w:r w:rsidR="005A6E34" w:rsidRPr="00EA55D0">
        <w:t>H</w:t>
      </w:r>
      <w:r w:rsidR="00AE1528" w:rsidRPr="00EA55D0">
        <w:t xml:space="preserve">ome </w:t>
      </w:r>
      <w:r w:rsidR="005A6E34" w:rsidRPr="00EA55D0">
        <w:t>C</w:t>
      </w:r>
      <w:r w:rsidR="00AE1528" w:rsidRPr="00EA55D0">
        <w:t>are and Support at Home sections of the ACFR.</w:t>
      </w:r>
    </w:p>
    <w:p w14:paraId="4887C8DA" w14:textId="04AAC80B" w:rsidR="00273896" w:rsidRPr="00271D9E" w:rsidRDefault="00273896" w:rsidP="00271D9E">
      <w:pPr>
        <w:pStyle w:val="Heading2"/>
      </w:pPr>
      <w:r w:rsidRPr="00271D9E">
        <w:t>Home Care</w:t>
      </w:r>
      <w:r w:rsidR="00AB184A" w:rsidRPr="00271D9E">
        <w:t xml:space="preserve"> Package</w:t>
      </w:r>
      <w:r w:rsidRPr="00271D9E">
        <w:t xml:space="preserve"> Income and Expenditure Statement</w:t>
      </w:r>
    </w:p>
    <w:p w14:paraId="5684017E" w14:textId="77251211" w:rsidR="00E21CDB" w:rsidRPr="00EA55D0" w:rsidRDefault="00273896" w:rsidP="00273896">
      <w:r w:rsidRPr="00EA55D0">
        <w:t>The Home Care</w:t>
      </w:r>
      <w:r w:rsidR="00AB184A" w:rsidRPr="00EA55D0">
        <w:t xml:space="preserve"> Package</w:t>
      </w:r>
      <w:r w:rsidRPr="00EA55D0">
        <w:t xml:space="preserve"> Income and Expenditure Statement </w:t>
      </w:r>
      <w:proofErr w:type="gramStart"/>
      <w:r w:rsidR="00A200F5" w:rsidRPr="00EA55D0">
        <w:t>includes</w:t>
      </w:r>
      <w:proofErr w:type="gramEnd"/>
      <w:r w:rsidR="00E21CDB" w:rsidRPr="00EA55D0">
        <w:t>:</w:t>
      </w:r>
    </w:p>
    <w:p w14:paraId="1792318B" w14:textId="160422C7" w:rsidR="00A200F5" w:rsidRPr="00EA55D0" w:rsidRDefault="00A200F5" w:rsidP="00322243">
      <w:pPr>
        <w:pStyle w:val="ListBullet"/>
      </w:pPr>
      <w:r w:rsidRPr="00EA55D0">
        <w:t>Income</w:t>
      </w:r>
    </w:p>
    <w:p w14:paraId="7C6E88D9" w14:textId="65FC7C65" w:rsidR="00A200F5" w:rsidRPr="00EA55D0" w:rsidRDefault="00A200F5" w:rsidP="00322243">
      <w:pPr>
        <w:pStyle w:val="ListBullet"/>
      </w:pPr>
      <w:r w:rsidRPr="00EA55D0">
        <w:t>Expenses</w:t>
      </w:r>
    </w:p>
    <w:p w14:paraId="1B579140" w14:textId="3C206D40" w:rsidR="00A200F5" w:rsidRPr="00EA55D0" w:rsidRDefault="00D362E8" w:rsidP="00322243">
      <w:pPr>
        <w:pStyle w:val="ListBullet"/>
      </w:pPr>
      <w:r w:rsidRPr="00EA55D0">
        <w:t>Labour worked hours</w:t>
      </w:r>
    </w:p>
    <w:p w14:paraId="711F8072" w14:textId="5E335056" w:rsidR="00524D47" w:rsidRPr="00EA55D0" w:rsidRDefault="00524D47" w:rsidP="00322243">
      <w:pPr>
        <w:pStyle w:val="ListBullet"/>
      </w:pPr>
      <w:r w:rsidRPr="00EA55D0">
        <w:t>Information from Consolidated Client Statement</w:t>
      </w:r>
    </w:p>
    <w:p w14:paraId="5777452A" w14:textId="52D0D0F0" w:rsidR="00273896" w:rsidRPr="00EA55D0" w:rsidRDefault="00194F4B" w:rsidP="00273896">
      <w:r w:rsidRPr="00EA55D0">
        <w:t>I</w:t>
      </w:r>
      <w:r w:rsidR="00E005C5" w:rsidRPr="00EA55D0">
        <w:t xml:space="preserve">ncome and expenses attributed to the Home Care Packages Program in 2025-26 </w:t>
      </w:r>
      <w:r w:rsidRPr="00EA55D0">
        <w:t xml:space="preserve">is to be </w:t>
      </w:r>
      <w:r w:rsidR="00BD3034" w:rsidRPr="00EA55D0">
        <w:t xml:space="preserve">completed at the total </w:t>
      </w:r>
      <w:r w:rsidR="00F059EB" w:rsidRPr="00EA55D0">
        <w:t xml:space="preserve">program </w:t>
      </w:r>
      <w:r w:rsidR="00BD3034" w:rsidRPr="00EA55D0">
        <w:t>level</w:t>
      </w:r>
      <w:r w:rsidR="00E005C5" w:rsidRPr="00EA55D0">
        <w:t xml:space="preserve">, rather than by </w:t>
      </w:r>
      <w:r w:rsidR="00C67253" w:rsidRPr="00EA55D0">
        <w:t xml:space="preserve">aged care </w:t>
      </w:r>
      <w:r w:rsidR="00E005C5" w:rsidRPr="00EA55D0">
        <w:t>planning region</w:t>
      </w:r>
      <w:r w:rsidR="00273896" w:rsidRPr="00EA55D0">
        <w:t xml:space="preserve">. </w:t>
      </w:r>
    </w:p>
    <w:p w14:paraId="3AA4D892" w14:textId="215FF1E4" w:rsidR="00273896" w:rsidRDefault="00273896" w:rsidP="00273896">
      <w:r w:rsidRPr="00EA55D0">
        <w:t xml:space="preserve">Providers should not include financial information from other aged care operations such as residential </w:t>
      </w:r>
      <w:r w:rsidR="0053339F" w:rsidRPr="00EA55D0">
        <w:t xml:space="preserve">aged </w:t>
      </w:r>
      <w:r w:rsidRPr="00EA55D0">
        <w:t>care</w:t>
      </w:r>
      <w:r w:rsidR="0053339F" w:rsidRPr="00EA55D0">
        <w:t xml:space="preserve">, </w:t>
      </w:r>
      <w:r w:rsidRPr="00EA55D0">
        <w:t xml:space="preserve">CHSP services or any non-aged care services (e.g. NDIS) within </w:t>
      </w:r>
      <w:r w:rsidR="0053751E" w:rsidRPr="00EA55D0">
        <w:t>the Home</w:t>
      </w:r>
      <w:r w:rsidR="002414BA" w:rsidRPr="00EA55D0">
        <w:t xml:space="preserve"> Care Package Income and Expenditure Statement</w:t>
      </w:r>
      <w:r w:rsidRPr="00EA55D0">
        <w:t>.</w:t>
      </w:r>
    </w:p>
    <w:p w14:paraId="6470AD33" w14:textId="1894B800" w:rsidR="002B5C39" w:rsidRPr="00271D9E" w:rsidRDefault="002B5C39" w:rsidP="00271D9E">
      <w:pPr>
        <w:pStyle w:val="Heading2"/>
      </w:pPr>
      <w:r w:rsidRPr="00271D9E">
        <w:t>Support at Home Income and Expenditure Statement</w:t>
      </w:r>
    </w:p>
    <w:p w14:paraId="06375666" w14:textId="6B8A7332" w:rsidR="00D55EFE" w:rsidRPr="00EA55D0" w:rsidRDefault="00D55EFE" w:rsidP="0002565D">
      <w:r w:rsidRPr="00EA55D0">
        <w:t xml:space="preserve">The Support at Home Income and Expenditure Statement </w:t>
      </w:r>
      <w:r w:rsidR="00BC3D6D">
        <w:t>includes reporting of:</w:t>
      </w:r>
    </w:p>
    <w:p w14:paraId="7D6C7D75" w14:textId="26D43B4D" w:rsidR="00100ED1" w:rsidRPr="00EA55D0" w:rsidRDefault="00100ED1" w:rsidP="00322243">
      <w:pPr>
        <w:pStyle w:val="ListBullet"/>
      </w:pPr>
      <w:r w:rsidRPr="00EA55D0">
        <w:t>Income</w:t>
      </w:r>
    </w:p>
    <w:p w14:paraId="3E173ED8" w14:textId="3CAEE5D7" w:rsidR="00100ED1" w:rsidRPr="00EA55D0" w:rsidRDefault="00100ED1" w:rsidP="00322243">
      <w:pPr>
        <w:pStyle w:val="ListBullet"/>
      </w:pPr>
      <w:r w:rsidRPr="00EA55D0">
        <w:t>Care Expenses</w:t>
      </w:r>
    </w:p>
    <w:p w14:paraId="4AC6AC18" w14:textId="2FAA8DCA" w:rsidR="00100ED1" w:rsidRPr="00EA55D0" w:rsidRDefault="00100ED1" w:rsidP="00322243">
      <w:pPr>
        <w:pStyle w:val="ListBullet"/>
      </w:pPr>
      <w:r w:rsidRPr="00EA55D0">
        <w:t xml:space="preserve">Administration and Support Expenses </w:t>
      </w:r>
    </w:p>
    <w:p w14:paraId="2F41D861" w14:textId="2403CEF4" w:rsidR="00C56408" w:rsidRDefault="00C56408" w:rsidP="00322243">
      <w:pPr>
        <w:pStyle w:val="ListBullet"/>
      </w:pPr>
      <w:r w:rsidRPr="00EA55D0">
        <w:t xml:space="preserve">Labour worked hours </w:t>
      </w:r>
    </w:p>
    <w:p w14:paraId="136B1783" w14:textId="77B5EBD7" w:rsidR="00106ED5" w:rsidRPr="00B52728" w:rsidRDefault="00106ED5" w:rsidP="00B52728">
      <w:pPr>
        <w:rPr>
          <w:rFonts w:eastAsiaTheme="minorHAnsi"/>
        </w:rPr>
      </w:pPr>
      <w:r w:rsidRPr="00B52728">
        <w:rPr>
          <w:rFonts w:eastAsiaTheme="minorHAnsi"/>
        </w:rPr>
        <w:t xml:space="preserve">Reporting is at the total program level, reporting by Aged Care Planning Regions is not required. </w:t>
      </w:r>
    </w:p>
    <w:p w14:paraId="2A3BA3F4" w14:textId="25B95D7A" w:rsidR="00557F1F" w:rsidRPr="00EA55D0" w:rsidRDefault="00557F1F" w:rsidP="00D471ED">
      <w:pPr>
        <w:pStyle w:val="Heading3nonumbers"/>
      </w:pPr>
      <w:bookmarkStart w:id="66" w:name="_Toc209622225"/>
      <w:r w:rsidRPr="00EA55D0">
        <w:t>Income reporting</w:t>
      </w:r>
      <w:bookmarkEnd w:id="66"/>
    </w:p>
    <w:p w14:paraId="142F00E7" w14:textId="566E7BBB" w:rsidR="008F6B0A" w:rsidRPr="00EA55D0" w:rsidRDefault="008F6B0A" w:rsidP="00322243">
      <w:pPr>
        <w:pStyle w:val="ListBullet"/>
        <w:rPr>
          <w:rFonts w:eastAsiaTheme="minorHAnsi"/>
        </w:rPr>
      </w:pPr>
      <w:r w:rsidRPr="00322243">
        <w:t xml:space="preserve">Income </w:t>
      </w:r>
      <w:r w:rsidR="00E824AE" w:rsidRPr="00322243">
        <w:t>is reporte</w:t>
      </w:r>
      <w:r w:rsidR="00E824AE">
        <w:rPr>
          <w:rFonts w:eastAsiaTheme="minorHAnsi"/>
        </w:rPr>
        <w:t>d under the following categories</w:t>
      </w:r>
      <w:r w:rsidRPr="00EA55D0">
        <w:rPr>
          <w:rFonts w:eastAsiaTheme="minorHAnsi"/>
        </w:rPr>
        <w:t xml:space="preserve">: </w:t>
      </w:r>
    </w:p>
    <w:p w14:paraId="6A426519" w14:textId="77777777" w:rsidR="008F6B0A" w:rsidRPr="00322243" w:rsidRDefault="008F6B0A" w:rsidP="00322243">
      <w:pPr>
        <w:pStyle w:val="ListBullet2"/>
      </w:pPr>
      <w:r w:rsidRPr="00EA55D0">
        <w:rPr>
          <w:rFonts w:eastAsiaTheme="minorHAnsi"/>
        </w:rPr>
        <w:t>Clinical Support Servic</w:t>
      </w:r>
      <w:r w:rsidRPr="00322243">
        <w:t>es</w:t>
      </w:r>
    </w:p>
    <w:p w14:paraId="102D5F5B" w14:textId="58EFB16F" w:rsidR="008F6B0A" w:rsidRPr="00322243" w:rsidRDefault="008F6B0A" w:rsidP="00322243">
      <w:pPr>
        <w:pStyle w:val="ListBullet2"/>
      </w:pPr>
      <w:r w:rsidRPr="00322243">
        <w:t>Independence Services</w:t>
      </w:r>
    </w:p>
    <w:p w14:paraId="37AFCF6B" w14:textId="77777777" w:rsidR="008F6B0A" w:rsidRPr="00322243" w:rsidRDefault="008F6B0A" w:rsidP="00322243">
      <w:pPr>
        <w:pStyle w:val="ListBullet2"/>
      </w:pPr>
      <w:r w:rsidRPr="00322243">
        <w:t>Everyday Living Services</w:t>
      </w:r>
    </w:p>
    <w:p w14:paraId="6EB51FE6" w14:textId="77777777" w:rsidR="008F6B0A" w:rsidRPr="00322243" w:rsidRDefault="008F6B0A" w:rsidP="00322243">
      <w:pPr>
        <w:pStyle w:val="ListBullet2"/>
      </w:pPr>
      <w:r w:rsidRPr="00322243">
        <w:t>Restorative Care Pathway</w:t>
      </w:r>
    </w:p>
    <w:p w14:paraId="3595A734" w14:textId="77777777" w:rsidR="008F6B0A" w:rsidRPr="00322243" w:rsidRDefault="008F6B0A" w:rsidP="00322243">
      <w:pPr>
        <w:pStyle w:val="ListBullet2"/>
      </w:pPr>
      <w:r w:rsidRPr="00322243">
        <w:t>End of Life Pathway</w:t>
      </w:r>
    </w:p>
    <w:p w14:paraId="493C380D" w14:textId="77777777" w:rsidR="008F6B0A" w:rsidRPr="00EA55D0" w:rsidRDefault="008F6B0A" w:rsidP="00322243">
      <w:pPr>
        <w:pStyle w:val="ListBullet2"/>
        <w:rPr>
          <w:rFonts w:eastAsiaTheme="minorHAnsi"/>
        </w:rPr>
      </w:pPr>
      <w:r w:rsidRPr="00322243">
        <w:t>Assistive Technology and</w:t>
      </w:r>
      <w:r w:rsidRPr="00EA55D0">
        <w:rPr>
          <w:rFonts w:eastAsiaTheme="minorHAnsi"/>
        </w:rPr>
        <w:t xml:space="preserve"> Home Modifications Scheme. </w:t>
      </w:r>
    </w:p>
    <w:p w14:paraId="42324DFB" w14:textId="77777777" w:rsidR="007802EE" w:rsidRPr="00322243" w:rsidRDefault="007802EE" w:rsidP="00322243">
      <w:pPr>
        <w:pStyle w:val="ListBullet"/>
      </w:pPr>
      <w:r w:rsidRPr="007802EE">
        <w:rPr>
          <w:rFonts w:eastAsiaTheme="minorHAnsi"/>
        </w:rPr>
        <w:t>“Common</w:t>
      </w:r>
      <w:r w:rsidRPr="00322243">
        <w:t>wealth subsidies and supplements” are to be reported separately for each of the six categories.</w:t>
      </w:r>
    </w:p>
    <w:p w14:paraId="1EE667A2" w14:textId="77777777" w:rsidR="007802EE" w:rsidRPr="00322243" w:rsidRDefault="007802EE" w:rsidP="00322243">
      <w:pPr>
        <w:pStyle w:val="ListBullet"/>
      </w:pPr>
      <w:r w:rsidRPr="00322243">
        <w:t>“Participant Contributions” are to be reported separately for five of the categories, as there are no contributions for clinical support services.</w:t>
      </w:r>
    </w:p>
    <w:p w14:paraId="681C14BF" w14:textId="2CECA6F0" w:rsidR="008F6B0A" w:rsidRPr="00322243" w:rsidRDefault="00F0516D" w:rsidP="00322243">
      <w:pPr>
        <w:pStyle w:val="ListBullet"/>
      </w:pPr>
      <w:r w:rsidRPr="00322243">
        <w:t xml:space="preserve">There is a separate line item for income from </w:t>
      </w:r>
      <w:r w:rsidR="00D65ECD" w:rsidRPr="00322243">
        <w:t>“</w:t>
      </w:r>
      <w:r w:rsidRPr="00322243">
        <w:t xml:space="preserve">Participant Top-ups and </w:t>
      </w:r>
      <w:r w:rsidR="003F4114" w:rsidRPr="00322243">
        <w:t>P</w:t>
      </w:r>
      <w:r w:rsidRPr="00322243">
        <w:t xml:space="preserve">rivate </w:t>
      </w:r>
      <w:r w:rsidR="003F4114" w:rsidRPr="00322243">
        <w:t>C</w:t>
      </w:r>
      <w:r w:rsidRPr="00322243">
        <w:t>lients</w:t>
      </w:r>
      <w:r w:rsidR="00D65ECD" w:rsidRPr="00322243">
        <w:t>”</w:t>
      </w:r>
      <w:r w:rsidRPr="00322243">
        <w:t>.</w:t>
      </w:r>
      <w:r w:rsidR="00CB0A1D" w:rsidRPr="00322243">
        <w:t xml:space="preserve"> </w:t>
      </w:r>
    </w:p>
    <w:p w14:paraId="1E201CB6" w14:textId="73C3A1D5" w:rsidR="00F0516D" w:rsidRPr="00996769" w:rsidRDefault="00F0516D" w:rsidP="00322243">
      <w:pPr>
        <w:pStyle w:val="ListBullet"/>
        <w:rPr>
          <w:rFonts w:eastAsiaTheme="minorHAnsi"/>
        </w:rPr>
      </w:pPr>
      <w:r w:rsidRPr="00322243">
        <w:t xml:space="preserve">Grants such as the Support at Home Thin Markets (rural, remote and specialised) </w:t>
      </w:r>
      <w:r w:rsidRPr="00996769">
        <w:rPr>
          <w:rFonts w:eastAsiaTheme="minorHAnsi"/>
        </w:rPr>
        <w:t xml:space="preserve">are to be reported as </w:t>
      </w:r>
      <w:r w:rsidR="00D65ECD">
        <w:rPr>
          <w:rFonts w:eastAsiaTheme="minorHAnsi"/>
        </w:rPr>
        <w:t>“</w:t>
      </w:r>
      <w:r w:rsidRPr="00996769">
        <w:rPr>
          <w:rFonts w:eastAsiaTheme="minorHAnsi"/>
        </w:rPr>
        <w:t>Other Income</w:t>
      </w:r>
      <w:r w:rsidR="00D65ECD">
        <w:rPr>
          <w:rFonts w:eastAsiaTheme="minorHAnsi"/>
        </w:rPr>
        <w:t>”</w:t>
      </w:r>
      <w:r w:rsidR="001D0AAD" w:rsidRPr="00996769">
        <w:rPr>
          <w:rFonts w:eastAsiaTheme="minorHAnsi"/>
        </w:rPr>
        <w:t>.</w:t>
      </w:r>
      <w:r w:rsidR="005809DB" w:rsidRPr="00996769">
        <w:rPr>
          <w:rFonts w:eastAsiaTheme="minorHAnsi"/>
        </w:rPr>
        <w:t xml:space="preserve"> </w:t>
      </w:r>
    </w:p>
    <w:p w14:paraId="68B38F09" w14:textId="3852C74F" w:rsidR="00F0516D" w:rsidRPr="00D471ED" w:rsidRDefault="00A42696" w:rsidP="00D471ED">
      <w:pPr>
        <w:pStyle w:val="Heading3nonumbers"/>
      </w:pPr>
      <w:bookmarkStart w:id="67" w:name="_Toc209622226"/>
      <w:r w:rsidRPr="00D471ED">
        <w:t>Care e</w:t>
      </w:r>
      <w:r w:rsidR="00557F1F" w:rsidRPr="00D471ED">
        <w:t>xpense reporting</w:t>
      </w:r>
      <w:bookmarkEnd w:id="67"/>
    </w:p>
    <w:p w14:paraId="30642FDE" w14:textId="00D970EF" w:rsidR="00E877AD" w:rsidRPr="00EA55D0" w:rsidRDefault="00607AAA" w:rsidP="00322243">
      <w:pPr>
        <w:pStyle w:val="ListBullet"/>
        <w:rPr>
          <w:rFonts w:eastAsiaTheme="minorHAnsi"/>
        </w:rPr>
      </w:pPr>
      <w:r>
        <w:rPr>
          <w:rFonts w:eastAsiaTheme="minorHAnsi"/>
        </w:rPr>
        <w:t>Care e</w:t>
      </w:r>
      <w:r w:rsidR="00913D39">
        <w:rPr>
          <w:rFonts w:eastAsiaTheme="minorHAnsi"/>
        </w:rPr>
        <w:t>xpenses</w:t>
      </w:r>
      <w:r w:rsidR="0020226F">
        <w:rPr>
          <w:rFonts w:eastAsiaTheme="minorHAnsi"/>
        </w:rPr>
        <w:t>, including labour and non-labour</w:t>
      </w:r>
      <w:r w:rsidR="006E70D4">
        <w:rPr>
          <w:rFonts w:eastAsiaTheme="minorHAnsi"/>
        </w:rPr>
        <w:t xml:space="preserve"> expenses,</w:t>
      </w:r>
      <w:r w:rsidR="00913D39">
        <w:rPr>
          <w:rFonts w:eastAsiaTheme="minorHAnsi"/>
        </w:rPr>
        <w:t xml:space="preserve"> are</w:t>
      </w:r>
      <w:r w:rsidR="00E877AD">
        <w:rPr>
          <w:rFonts w:eastAsiaTheme="minorHAnsi"/>
        </w:rPr>
        <w:t xml:space="preserve"> reported under the following categories</w:t>
      </w:r>
      <w:r w:rsidR="00E877AD" w:rsidRPr="00EA55D0">
        <w:rPr>
          <w:rFonts w:eastAsiaTheme="minorHAnsi"/>
        </w:rPr>
        <w:t xml:space="preserve">: </w:t>
      </w:r>
    </w:p>
    <w:p w14:paraId="0E8D153E" w14:textId="77777777" w:rsidR="00E877AD" w:rsidRPr="00EA55D0" w:rsidRDefault="00E877AD" w:rsidP="00322243">
      <w:pPr>
        <w:pStyle w:val="ListBullet2"/>
        <w:rPr>
          <w:rFonts w:eastAsiaTheme="minorHAnsi"/>
        </w:rPr>
      </w:pPr>
      <w:r w:rsidRPr="00EA55D0">
        <w:rPr>
          <w:rFonts w:eastAsiaTheme="minorHAnsi"/>
        </w:rPr>
        <w:t>Clinical Support Services</w:t>
      </w:r>
    </w:p>
    <w:p w14:paraId="5574AAD6" w14:textId="4870677F" w:rsidR="00E877AD" w:rsidRPr="00EA55D0" w:rsidRDefault="00E877AD" w:rsidP="00322243">
      <w:pPr>
        <w:pStyle w:val="ListBullet2"/>
        <w:rPr>
          <w:rFonts w:eastAsiaTheme="minorHAnsi"/>
        </w:rPr>
      </w:pPr>
      <w:r w:rsidRPr="00EA55D0">
        <w:rPr>
          <w:rFonts w:eastAsiaTheme="minorHAnsi"/>
        </w:rPr>
        <w:t>Independence</w:t>
      </w:r>
      <w:r w:rsidR="00F144B3">
        <w:rPr>
          <w:rFonts w:eastAsiaTheme="minorHAnsi"/>
        </w:rPr>
        <w:t xml:space="preserve"> </w:t>
      </w:r>
      <w:r w:rsidRPr="00EA55D0">
        <w:rPr>
          <w:rFonts w:eastAsiaTheme="minorHAnsi"/>
        </w:rPr>
        <w:t>Services</w:t>
      </w:r>
    </w:p>
    <w:p w14:paraId="77CAC03C" w14:textId="77777777" w:rsidR="00E877AD" w:rsidRPr="00EA55D0" w:rsidRDefault="00E877AD" w:rsidP="00322243">
      <w:pPr>
        <w:pStyle w:val="ListBullet2"/>
        <w:rPr>
          <w:rFonts w:eastAsiaTheme="minorHAnsi"/>
        </w:rPr>
      </w:pPr>
      <w:r w:rsidRPr="00EA55D0">
        <w:rPr>
          <w:rFonts w:eastAsiaTheme="minorHAnsi"/>
        </w:rPr>
        <w:t>Everyday Living Services</w:t>
      </w:r>
    </w:p>
    <w:p w14:paraId="383DBE99" w14:textId="77777777" w:rsidR="00E877AD" w:rsidRPr="00EA55D0" w:rsidRDefault="00E877AD" w:rsidP="00322243">
      <w:pPr>
        <w:pStyle w:val="ListBullet2"/>
        <w:rPr>
          <w:rFonts w:eastAsiaTheme="minorHAnsi"/>
        </w:rPr>
      </w:pPr>
      <w:r w:rsidRPr="00EA55D0">
        <w:rPr>
          <w:rFonts w:eastAsiaTheme="minorHAnsi"/>
        </w:rPr>
        <w:t>Restorative Care Pathway</w:t>
      </w:r>
    </w:p>
    <w:p w14:paraId="33C5D6B7" w14:textId="77777777" w:rsidR="00E877AD" w:rsidRPr="00EA55D0" w:rsidRDefault="00E877AD" w:rsidP="00322243">
      <w:pPr>
        <w:pStyle w:val="ListBullet2"/>
        <w:rPr>
          <w:rFonts w:eastAsiaTheme="minorHAnsi"/>
        </w:rPr>
      </w:pPr>
      <w:r w:rsidRPr="00EA55D0">
        <w:rPr>
          <w:rFonts w:eastAsiaTheme="minorHAnsi"/>
        </w:rPr>
        <w:t>End of Life Pathway</w:t>
      </w:r>
    </w:p>
    <w:p w14:paraId="47CAE9DF" w14:textId="66607F49" w:rsidR="00E877AD" w:rsidRDefault="00E877AD" w:rsidP="00322243">
      <w:pPr>
        <w:pStyle w:val="ListBullet2"/>
        <w:rPr>
          <w:rFonts w:eastAsiaTheme="minorHAnsi"/>
        </w:rPr>
      </w:pPr>
      <w:r w:rsidRPr="00EA55D0">
        <w:rPr>
          <w:rFonts w:eastAsiaTheme="minorHAnsi"/>
        </w:rPr>
        <w:t>Assistive Technology and Home Modifications Scheme</w:t>
      </w:r>
    </w:p>
    <w:p w14:paraId="5FD39F75" w14:textId="505067FE" w:rsidR="00607AAA" w:rsidRDefault="00607AAA" w:rsidP="00322243">
      <w:pPr>
        <w:pStyle w:val="ListBullet2"/>
        <w:rPr>
          <w:rFonts w:eastAsiaTheme="minorHAnsi"/>
        </w:rPr>
      </w:pPr>
      <w:r>
        <w:rPr>
          <w:rFonts w:eastAsiaTheme="minorHAnsi"/>
        </w:rPr>
        <w:t>Care Management (excluding Restorative Care and End of Life Pathways)</w:t>
      </w:r>
    </w:p>
    <w:p w14:paraId="51DC4FA9" w14:textId="7FD47EF0" w:rsidR="00607AAA" w:rsidRDefault="00607AAA" w:rsidP="00322243">
      <w:pPr>
        <w:pStyle w:val="ListBullet2"/>
        <w:rPr>
          <w:rFonts w:eastAsiaTheme="minorHAnsi"/>
        </w:rPr>
      </w:pPr>
      <w:r>
        <w:rPr>
          <w:rFonts w:eastAsiaTheme="minorHAnsi"/>
        </w:rPr>
        <w:t>Other Care Expenses</w:t>
      </w:r>
    </w:p>
    <w:p w14:paraId="0F9A0A7E" w14:textId="425D93E0" w:rsidR="004D192A" w:rsidRPr="005604FD" w:rsidRDefault="004D192A" w:rsidP="00322243">
      <w:pPr>
        <w:pStyle w:val="ListBullet"/>
        <w:rPr>
          <w:rFonts w:eastAsiaTheme="minorHAnsi"/>
        </w:rPr>
      </w:pPr>
      <w:r w:rsidRPr="005604FD">
        <w:rPr>
          <w:rFonts w:eastAsiaTheme="minorHAnsi"/>
        </w:rPr>
        <w:t>Labour costs for direct care delivered by employees includes</w:t>
      </w:r>
      <w:r w:rsidR="00A96E23">
        <w:rPr>
          <w:rFonts w:eastAsiaTheme="minorHAnsi"/>
        </w:rPr>
        <w:t xml:space="preserve"> the cost</w:t>
      </w:r>
      <w:r w:rsidR="00DD07EC">
        <w:rPr>
          <w:rFonts w:eastAsiaTheme="minorHAnsi"/>
        </w:rPr>
        <w:t xml:space="preserve"> of</w:t>
      </w:r>
      <w:r w:rsidRPr="005604FD">
        <w:rPr>
          <w:rFonts w:eastAsiaTheme="minorHAnsi"/>
        </w:rPr>
        <w:t>:</w:t>
      </w:r>
    </w:p>
    <w:p w14:paraId="239138C0" w14:textId="77777777" w:rsidR="004D192A" w:rsidRPr="00EA55D0" w:rsidRDefault="004D192A" w:rsidP="00322243">
      <w:pPr>
        <w:pStyle w:val="ListBullet2"/>
      </w:pPr>
      <w:r w:rsidRPr="00EA55D0">
        <w:t>Direct care</w:t>
      </w:r>
    </w:p>
    <w:p w14:paraId="153AE157" w14:textId="77777777" w:rsidR="004D192A" w:rsidRPr="00EA55D0" w:rsidRDefault="004D192A" w:rsidP="00322243">
      <w:pPr>
        <w:pStyle w:val="ListBullet2"/>
      </w:pPr>
      <w:r w:rsidRPr="00EA55D0">
        <w:t>Staff travel to and from care recipient residences</w:t>
      </w:r>
    </w:p>
    <w:p w14:paraId="0EE373F1" w14:textId="03C05367" w:rsidR="004D192A" w:rsidRDefault="004D192A" w:rsidP="00322243">
      <w:pPr>
        <w:pStyle w:val="ListBullet2"/>
      </w:pPr>
      <w:r w:rsidRPr="00EA55D0">
        <w:t>Staff time completing administrative tasks / paperwork before and/or after a care recipient visit</w:t>
      </w:r>
      <w:r w:rsidR="000135AA">
        <w:t>.</w:t>
      </w:r>
    </w:p>
    <w:p w14:paraId="150A80AD" w14:textId="7676AAB7" w:rsidR="00A9630B" w:rsidRPr="00322243" w:rsidRDefault="00DA0E0F" w:rsidP="00322243">
      <w:pPr>
        <w:pStyle w:val="ListBullet"/>
      </w:pPr>
      <w:r>
        <w:rPr>
          <w:rFonts w:eastAsiaTheme="minorHAnsi"/>
        </w:rPr>
        <w:t xml:space="preserve">The </w:t>
      </w:r>
      <w:r w:rsidR="00A9630B" w:rsidRPr="00A9630B">
        <w:rPr>
          <w:rFonts w:eastAsiaTheme="minorHAnsi"/>
        </w:rPr>
        <w:t xml:space="preserve">Labour costs </w:t>
      </w:r>
      <w:r w:rsidR="00A9630B" w:rsidRPr="00322243">
        <w:t>for direct care delivered by employees</w:t>
      </w:r>
      <w:r w:rsidRPr="00322243">
        <w:t xml:space="preserve"> o</w:t>
      </w:r>
      <w:r w:rsidR="00864D6B" w:rsidRPr="00322243">
        <w:t xml:space="preserve">nly </w:t>
      </w:r>
      <w:proofErr w:type="gramStart"/>
      <w:r w:rsidR="00864D6B" w:rsidRPr="00322243">
        <w:t>has to</w:t>
      </w:r>
      <w:proofErr w:type="gramEnd"/>
      <w:r w:rsidR="00864D6B" w:rsidRPr="00322243">
        <w:t xml:space="preserve"> include the salary cost of the employee. </w:t>
      </w:r>
      <w:r w:rsidR="00781475" w:rsidRPr="00322243">
        <w:t xml:space="preserve">The superannuation and other employee </w:t>
      </w:r>
      <w:proofErr w:type="gramStart"/>
      <w:r w:rsidR="00781475" w:rsidRPr="00322243">
        <w:t>on-costs</w:t>
      </w:r>
      <w:proofErr w:type="gramEnd"/>
      <w:r w:rsidR="00781475" w:rsidRPr="00322243">
        <w:t xml:space="preserve"> is to be reported separately under </w:t>
      </w:r>
      <w:r w:rsidR="004A597A" w:rsidRPr="00322243">
        <w:t>“Administration and Support” expenses.</w:t>
      </w:r>
      <w:r w:rsidR="00A9630B" w:rsidRPr="00322243">
        <w:t xml:space="preserve"> </w:t>
      </w:r>
    </w:p>
    <w:p w14:paraId="21F83D5B" w14:textId="77777777" w:rsidR="005604FD" w:rsidRPr="00322243" w:rsidRDefault="005604FD" w:rsidP="00322243">
      <w:pPr>
        <w:pStyle w:val="ListBullet"/>
      </w:pPr>
      <w:r w:rsidRPr="00322243">
        <w:t xml:space="preserve">Allied health labour costs (reported under the “Clinical Support Services” category), are to be reported in the following sub-categories: </w:t>
      </w:r>
    </w:p>
    <w:p w14:paraId="4B568468" w14:textId="77777777" w:rsidR="005604FD" w:rsidRPr="00EA55D0" w:rsidRDefault="005604FD" w:rsidP="00322243">
      <w:pPr>
        <w:pStyle w:val="ListBullet2"/>
        <w:rPr>
          <w:rFonts w:eastAsiaTheme="minorHAnsi"/>
        </w:rPr>
      </w:pPr>
      <w:r w:rsidRPr="00EA55D0">
        <w:rPr>
          <w:rFonts w:eastAsiaTheme="minorHAnsi"/>
        </w:rPr>
        <w:t>Physiotherapist</w:t>
      </w:r>
    </w:p>
    <w:p w14:paraId="51225409" w14:textId="77777777" w:rsidR="005604FD" w:rsidRPr="00EA55D0" w:rsidRDefault="005604FD" w:rsidP="00322243">
      <w:pPr>
        <w:pStyle w:val="ListBullet2"/>
        <w:rPr>
          <w:rFonts w:eastAsiaTheme="minorHAnsi"/>
        </w:rPr>
      </w:pPr>
      <w:r w:rsidRPr="00EA55D0">
        <w:rPr>
          <w:rFonts w:eastAsiaTheme="minorHAnsi"/>
        </w:rPr>
        <w:t>Occupational therapist</w:t>
      </w:r>
    </w:p>
    <w:p w14:paraId="2CFEB756" w14:textId="77777777" w:rsidR="005604FD" w:rsidRPr="00EA55D0" w:rsidRDefault="005604FD" w:rsidP="00322243">
      <w:pPr>
        <w:pStyle w:val="ListBullet2"/>
        <w:rPr>
          <w:rFonts w:eastAsiaTheme="minorHAnsi"/>
        </w:rPr>
      </w:pPr>
      <w:r w:rsidRPr="00EA55D0">
        <w:rPr>
          <w:rFonts w:eastAsiaTheme="minorHAnsi"/>
        </w:rPr>
        <w:t>Speech pathologist</w:t>
      </w:r>
    </w:p>
    <w:p w14:paraId="42CC1E75" w14:textId="77777777" w:rsidR="005604FD" w:rsidRPr="00EA55D0" w:rsidRDefault="005604FD" w:rsidP="00322243">
      <w:pPr>
        <w:pStyle w:val="ListBullet2"/>
        <w:rPr>
          <w:rFonts w:eastAsiaTheme="minorHAnsi"/>
        </w:rPr>
      </w:pPr>
      <w:r w:rsidRPr="00EA55D0">
        <w:rPr>
          <w:rFonts w:eastAsiaTheme="minorHAnsi"/>
        </w:rPr>
        <w:t>Podiatrist</w:t>
      </w:r>
    </w:p>
    <w:p w14:paraId="2BB93B88" w14:textId="2CFAFB73" w:rsidR="005604FD" w:rsidRPr="00EA55D0" w:rsidRDefault="005604FD" w:rsidP="00322243">
      <w:pPr>
        <w:pStyle w:val="ListBullet2"/>
        <w:rPr>
          <w:rFonts w:eastAsiaTheme="minorHAnsi"/>
        </w:rPr>
      </w:pPr>
      <w:r w:rsidRPr="00EA55D0">
        <w:rPr>
          <w:rFonts w:eastAsiaTheme="minorHAnsi"/>
        </w:rPr>
        <w:t>Diet</w:t>
      </w:r>
      <w:r w:rsidR="00E64AA7">
        <w:rPr>
          <w:rFonts w:eastAsiaTheme="minorHAnsi"/>
        </w:rPr>
        <w:t>et</w:t>
      </w:r>
      <w:r w:rsidRPr="00EA55D0">
        <w:rPr>
          <w:rFonts w:eastAsiaTheme="minorHAnsi"/>
        </w:rPr>
        <w:t xml:space="preserve">ic </w:t>
      </w:r>
      <w:r w:rsidR="00E64AA7">
        <w:rPr>
          <w:rFonts w:eastAsiaTheme="minorHAnsi"/>
        </w:rPr>
        <w:t>c</w:t>
      </w:r>
      <w:r w:rsidRPr="00EA55D0">
        <w:rPr>
          <w:rFonts w:eastAsiaTheme="minorHAnsi"/>
        </w:rPr>
        <w:t>are</w:t>
      </w:r>
    </w:p>
    <w:p w14:paraId="29D315CE" w14:textId="5CD5C40E" w:rsidR="005604FD" w:rsidRDefault="005604FD" w:rsidP="00322243">
      <w:pPr>
        <w:pStyle w:val="ListBullet2"/>
        <w:rPr>
          <w:rFonts w:eastAsiaTheme="minorHAnsi"/>
        </w:rPr>
      </w:pPr>
      <w:r w:rsidRPr="00EA55D0">
        <w:rPr>
          <w:rFonts w:eastAsiaTheme="minorHAnsi"/>
        </w:rPr>
        <w:t>Other allied health</w:t>
      </w:r>
    </w:p>
    <w:p w14:paraId="519B434F" w14:textId="77777777" w:rsidR="003D65B6" w:rsidRPr="00322243" w:rsidRDefault="003D65B6" w:rsidP="00322243">
      <w:pPr>
        <w:pStyle w:val="ListBullet"/>
      </w:pPr>
      <w:r w:rsidRPr="00414632">
        <w:rPr>
          <w:rFonts w:eastAsiaTheme="minorHAnsi"/>
        </w:rPr>
        <w:t xml:space="preserve">Care </w:t>
      </w:r>
      <w:r w:rsidRPr="00322243">
        <w:t>management labour costs are to be split by those undertaken by clinical staff and those undertaken by non-clinical staff.</w:t>
      </w:r>
    </w:p>
    <w:p w14:paraId="7C793961" w14:textId="69186E48" w:rsidR="003D65B6" w:rsidRPr="00322243" w:rsidRDefault="003D65B6" w:rsidP="00322243">
      <w:pPr>
        <w:pStyle w:val="ListBullet"/>
      </w:pPr>
      <w:r w:rsidRPr="00322243">
        <w:t xml:space="preserve">There is a new expense item under “Other expenses” for “Participant top-ups and Private Clients”. </w:t>
      </w:r>
    </w:p>
    <w:p w14:paraId="3E547634" w14:textId="55081F45" w:rsidR="00A96E23" w:rsidRPr="00D471ED" w:rsidRDefault="00A96E23" w:rsidP="00D471ED">
      <w:pPr>
        <w:pStyle w:val="Heading3nonumbers"/>
      </w:pPr>
      <w:r w:rsidRPr="00D471ED">
        <w:t xml:space="preserve">Administration and Support </w:t>
      </w:r>
      <w:r w:rsidR="0030124F" w:rsidRPr="00D471ED">
        <w:t>e</w:t>
      </w:r>
      <w:r w:rsidRPr="00D471ED">
        <w:t>xpenses reporting</w:t>
      </w:r>
    </w:p>
    <w:p w14:paraId="46E393E8" w14:textId="611160B0" w:rsidR="004D192A" w:rsidRPr="004A597A" w:rsidRDefault="00F85196" w:rsidP="00322243">
      <w:pPr>
        <w:pStyle w:val="ListBullet"/>
        <w:rPr>
          <w:rFonts w:eastAsiaTheme="minorHAnsi"/>
        </w:rPr>
      </w:pPr>
      <w:r>
        <w:rPr>
          <w:rFonts w:eastAsiaTheme="minorHAnsi"/>
        </w:rPr>
        <w:t>The superannuation and on-costs for</w:t>
      </w:r>
      <w:r w:rsidR="00926AFF">
        <w:rPr>
          <w:rFonts w:eastAsiaTheme="minorHAnsi"/>
        </w:rPr>
        <w:t xml:space="preserve"> direct care staff </w:t>
      </w:r>
      <w:proofErr w:type="gramStart"/>
      <w:r w:rsidR="00926AFF">
        <w:rPr>
          <w:rFonts w:eastAsiaTheme="minorHAnsi"/>
        </w:rPr>
        <w:t>is</w:t>
      </w:r>
      <w:proofErr w:type="gramEnd"/>
      <w:r w:rsidR="00926AFF">
        <w:rPr>
          <w:rFonts w:eastAsiaTheme="minorHAnsi"/>
        </w:rPr>
        <w:t xml:space="preserve"> to be reported</w:t>
      </w:r>
      <w:r w:rsidR="00B43DD6">
        <w:rPr>
          <w:rFonts w:eastAsiaTheme="minorHAnsi"/>
        </w:rPr>
        <w:t xml:space="preserve"> separately in a line item called</w:t>
      </w:r>
      <w:r w:rsidR="000135AA" w:rsidRPr="004A597A">
        <w:rPr>
          <w:rFonts w:eastAsiaTheme="minorHAnsi"/>
        </w:rPr>
        <w:t xml:space="preserve"> “</w:t>
      </w:r>
      <w:r w:rsidR="004177BC">
        <w:rPr>
          <w:rFonts w:eastAsiaTheme="minorHAnsi"/>
        </w:rPr>
        <w:t xml:space="preserve">Superannuation and Employee On-Costs – Care Staff” </w:t>
      </w:r>
      <w:r w:rsidR="000135AA" w:rsidRPr="004A597A">
        <w:rPr>
          <w:rFonts w:eastAsiaTheme="minorHAnsi"/>
        </w:rPr>
        <w:t xml:space="preserve">under “Administration and Support”. </w:t>
      </w:r>
      <w:r w:rsidR="004D192A" w:rsidRPr="004A597A">
        <w:rPr>
          <w:rFonts w:eastAsiaTheme="minorHAnsi"/>
        </w:rPr>
        <w:t>This expense item should include the payment of following amounts:</w:t>
      </w:r>
    </w:p>
    <w:p w14:paraId="1D1E3D4B" w14:textId="7CC08DCA" w:rsidR="000135AA" w:rsidRPr="00322243" w:rsidRDefault="00953202" w:rsidP="00322243">
      <w:pPr>
        <w:pStyle w:val="ListBullet2"/>
      </w:pPr>
      <w:r w:rsidRPr="00322243">
        <w:t>Superannuation</w:t>
      </w:r>
    </w:p>
    <w:p w14:paraId="23ADFD54" w14:textId="5413F802" w:rsidR="004D192A" w:rsidRPr="00322243" w:rsidRDefault="004D192A" w:rsidP="00322243">
      <w:pPr>
        <w:pStyle w:val="ListBullet2"/>
      </w:pPr>
      <w:r w:rsidRPr="00322243">
        <w:t>Bonuses, incentive pay and commissions</w:t>
      </w:r>
    </w:p>
    <w:p w14:paraId="64DC5562" w14:textId="77777777" w:rsidR="004D192A" w:rsidRPr="00322243" w:rsidRDefault="004D192A" w:rsidP="00322243">
      <w:pPr>
        <w:pStyle w:val="ListBullet2"/>
      </w:pPr>
      <w:r w:rsidRPr="00322243">
        <w:t>Allowances and reimbursements</w:t>
      </w:r>
    </w:p>
    <w:p w14:paraId="73C47095" w14:textId="77777777" w:rsidR="004D192A" w:rsidRPr="00322243" w:rsidRDefault="004D192A" w:rsidP="00322243">
      <w:pPr>
        <w:pStyle w:val="ListBullet2"/>
      </w:pPr>
      <w:r w:rsidRPr="00322243">
        <w:t>Annual leave, long service leave and medical leave</w:t>
      </w:r>
    </w:p>
    <w:p w14:paraId="521FF81E" w14:textId="77777777" w:rsidR="004D192A" w:rsidRPr="00322243" w:rsidRDefault="004D192A" w:rsidP="00322243">
      <w:pPr>
        <w:pStyle w:val="ListBullet2"/>
      </w:pPr>
      <w:r w:rsidRPr="00322243">
        <w:t>Leave provisions</w:t>
      </w:r>
    </w:p>
    <w:p w14:paraId="2F7E77A2" w14:textId="77777777" w:rsidR="004D192A" w:rsidRPr="00322243" w:rsidRDefault="004D192A" w:rsidP="00322243">
      <w:pPr>
        <w:pStyle w:val="ListBullet2"/>
      </w:pPr>
      <w:r w:rsidRPr="00322243">
        <w:t>Termination payments, retirement payments and leave encashment</w:t>
      </w:r>
    </w:p>
    <w:p w14:paraId="21C04870" w14:textId="77777777" w:rsidR="004D192A" w:rsidRPr="00322243" w:rsidRDefault="004D192A" w:rsidP="00322243">
      <w:pPr>
        <w:pStyle w:val="ListBullet2"/>
      </w:pPr>
      <w:r w:rsidRPr="00322243">
        <w:t>Value of Fringe Benefits/salary sacrifice</w:t>
      </w:r>
    </w:p>
    <w:p w14:paraId="68A7A835" w14:textId="77777777" w:rsidR="004D192A" w:rsidRPr="00322243" w:rsidRDefault="004D192A" w:rsidP="00322243">
      <w:pPr>
        <w:pStyle w:val="ListBullet2"/>
      </w:pPr>
      <w:r w:rsidRPr="00322243">
        <w:t>Uniforms and/or laundry reimbursements</w:t>
      </w:r>
    </w:p>
    <w:p w14:paraId="02ECE9F3" w14:textId="77777777" w:rsidR="004D192A" w:rsidRPr="00322243" w:rsidRDefault="004D192A" w:rsidP="00322243">
      <w:pPr>
        <w:pStyle w:val="ListBullet2"/>
      </w:pPr>
      <w:r w:rsidRPr="00322243">
        <w:t>Staff training.</w:t>
      </w:r>
    </w:p>
    <w:p w14:paraId="55D7C9F2" w14:textId="77777777" w:rsidR="004D192A" w:rsidRPr="00EA55D0" w:rsidRDefault="004D192A" w:rsidP="00322243">
      <w:pPr>
        <w:rPr>
          <w:rFonts w:cs="Arial"/>
        </w:rPr>
      </w:pPr>
      <w:r w:rsidRPr="00EA55D0">
        <w:rPr>
          <w:rFonts w:cs="Arial"/>
        </w:rPr>
        <w:t>Do not include staff amenities, staff recruitment, agency staff, workers compensation premiums or payroll tax.</w:t>
      </w:r>
    </w:p>
    <w:p w14:paraId="154E0196" w14:textId="2699B61D" w:rsidR="00C279D6" w:rsidRPr="00D471ED" w:rsidRDefault="00C56408" w:rsidP="00D471ED">
      <w:pPr>
        <w:pStyle w:val="Heading3nonumbers"/>
      </w:pPr>
      <w:bookmarkStart w:id="68" w:name="_Toc209622227"/>
      <w:r w:rsidRPr="00D471ED">
        <w:t xml:space="preserve">Labour </w:t>
      </w:r>
      <w:r w:rsidR="00210BC0" w:rsidRPr="00D471ED">
        <w:t xml:space="preserve">Worked </w:t>
      </w:r>
      <w:r w:rsidR="000D58E2" w:rsidRPr="00D471ED">
        <w:t>Hours reporting</w:t>
      </w:r>
      <w:bookmarkEnd w:id="68"/>
    </w:p>
    <w:p w14:paraId="64D0E0FE" w14:textId="002EB1D0" w:rsidR="00064FA1" w:rsidRPr="00482AAD" w:rsidRDefault="004D68C1" w:rsidP="00322243">
      <w:pPr>
        <w:pStyle w:val="ListBullet"/>
        <w:rPr>
          <w:rFonts w:eastAsiaTheme="minorHAnsi"/>
        </w:rPr>
      </w:pPr>
      <w:r w:rsidRPr="00482AAD">
        <w:rPr>
          <w:rFonts w:eastAsiaTheme="minorHAnsi"/>
        </w:rPr>
        <w:t xml:space="preserve">Labour </w:t>
      </w:r>
      <w:r w:rsidR="006B1224">
        <w:rPr>
          <w:rFonts w:eastAsiaTheme="minorHAnsi"/>
        </w:rPr>
        <w:t xml:space="preserve">worked </w:t>
      </w:r>
      <w:r w:rsidRPr="00482AAD">
        <w:rPr>
          <w:rFonts w:eastAsiaTheme="minorHAnsi"/>
        </w:rPr>
        <w:t>hours reporting includes</w:t>
      </w:r>
      <w:r w:rsidR="00064FA1" w:rsidRPr="00482AAD">
        <w:rPr>
          <w:rFonts w:eastAsiaTheme="minorHAnsi"/>
        </w:rPr>
        <w:t>:</w:t>
      </w:r>
    </w:p>
    <w:p w14:paraId="4CD66B6B" w14:textId="77777777" w:rsidR="00064FA1" w:rsidRPr="00064FA1" w:rsidRDefault="004D68C1" w:rsidP="00322243">
      <w:pPr>
        <w:pStyle w:val="ListBullet2"/>
      </w:pPr>
      <w:r w:rsidRPr="00064FA1">
        <w:t>direct care</w:t>
      </w:r>
    </w:p>
    <w:p w14:paraId="003F114D" w14:textId="77777777" w:rsidR="00064FA1" w:rsidRPr="00064FA1" w:rsidRDefault="004D68C1" w:rsidP="00322243">
      <w:pPr>
        <w:pStyle w:val="ListBullet2"/>
      </w:pPr>
      <w:r w:rsidRPr="00064FA1">
        <w:t>care management</w:t>
      </w:r>
    </w:p>
    <w:p w14:paraId="3E6EE02C" w14:textId="77777777" w:rsidR="00064FA1" w:rsidRPr="00064FA1" w:rsidRDefault="004D68C1" w:rsidP="00322243">
      <w:pPr>
        <w:pStyle w:val="ListBullet2"/>
      </w:pPr>
      <w:r w:rsidRPr="00064FA1">
        <w:t>administration and support</w:t>
      </w:r>
    </w:p>
    <w:p w14:paraId="0C297178" w14:textId="4D11C993" w:rsidR="004D68C1" w:rsidRPr="00064FA1" w:rsidRDefault="004D68C1" w:rsidP="00322243">
      <w:pPr>
        <w:pStyle w:val="ListBullet2"/>
      </w:pPr>
      <w:r w:rsidRPr="00064FA1">
        <w:t>non-worked hours.</w:t>
      </w:r>
    </w:p>
    <w:p w14:paraId="14D05BC0" w14:textId="329B7E05" w:rsidR="00B06B2F" w:rsidRDefault="00482AAD" w:rsidP="00322243">
      <w:pPr>
        <w:pStyle w:val="ListBullet"/>
        <w:rPr>
          <w:rFonts w:eastAsiaTheme="minorHAnsi"/>
        </w:rPr>
      </w:pPr>
      <w:r>
        <w:rPr>
          <w:rFonts w:eastAsiaTheme="minorHAnsi"/>
        </w:rPr>
        <w:t xml:space="preserve">Direct care labour worked hours </w:t>
      </w:r>
      <w:r w:rsidR="00532F27">
        <w:rPr>
          <w:rFonts w:eastAsiaTheme="minorHAnsi"/>
        </w:rPr>
        <w:t>are reported against each service</w:t>
      </w:r>
      <w:r w:rsidR="008B2ED5">
        <w:rPr>
          <w:rFonts w:eastAsiaTheme="minorHAnsi"/>
        </w:rPr>
        <w:t xml:space="preserve"> / </w:t>
      </w:r>
      <w:r w:rsidR="00532F27">
        <w:rPr>
          <w:rFonts w:eastAsiaTheme="minorHAnsi"/>
        </w:rPr>
        <w:t xml:space="preserve">pathway. </w:t>
      </w:r>
      <w:r w:rsidR="004D68C1" w:rsidRPr="00EA55D0">
        <w:rPr>
          <w:rFonts w:eastAsiaTheme="minorHAnsi"/>
        </w:rPr>
        <w:t xml:space="preserve"> </w:t>
      </w:r>
    </w:p>
    <w:p w14:paraId="2CF2AE5C" w14:textId="5886E0FA" w:rsidR="004D68C1" w:rsidRPr="00322243" w:rsidRDefault="00152FC4" w:rsidP="00322243">
      <w:pPr>
        <w:pStyle w:val="ListBullet"/>
      </w:pPr>
      <w:r>
        <w:rPr>
          <w:rFonts w:eastAsiaTheme="minorHAnsi"/>
        </w:rPr>
        <w:t>Di</w:t>
      </w:r>
      <w:r w:rsidRPr="00322243">
        <w:t>rect care labour worked hours only need to be reported for employee care staff. You do not need to</w:t>
      </w:r>
      <w:r w:rsidR="00E64AA7" w:rsidRPr="00322243">
        <w:t xml:space="preserve"> report</w:t>
      </w:r>
      <w:r w:rsidRPr="00322243">
        <w:t xml:space="preserve"> </w:t>
      </w:r>
      <w:r w:rsidR="004D68C1" w:rsidRPr="00322243">
        <w:t>agency</w:t>
      </w:r>
      <w:r w:rsidR="008B2ED5" w:rsidRPr="00322243">
        <w:t xml:space="preserve"> staff</w:t>
      </w:r>
      <w:r w:rsidR="004D68C1" w:rsidRPr="00322243">
        <w:t xml:space="preserve"> or </w:t>
      </w:r>
      <w:r w:rsidRPr="00322243">
        <w:t>s</w:t>
      </w:r>
      <w:r w:rsidR="008B2ED5" w:rsidRPr="00322243">
        <w:t xml:space="preserve">ub-contracted and </w:t>
      </w:r>
      <w:r w:rsidR="004D68C1" w:rsidRPr="00322243">
        <w:t>brokered</w:t>
      </w:r>
      <w:r w:rsidR="008B2ED5" w:rsidRPr="00322243">
        <w:t xml:space="preserve"> client services</w:t>
      </w:r>
      <w:r w:rsidR="004D68C1" w:rsidRPr="00322243">
        <w:t>.</w:t>
      </w:r>
    </w:p>
    <w:p w14:paraId="7517C7E0" w14:textId="77777777" w:rsidR="004D68C1" w:rsidRPr="00322243" w:rsidRDefault="004D68C1" w:rsidP="00322243">
      <w:pPr>
        <w:pStyle w:val="ListBullet"/>
      </w:pPr>
      <w:r w:rsidRPr="00322243">
        <w:t>Care management labour hours are to be split by those undertaken by clinical staff and those undertaken by non-clinical staff.</w:t>
      </w:r>
    </w:p>
    <w:p w14:paraId="2C5BCF04" w14:textId="2A65BB5D" w:rsidR="004D68C1" w:rsidRPr="00322243" w:rsidRDefault="004D68C1" w:rsidP="00322243">
      <w:pPr>
        <w:pStyle w:val="ListBullet"/>
      </w:pPr>
      <w:r w:rsidRPr="00322243">
        <w:t xml:space="preserve">Non-worked hours reporting is only for </w:t>
      </w:r>
      <w:r w:rsidR="00ED0A22" w:rsidRPr="00322243">
        <w:t>employee direct care staff</w:t>
      </w:r>
      <w:r w:rsidR="00A47E71" w:rsidRPr="00322243">
        <w:t>, and includes all staff paid leave and training hours.</w:t>
      </w:r>
      <w:r w:rsidRPr="00322243">
        <w:t xml:space="preserve"> </w:t>
      </w:r>
    </w:p>
    <w:p w14:paraId="0ABF1983" w14:textId="2ECDDFA7" w:rsidR="00CF67D8" w:rsidRPr="00322243" w:rsidRDefault="00CF67D8" w:rsidP="00322243">
      <w:pPr>
        <w:pStyle w:val="ListBullet"/>
      </w:pPr>
      <w:r w:rsidRPr="00322243">
        <w:t xml:space="preserve">Note that </w:t>
      </w:r>
      <w:r w:rsidR="00E517FD" w:rsidRPr="00322243">
        <w:t>labour worked hours are only reported in the ACFR. They are no longer reported in the QFR.</w:t>
      </w:r>
    </w:p>
    <w:p w14:paraId="5BD665B0" w14:textId="1F332972" w:rsidR="00C06FCD" w:rsidRPr="00271D9E" w:rsidRDefault="00C06FCD" w:rsidP="00271D9E">
      <w:pPr>
        <w:pStyle w:val="Heading2"/>
        <w:rPr>
          <w:rFonts w:eastAsiaTheme="minorHAnsi"/>
        </w:rPr>
      </w:pPr>
      <w:bookmarkStart w:id="69" w:name="_Toc209622228"/>
      <w:r w:rsidRPr="00271D9E">
        <w:rPr>
          <w:rFonts w:eastAsiaTheme="minorHAnsi"/>
        </w:rPr>
        <w:t>Difference in financial reporting for Support at Home in QFR and ACFR</w:t>
      </w:r>
      <w:bookmarkEnd w:id="69"/>
    </w:p>
    <w:p w14:paraId="4B080B25" w14:textId="77777777" w:rsidR="00C06FCD" w:rsidRPr="00EA55D0" w:rsidRDefault="00C06FCD" w:rsidP="00322243">
      <w:pPr>
        <w:pStyle w:val="ListBullet"/>
        <w:rPr>
          <w:b/>
        </w:rPr>
      </w:pPr>
      <w:r w:rsidRPr="00EA55D0">
        <w:rPr>
          <w:rFonts w:eastAsiaTheme="minorHAnsi"/>
        </w:rPr>
        <w:t xml:space="preserve">There are differences in the way that providers of Support at Home will report their financial information in the QFR and ACFR in 2025-26. </w:t>
      </w:r>
    </w:p>
    <w:p w14:paraId="6F535C3F" w14:textId="3E07A42F" w:rsidR="001533BD" w:rsidRPr="00322243" w:rsidRDefault="001533BD" w:rsidP="00322243">
      <w:pPr>
        <w:pStyle w:val="ListBullet"/>
      </w:pPr>
      <w:r w:rsidRPr="00EA55D0">
        <w:rPr>
          <w:rFonts w:eastAsiaTheme="minorHAnsi"/>
        </w:rPr>
        <w:t>The n</w:t>
      </w:r>
      <w:r w:rsidRPr="00322243">
        <w:t xml:space="preserve">ew “Support at Home Income and Expenditure Statement” in the ACFR has been designed to align income and expense reporting with </w:t>
      </w:r>
      <w:r w:rsidR="00456A01" w:rsidRPr="00322243">
        <w:t xml:space="preserve">the </w:t>
      </w:r>
      <w:r w:rsidR="00E07A0A" w:rsidRPr="00322243">
        <w:t>new program</w:t>
      </w:r>
      <w:r w:rsidRPr="00322243">
        <w:t xml:space="preserve">. </w:t>
      </w:r>
    </w:p>
    <w:p w14:paraId="17A645CB" w14:textId="1FE9ECB4" w:rsidR="0002174A" w:rsidRPr="00322243" w:rsidRDefault="00C06FCD" w:rsidP="00322243">
      <w:pPr>
        <w:pStyle w:val="ListBullet"/>
      </w:pPr>
      <w:r w:rsidRPr="00322243">
        <w:t xml:space="preserve">The QFR </w:t>
      </w:r>
      <w:r w:rsidR="001219C8" w:rsidRPr="00322243">
        <w:t xml:space="preserve">labour cost reporting retains the previously used home care reporting worker type line </w:t>
      </w:r>
      <w:r w:rsidR="007952B5" w:rsidRPr="00322243">
        <w:t>items;</w:t>
      </w:r>
      <w:r w:rsidR="001219C8" w:rsidRPr="00322243">
        <w:t xml:space="preserve"> </w:t>
      </w:r>
      <w:proofErr w:type="gramStart"/>
      <w:r w:rsidR="001219C8" w:rsidRPr="00322243">
        <w:t>however</w:t>
      </w:r>
      <w:proofErr w:type="gramEnd"/>
      <w:r w:rsidR="001219C8" w:rsidRPr="00322243">
        <w:t xml:space="preserve"> providers need to refer to the</w:t>
      </w:r>
      <w:r w:rsidR="003346AF" w:rsidRPr="00322243">
        <w:t xml:space="preserve"> </w:t>
      </w:r>
      <w:r w:rsidR="001219C8" w:rsidRPr="00322243">
        <w:t xml:space="preserve">updated </w:t>
      </w:r>
      <w:r w:rsidR="007C74C1" w:rsidRPr="00322243">
        <w:t xml:space="preserve">QFR </w:t>
      </w:r>
      <w:r w:rsidR="003346AF" w:rsidRPr="00322243">
        <w:t xml:space="preserve">labour cost </w:t>
      </w:r>
      <w:r w:rsidR="001219C8" w:rsidRPr="00322243">
        <w:t>definitions which outline w</w:t>
      </w:r>
      <w:r w:rsidR="003346AF" w:rsidRPr="00322243">
        <w:t>h</w:t>
      </w:r>
      <w:r w:rsidR="001219C8" w:rsidRPr="00322243">
        <w:t>ich Support at Home service list items are covered by each line item.</w:t>
      </w:r>
      <w:r w:rsidRPr="00322243">
        <w:t xml:space="preserve"> </w:t>
      </w:r>
    </w:p>
    <w:p w14:paraId="0EA06E19" w14:textId="35E46FEA" w:rsidR="00C06FCD" w:rsidRPr="00322243" w:rsidRDefault="00C06FCD" w:rsidP="00322243">
      <w:pPr>
        <w:pStyle w:val="ListBullet"/>
      </w:pPr>
      <w:r w:rsidRPr="00322243">
        <w:t>Reporting by Aged Care Planning Regions and labour hours has been removed</w:t>
      </w:r>
      <w:r w:rsidR="003346AF" w:rsidRPr="00322243">
        <w:t xml:space="preserve"> from the QFR</w:t>
      </w:r>
      <w:r w:rsidRPr="00322243">
        <w:t xml:space="preserve">. </w:t>
      </w:r>
    </w:p>
    <w:p w14:paraId="638CA115" w14:textId="77777777" w:rsidR="00C06FCD" w:rsidRPr="00322243" w:rsidRDefault="00C06FCD" w:rsidP="00322243">
      <w:pPr>
        <w:pStyle w:val="ListBullet"/>
      </w:pPr>
      <w:r w:rsidRPr="00322243">
        <w:t xml:space="preserve">An example of the structure of the QFR Quarter 2 Support at Home Labour Costs form and ACFR Support at Home Income and Expenditure Statement can be found below. </w:t>
      </w:r>
    </w:p>
    <w:p w14:paraId="1CCC4008" w14:textId="77777777" w:rsidR="008E0EF2" w:rsidRPr="00322243" w:rsidRDefault="00F80A09" w:rsidP="00322243">
      <w:pPr>
        <w:pStyle w:val="ListBullet"/>
      </w:pPr>
      <w:r w:rsidRPr="00322243">
        <w:t xml:space="preserve">There are differences in what costs are included in the definition of labour costs in the QFR vs the ACFR. </w:t>
      </w:r>
    </w:p>
    <w:p w14:paraId="5459D892" w14:textId="0B72CEF0" w:rsidR="00F80A09" w:rsidRPr="00322243" w:rsidRDefault="00F80A09" w:rsidP="00322243">
      <w:pPr>
        <w:pStyle w:val="ListBullet"/>
      </w:pPr>
      <w:r w:rsidRPr="00322243">
        <w:t xml:space="preserve">See below for an example of Support at Home labour costs </w:t>
      </w:r>
      <w:r w:rsidR="00BC720E" w:rsidRPr="00322243">
        <w:t xml:space="preserve">reporting in the </w:t>
      </w:r>
      <w:r w:rsidRPr="00322243">
        <w:t>QFR vs ACFR</w:t>
      </w:r>
      <w:r w:rsidR="00BC720E" w:rsidRPr="00322243">
        <w:t>.</w:t>
      </w:r>
      <w:r w:rsidRPr="00322243">
        <w:t xml:space="preserve"> </w:t>
      </w:r>
    </w:p>
    <w:p w14:paraId="485EB229" w14:textId="7C46CC8D" w:rsidR="00331752" w:rsidRPr="00322243" w:rsidRDefault="00331752" w:rsidP="00322243">
      <w:pPr>
        <w:pStyle w:val="ListBullet"/>
      </w:pPr>
      <w:r w:rsidRPr="00322243">
        <w:t xml:space="preserve">Note that for both the QFR and ACFR reporting, if a worker provides multiple services during a visit, you need to apportion the labour costs across the different line items based on the service delivered.  </w:t>
      </w:r>
    </w:p>
    <w:p w14:paraId="250C7B92" w14:textId="77777777" w:rsidR="00C06FCD" w:rsidRPr="00322243" w:rsidRDefault="00C06FCD" w:rsidP="00322243">
      <w:pPr>
        <w:pStyle w:val="ListBullet"/>
      </w:pPr>
      <w:r w:rsidRPr="00322243">
        <w:t>You are encouraged to review the QFR and ACFR non-</w:t>
      </w:r>
      <w:proofErr w:type="spellStart"/>
      <w:r w:rsidRPr="00322243">
        <w:t>uploadable</w:t>
      </w:r>
      <w:proofErr w:type="spellEnd"/>
      <w:r w:rsidRPr="00322243">
        <w:t xml:space="preserve"> templates in more detail, which are available on the department’s webpage. </w:t>
      </w:r>
    </w:p>
    <w:p w14:paraId="6AED5AD1" w14:textId="77777777" w:rsidR="00C06FCD" w:rsidRPr="00EA55D0" w:rsidRDefault="00C06FCD" w:rsidP="00322243">
      <w:pPr>
        <w:pStyle w:val="ListBullet"/>
        <w:rPr>
          <w:rFonts w:eastAsiaTheme="minorHAnsi"/>
        </w:rPr>
      </w:pPr>
      <w:r w:rsidRPr="00322243">
        <w:t xml:space="preserve">In future financial years, financial reporting for providers of Support at Home will be aligned </w:t>
      </w:r>
      <w:r w:rsidRPr="00EA55D0">
        <w:rPr>
          <w:rFonts w:eastAsiaTheme="minorHAnsi"/>
        </w:rPr>
        <w:t xml:space="preserve">between the two reports. </w:t>
      </w:r>
    </w:p>
    <w:p w14:paraId="21986854" w14:textId="77777777" w:rsidR="007F2FD3" w:rsidRPr="00322243" w:rsidRDefault="007F2FD3" w:rsidP="00322243"/>
    <w:p w14:paraId="49316932" w14:textId="77777777" w:rsidR="00225A05" w:rsidRPr="00322243" w:rsidRDefault="00225A05" w:rsidP="00322243">
      <w:pPr>
        <w:sectPr w:rsidR="00225A05" w:rsidRPr="00322243" w:rsidSect="00E22085">
          <w:headerReference w:type="even" r:id="rId40"/>
          <w:footerReference w:type="even" r:id="rId41"/>
          <w:pgSz w:w="11910" w:h="16840"/>
          <w:pgMar w:top="1440" w:right="1440" w:bottom="1135" w:left="1440" w:header="567" w:footer="585" w:gutter="0"/>
          <w:cols w:space="720"/>
          <w:docGrid w:linePitch="326"/>
        </w:sectPr>
      </w:pPr>
    </w:p>
    <w:p w14:paraId="770335B2" w14:textId="5821A0B7" w:rsidR="0073167D" w:rsidRPr="00C47A9C" w:rsidRDefault="007877DB" w:rsidP="00C47A9C">
      <w:pPr>
        <w:pStyle w:val="TableTitle"/>
      </w:pPr>
      <w:r w:rsidRPr="00C47A9C">
        <w:t>Example: D</w:t>
      </w:r>
      <w:r w:rsidR="0073167D" w:rsidRPr="00C47A9C">
        <w:t>ifference in expense reporting in QFR and ACFR for Support at Home</w:t>
      </w:r>
    </w:p>
    <w:tbl>
      <w:tblPr>
        <w:tblStyle w:val="TableGrid"/>
        <w:tblW w:w="15735" w:type="dxa"/>
        <w:tblInd w:w="-998" w:type="dxa"/>
        <w:tblLook w:val="04A0" w:firstRow="1" w:lastRow="0" w:firstColumn="1" w:lastColumn="0" w:noHBand="0" w:noVBand="1"/>
      </w:tblPr>
      <w:tblGrid>
        <w:gridCol w:w="7449"/>
        <w:gridCol w:w="8286"/>
      </w:tblGrid>
      <w:tr w:rsidR="00D43AB3" w:rsidRPr="00322243" w14:paraId="1E537373" w14:textId="77777777" w:rsidTr="00322243">
        <w:trPr>
          <w:cnfStyle w:val="100000000000" w:firstRow="1" w:lastRow="0" w:firstColumn="0" w:lastColumn="0" w:oddVBand="0" w:evenVBand="0" w:oddHBand="0" w:evenHBand="0" w:firstRowFirstColumn="0" w:firstRowLastColumn="0" w:lastRowFirstColumn="0" w:lastRowLastColumn="0"/>
          <w:trHeight w:val="806"/>
          <w:tblHeader/>
        </w:trPr>
        <w:tc>
          <w:tcPr>
            <w:tcW w:w="7449" w:type="dxa"/>
          </w:tcPr>
          <w:p w14:paraId="19B1ED6C" w14:textId="0042A465" w:rsidR="00212623" w:rsidRPr="00322243" w:rsidRDefault="00212623" w:rsidP="00322243">
            <w:r w:rsidRPr="00322243">
              <w:t>QFR</w:t>
            </w:r>
            <w:r w:rsidR="005A50DF" w:rsidRPr="00322243">
              <w:t xml:space="preserve"> </w:t>
            </w:r>
            <w:proofErr w:type="spellStart"/>
            <w:r w:rsidR="005A50DF" w:rsidRPr="00322243">
              <w:t>Qtr</w:t>
            </w:r>
            <w:proofErr w:type="spellEnd"/>
            <w:r w:rsidR="005A50DF" w:rsidRPr="00322243">
              <w:t xml:space="preserve"> 2 Support at Home Labour costs</w:t>
            </w:r>
          </w:p>
        </w:tc>
        <w:tc>
          <w:tcPr>
            <w:tcW w:w="8286" w:type="dxa"/>
          </w:tcPr>
          <w:p w14:paraId="59EE1975" w14:textId="5D0377CD" w:rsidR="00212623" w:rsidRPr="00322243" w:rsidRDefault="00212623" w:rsidP="00322243">
            <w:r w:rsidRPr="00322243">
              <w:t>ACFR</w:t>
            </w:r>
            <w:r w:rsidR="005A50DF" w:rsidRPr="00322243">
              <w:t xml:space="preserve"> Support at Home Income and Expenditure Statement</w:t>
            </w:r>
          </w:p>
        </w:tc>
      </w:tr>
      <w:tr w:rsidR="00D43AB3" w:rsidRPr="00EA55D0" w14:paraId="00C2F2CA" w14:textId="77777777" w:rsidTr="002A6742">
        <w:trPr>
          <w:trHeight w:val="5836"/>
        </w:trPr>
        <w:tc>
          <w:tcPr>
            <w:tcW w:w="7449" w:type="dxa"/>
          </w:tcPr>
          <w:p w14:paraId="0280C35F" w14:textId="77777777" w:rsidR="00212623" w:rsidRPr="008430E8" w:rsidRDefault="00212623" w:rsidP="008430E8">
            <w:r w:rsidRPr="008430E8">
              <w:rPr>
                <w:noProof/>
              </w:rPr>
              <w:drawing>
                <wp:inline distT="0" distB="0" distL="0" distR="0" wp14:anchorId="51E8E40E" wp14:editId="45C91863">
                  <wp:extent cx="4532244" cy="3475977"/>
                  <wp:effectExtent l="0" t="0" r="1905" b="0"/>
                  <wp:docPr id="782563178" name="Picture 1" descr="Table showing care expenses with categories for labour costs and subcontracted services, all listed with zero dollar amounts. Key sections include internal direct care for employees and agency staff, external direct care service costs, and administration, with specific roles like registered nurses, enrolled nurses, personal care workers, and allied health highlighted in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63178" name="Picture 1" descr="Table showing care expenses with categories for labour costs and subcontracted services, all listed with zero dollar amounts. Key sections include internal direct care for employees and agency staff, external direct care service costs, and administration, with specific roles like registered nurses, enrolled nurses, personal care workers, and allied health highlighted in rows."/>
                          <pic:cNvPicPr/>
                        </pic:nvPicPr>
                        <pic:blipFill>
                          <a:blip r:embed="rId42">
                            <a:extLst>
                              <a:ext uri="{28A0092B-C50C-407E-A947-70E740481C1C}">
                                <a14:useLocalDpi xmlns:a14="http://schemas.microsoft.com/office/drawing/2010/main" val="0"/>
                              </a:ext>
                            </a:extLst>
                          </a:blip>
                          <a:stretch>
                            <a:fillRect/>
                          </a:stretch>
                        </pic:blipFill>
                        <pic:spPr>
                          <a:xfrm>
                            <a:off x="0" y="0"/>
                            <a:ext cx="4545251" cy="3485953"/>
                          </a:xfrm>
                          <a:prstGeom prst="rect">
                            <a:avLst/>
                          </a:prstGeom>
                        </pic:spPr>
                      </pic:pic>
                    </a:graphicData>
                  </a:graphic>
                </wp:inline>
              </w:drawing>
            </w:r>
          </w:p>
        </w:tc>
        <w:tc>
          <w:tcPr>
            <w:tcW w:w="8286" w:type="dxa"/>
          </w:tcPr>
          <w:p w14:paraId="751305C6" w14:textId="245A8907" w:rsidR="00212623" w:rsidRPr="008430E8" w:rsidRDefault="00212623" w:rsidP="008430E8">
            <w:r w:rsidRPr="008430E8">
              <w:rPr>
                <w:noProof/>
              </w:rPr>
              <w:drawing>
                <wp:inline distT="0" distB="0" distL="0" distR="0" wp14:anchorId="07B5C154" wp14:editId="4F7B7A48">
                  <wp:extent cx="5124203" cy="3112770"/>
                  <wp:effectExtent l="0" t="0" r="635" b="0"/>
                  <wp:docPr id="1339589988" name="Picture 1" descr="Table displaying detailed breakdown of total clinical support services expenses for Independence Services, with categories including Personal Care, Social Support and Community Engagement, Therapeutic Services for Independent Living, Respite, Transport, and Consumables. Each category lists labour costs divided into Internal Direct Care (Employee Care Staff and Agency Care Staff) and External Direct Care (Sub-contracted or Brokered Client Services), all showing $0.00 expenses, alongside Motor Vehicle Expenses for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89988" name="Picture 1" descr="Table displaying detailed breakdown of total clinical support services expenses for Independence Services, with categories including Personal Care, Social Support and Community Engagement, Therapeutic Services for Independent Living, Respite, Transport, and Consumables. Each category lists labour costs divided into Internal Direct Care (Employee Care Staff and Agency Care Staff) and External Direct Care (Sub-contracted or Brokered Client Services), all showing $0.00 expenses, alongside Motor Vehicle Expenses for Transport."/>
                          <pic:cNvPicPr/>
                        </pic:nvPicPr>
                        <pic:blipFill rotWithShape="1">
                          <a:blip r:embed="rId43">
                            <a:extLst>
                              <a:ext uri="{28A0092B-C50C-407E-A947-70E740481C1C}">
                                <a14:useLocalDpi xmlns:a14="http://schemas.microsoft.com/office/drawing/2010/main" val="0"/>
                              </a:ext>
                            </a:extLst>
                          </a:blip>
                          <a:srcRect l="1" t="1131" r="561"/>
                          <a:stretch>
                            <a:fillRect/>
                          </a:stretch>
                        </pic:blipFill>
                        <pic:spPr bwMode="auto">
                          <a:xfrm>
                            <a:off x="0" y="0"/>
                            <a:ext cx="5125301" cy="3113437"/>
                          </a:xfrm>
                          <a:prstGeom prst="rect">
                            <a:avLst/>
                          </a:prstGeom>
                          <a:ln>
                            <a:noFill/>
                          </a:ln>
                          <a:extLst>
                            <a:ext uri="{53640926-AAD7-44D8-BBD7-CCE9431645EC}">
                              <a14:shadowObscured xmlns:a14="http://schemas.microsoft.com/office/drawing/2010/main"/>
                            </a:ext>
                          </a:extLst>
                        </pic:spPr>
                      </pic:pic>
                    </a:graphicData>
                  </a:graphic>
                </wp:inline>
              </w:drawing>
            </w:r>
          </w:p>
          <w:p w14:paraId="75D17D5B" w14:textId="77777777" w:rsidR="00212623" w:rsidRPr="008430E8" w:rsidRDefault="00212623" w:rsidP="008430E8">
            <w:pPr>
              <w:pStyle w:val="Quote"/>
            </w:pPr>
            <w:r w:rsidRPr="008430E8">
              <w:t>This example is only of independence services.</w:t>
            </w:r>
          </w:p>
        </w:tc>
      </w:tr>
    </w:tbl>
    <w:p w14:paraId="7CD7F6F0" w14:textId="69254C1D" w:rsidR="00710801" w:rsidRPr="00C47A9C" w:rsidRDefault="00710801" w:rsidP="00C47A9C">
      <w:pPr>
        <w:pStyle w:val="TableTitle"/>
        <w:keepNext/>
      </w:pPr>
      <w:r w:rsidRPr="00C47A9C">
        <w:t xml:space="preserve">Example: Support at Home labour cost reporting QFR vs ACFR </w:t>
      </w:r>
    </w:p>
    <w:tbl>
      <w:tblPr>
        <w:tblW w:w="15593" w:type="dxa"/>
        <w:tblInd w:w="-861" w:type="dxa"/>
        <w:tblCellMar>
          <w:left w:w="0" w:type="dxa"/>
          <w:right w:w="0" w:type="dxa"/>
        </w:tblCellMar>
        <w:tblLook w:val="0420" w:firstRow="1" w:lastRow="0" w:firstColumn="0" w:lastColumn="0" w:noHBand="0" w:noVBand="1"/>
      </w:tblPr>
      <w:tblGrid>
        <w:gridCol w:w="7846"/>
        <w:gridCol w:w="7747"/>
      </w:tblGrid>
      <w:tr w:rsidR="00941AE1" w:rsidRPr="008430E8" w14:paraId="19CE2F71" w14:textId="77777777" w:rsidTr="007D5D04">
        <w:trPr>
          <w:trHeight w:val="584"/>
          <w:tblHeader/>
        </w:trPr>
        <w:tc>
          <w:tcPr>
            <w:tcW w:w="78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D3202C3" w14:textId="77777777" w:rsidR="004E17C5" w:rsidRPr="008430E8" w:rsidRDefault="004E17C5" w:rsidP="008430E8">
            <w:pPr>
              <w:pStyle w:val="TableTitle"/>
              <w:rPr>
                <w:highlight w:val="yellow"/>
              </w:rPr>
            </w:pPr>
            <w:r w:rsidRPr="008430E8">
              <w:t xml:space="preserve">How to report in QFR from </w:t>
            </w:r>
            <w:proofErr w:type="spellStart"/>
            <w:r w:rsidRPr="008430E8">
              <w:t>Qtr</w:t>
            </w:r>
            <w:proofErr w:type="spellEnd"/>
            <w:r w:rsidRPr="008430E8">
              <w:t xml:space="preserve"> 2</w:t>
            </w:r>
          </w:p>
        </w:tc>
        <w:tc>
          <w:tcPr>
            <w:tcW w:w="77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2A0B1B4" w14:textId="77777777" w:rsidR="004E17C5" w:rsidRPr="008430E8" w:rsidRDefault="004E17C5" w:rsidP="008430E8">
            <w:pPr>
              <w:pStyle w:val="TableTitle"/>
            </w:pPr>
            <w:r w:rsidRPr="008430E8">
              <w:t xml:space="preserve">How to report in new Support at Home Income and Expenditure Statement in ACFR 2025-26 </w:t>
            </w:r>
          </w:p>
        </w:tc>
      </w:tr>
      <w:tr w:rsidR="00941AE1" w:rsidRPr="00EA55D0" w14:paraId="1EA8ABBC" w14:textId="77777777" w:rsidTr="007D5D04">
        <w:trPr>
          <w:trHeight w:val="584"/>
        </w:trPr>
        <w:tc>
          <w:tcPr>
            <w:tcW w:w="784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D0A64C3" w14:textId="0CFAC6FF" w:rsidR="009D61C4" w:rsidRPr="008430E8" w:rsidRDefault="009D61C4" w:rsidP="008430E8">
            <w:r w:rsidRPr="008430E8">
              <w:t>Whilst the previous home care reporting worker type line items remain, you need to refer to the updated QFR definitions which outline which Support at Home service item is to be reported in each line item</w:t>
            </w:r>
            <w:r w:rsidR="004E4D77" w:rsidRPr="008430E8">
              <w:t>.</w:t>
            </w:r>
          </w:p>
          <w:p w14:paraId="232EF739" w14:textId="21D28D7A" w:rsidR="004E17C5" w:rsidRPr="008430E8" w:rsidRDefault="004E17C5" w:rsidP="008430E8">
            <w:r w:rsidRPr="008430E8">
              <w:t xml:space="preserve">Labour cost </w:t>
            </w:r>
            <w:r w:rsidR="00440AB5" w:rsidRPr="008430E8">
              <w:t>can include</w:t>
            </w:r>
            <w:r w:rsidRPr="008430E8">
              <w:t>:</w:t>
            </w:r>
          </w:p>
          <w:p w14:paraId="5BCF1B93" w14:textId="77777777" w:rsidR="004E17C5" w:rsidRPr="008430E8" w:rsidRDefault="004E17C5" w:rsidP="008430E8">
            <w:pPr>
              <w:pStyle w:val="ListBullet"/>
            </w:pPr>
            <w:r w:rsidRPr="008430E8">
              <w:t>direct care</w:t>
            </w:r>
          </w:p>
          <w:p w14:paraId="3361B663" w14:textId="77777777" w:rsidR="004E17C5" w:rsidRPr="008430E8" w:rsidRDefault="004E17C5" w:rsidP="008430E8">
            <w:pPr>
              <w:pStyle w:val="ListBullet"/>
            </w:pPr>
            <w:r w:rsidRPr="008430E8">
              <w:t>staff travel to and from recipient residences</w:t>
            </w:r>
          </w:p>
          <w:p w14:paraId="469EC197" w14:textId="77777777" w:rsidR="004E17C5" w:rsidRPr="008430E8" w:rsidRDefault="004E17C5" w:rsidP="008430E8">
            <w:pPr>
              <w:pStyle w:val="ListBullet"/>
            </w:pPr>
            <w:r w:rsidRPr="008430E8">
              <w:t>staff time completing administrative tasks / paperwork before and/or after a care recipient visit</w:t>
            </w:r>
          </w:p>
          <w:p w14:paraId="2A422426" w14:textId="18C3819D" w:rsidR="004E17C5" w:rsidRPr="008430E8" w:rsidRDefault="00BB5BEF" w:rsidP="008430E8">
            <w:r w:rsidRPr="008430E8">
              <w:t>Labour cost includes the base salary</w:t>
            </w:r>
            <w:r w:rsidR="00C91932" w:rsidRPr="008430E8">
              <w:t xml:space="preserve">, superannuation and </w:t>
            </w:r>
            <w:proofErr w:type="gramStart"/>
            <w:r w:rsidR="00C91932" w:rsidRPr="008430E8">
              <w:t>on-costs</w:t>
            </w:r>
            <w:proofErr w:type="gramEnd"/>
            <w:r w:rsidR="00C91932" w:rsidRPr="008430E8">
              <w:t>.</w:t>
            </w:r>
            <w:r w:rsidR="00714676" w:rsidRPr="008430E8">
              <w:t xml:space="preserve"> Refer to the QFR definitions for more details.</w:t>
            </w:r>
          </w:p>
        </w:tc>
        <w:tc>
          <w:tcPr>
            <w:tcW w:w="77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7100DA" w14:textId="665744FF" w:rsidR="004E17C5" w:rsidRPr="008430E8" w:rsidRDefault="004E17C5" w:rsidP="008430E8">
            <w:r w:rsidRPr="008430E8">
              <w:t xml:space="preserve">Labour cost reporting is </w:t>
            </w:r>
            <w:r w:rsidR="00514BF7" w:rsidRPr="008430E8">
              <w:t xml:space="preserve">categorised by the </w:t>
            </w:r>
            <w:r w:rsidRPr="008430E8">
              <w:t xml:space="preserve">service </w:t>
            </w:r>
            <w:r w:rsidR="00514BF7" w:rsidRPr="008430E8">
              <w:t>delivered</w:t>
            </w:r>
            <w:r w:rsidR="00763753" w:rsidRPr="008430E8">
              <w:t>, then the type of worker delivering the service.</w:t>
            </w:r>
          </w:p>
          <w:p w14:paraId="72DC6860" w14:textId="383B2CCC" w:rsidR="004E17C5" w:rsidRPr="008430E8" w:rsidRDefault="005058B5" w:rsidP="008430E8">
            <w:r w:rsidRPr="008430E8">
              <w:t xml:space="preserve">Labour cost </w:t>
            </w:r>
            <w:r w:rsidR="00085515" w:rsidRPr="008430E8">
              <w:t xml:space="preserve">can </w:t>
            </w:r>
            <w:r w:rsidR="004E17C5" w:rsidRPr="008430E8">
              <w:t>include:</w:t>
            </w:r>
          </w:p>
          <w:p w14:paraId="6D1C5758" w14:textId="5432AB2F" w:rsidR="00125B74" w:rsidRPr="008430E8" w:rsidRDefault="00125B74" w:rsidP="008430E8">
            <w:pPr>
              <w:pStyle w:val="ListBullet"/>
            </w:pPr>
            <w:r w:rsidRPr="008430E8">
              <w:t>direct care</w:t>
            </w:r>
          </w:p>
          <w:p w14:paraId="0C9D131B" w14:textId="0C99D9A8" w:rsidR="004E17C5" w:rsidRPr="008430E8" w:rsidRDefault="004E17C5" w:rsidP="008430E8">
            <w:pPr>
              <w:pStyle w:val="ListBullet"/>
            </w:pPr>
            <w:r w:rsidRPr="008430E8">
              <w:t xml:space="preserve">staff travel to and from participant's residences.  </w:t>
            </w:r>
          </w:p>
          <w:p w14:paraId="00F29967" w14:textId="77777777" w:rsidR="004E17C5" w:rsidRPr="008430E8" w:rsidRDefault="004E17C5" w:rsidP="008430E8">
            <w:pPr>
              <w:pStyle w:val="ListBullet"/>
            </w:pPr>
            <w:r w:rsidRPr="008430E8">
              <w:t>staff time completing administrative tasks/paperwork before and/or after a participant visit.</w:t>
            </w:r>
          </w:p>
          <w:p w14:paraId="5AA247C8" w14:textId="46432D4F" w:rsidR="004E17C5" w:rsidRPr="008430E8" w:rsidRDefault="00297E33" w:rsidP="008430E8">
            <w:r w:rsidRPr="008430E8">
              <w:t>Labour cost</w:t>
            </w:r>
            <w:r w:rsidR="005B6648" w:rsidRPr="008430E8">
              <w:t xml:space="preserve">s </w:t>
            </w:r>
            <w:r w:rsidR="00400E92" w:rsidRPr="008430E8">
              <w:t>can just include the base salary</w:t>
            </w:r>
            <w:r w:rsidR="00B45FFD" w:rsidRPr="008430E8">
              <w:t>.</w:t>
            </w:r>
            <w:r w:rsidR="00D43AB3" w:rsidRPr="008430E8">
              <w:t xml:space="preserve"> </w:t>
            </w:r>
            <w:r w:rsidR="004E17C5" w:rsidRPr="008430E8">
              <w:t xml:space="preserve">Do not include superannuation or other employee on-costs, which are to be reported separately under </w:t>
            </w:r>
            <w:r w:rsidR="00542756" w:rsidRPr="008430E8">
              <w:t xml:space="preserve">a “Superannuation and Employee on-costs” line item in the </w:t>
            </w:r>
            <w:r w:rsidR="009821F1" w:rsidRPr="008430E8">
              <w:t>“</w:t>
            </w:r>
            <w:r w:rsidR="004E17C5" w:rsidRPr="008430E8">
              <w:t>Administration &amp; Support Expenses</w:t>
            </w:r>
            <w:r w:rsidR="009821F1" w:rsidRPr="008430E8">
              <w:t>”</w:t>
            </w:r>
            <w:r w:rsidR="00714676" w:rsidRPr="008430E8">
              <w:t xml:space="preserve">. Refer to the ACFR definitions for more details. </w:t>
            </w:r>
            <w:r w:rsidR="004E17C5" w:rsidRPr="008430E8">
              <w:t xml:space="preserve"> </w:t>
            </w:r>
          </w:p>
        </w:tc>
      </w:tr>
    </w:tbl>
    <w:p w14:paraId="2181DC8F" w14:textId="77777777" w:rsidR="000D4C4F" w:rsidRPr="00EA55D0" w:rsidRDefault="000D4C4F" w:rsidP="0002565D"/>
    <w:p w14:paraId="546BB2DE" w14:textId="77777777" w:rsidR="0073167D" w:rsidRPr="00EA55D0" w:rsidRDefault="0073167D" w:rsidP="00C47A9C">
      <w:pPr>
        <w:sectPr w:rsidR="0073167D" w:rsidRPr="00EA55D0" w:rsidSect="0073167D">
          <w:pgSz w:w="16840" w:h="11910" w:orient="landscape"/>
          <w:pgMar w:top="1440" w:right="1440" w:bottom="1440" w:left="1440" w:header="567" w:footer="806" w:gutter="0"/>
          <w:cols w:space="720"/>
          <w:docGrid w:linePitch="326"/>
        </w:sectPr>
      </w:pPr>
    </w:p>
    <w:p w14:paraId="7FC15ACD" w14:textId="13305BD4" w:rsidR="00D55EFE" w:rsidRPr="00271D9E" w:rsidRDefault="00D55EFE" w:rsidP="00271D9E">
      <w:pPr>
        <w:pStyle w:val="Heading2"/>
      </w:pPr>
      <w:bookmarkStart w:id="70" w:name="_Toc209622229"/>
      <w:r w:rsidRPr="00271D9E">
        <w:t>Government providers</w:t>
      </w:r>
      <w:bookmarkEnd w:id="70"/>
      <w:r w:rsidRPr="00271D9E">
        <w:t xml:space="preserve"> </w:t>
      </w:r>
    </w:p>
    <w:p w14:paraId="2BCDFE45" w14:textId="3A9EB8FB" w:rsidR="00D55EFE" w:rsidRPr="00EA55D0" w:rsidRDefault="00D55EFE" w:rsidP="00D55EFE">
      <w:r w:rsidRPr="00EA55D0">
        <w:t xml:space="preserve">All government providers must complete the </w:t>
      </w:r>
      <w:r w:rsidR="002E7C99" w:rsidRPr="00EA55D0">
        <w:t>Home Care</w:t>
      </w:r>
      <w:r w:rsidR="00FE7DC7" w:rsidRPr="00EA55D0">
        <w:t xml:space="preserve"> Packages</w:t>
      </w:r>
      <w:r w:rsidR="002E7C99" w:rsidRPr="00EA55D0">
        <w:t xml:space="preserve"> Income and Expenditure Statement and the Support at Home</w:t>
      </w:r>
      <w:r w:rsidR="00FE7DC7" w:rsidRPr="00EA55D0">
        <w:t xml:space="preserve"> Income and Expenditure Statement</w:t>
      </w:r>
      <w:r w:rsidRPr="00EA55D0">
        <w:t xml:space="preserve"> covering </w:t>
      </w:r>
      <w:proofErr w:type="gramStart"/>
      <w:r w:rsidRPr="00EA55D0">
        <w:t>all of</w:t>
      </w:r>
      <w:proofErr w:type="gramEnd"/>
      <w:r w:rsidRPr="00EA55D0">
        <w:t xml:space="preserve"> their home care</w:t>
      </w:r>
      <w:r w:rsidR="003B1543" w:rsidRPr="00EA55D0">
        <w:t xml:space="preserve"> and Support at Home</w:t>
      </w:r>
      <w:r w:rsidRPr="00EA55D0">
        <w:t xml:space="preserve"> services. </w:t>
      </w:r>
    </w:p>
    <w:p w14:paraId="5E26B9B4" w14:textId="32C466F1" w:rsidR="00D55EFE" w:rsidRPr="00271D9E" w:rsidRDefault="00B362B8" w:rsidP="00271D9E">
      <w:pPr>
        <w:pStyle w:val="Heading2"/>
        <w:rPr>
          <w:rFonts w:eastAsiaTheme="minorHAnsi"/>
        </w:rPr>
      </w:pPr>
      <w:r w:rsidRPr="00271D9E">
        <w:rPr>
          <w:rFonts w:eastAsiaTheme="minorHAnsi"/>
        </w:rPr>
        <w:t xml:space="preserve">Home Care / </w:t>
      </w:r>
      <w:r w:rsidR="00D55EFE" w:rsidRPr="00271D9E">
        <w:rPr>
          <w:rFonts w:eastAsiaTheme="minorHAnsi"/>
        </w:rPr>
        <w:t xml:space="preserve">Support at Home </w:t>
      </w:r>
      <w:r w:rsidR="005F4206" w:rsidRPr="00271D9E">
        <w:rPr>
          <w:rFonts w:eastAsiaTheme="minorHAnsi"/>
        </w:rPr>
        <w:t>reporting</w:t>
      </w:r>
      <w:r w:rsidR="00D55EFE" w:rsidRPr="00271D9E">
        <w:rPr>
          <w:rFonts w:eastAsiaTheme="minorHAnsi"/>
        </w:rPr>
        <w:t xml:space="preserve"> FAQs</w:t>
      </w:r>
    </w:p>
    <w:p w14:paraId="0EAF28C0" w14:textId="458B1FB6" w:rsidR="00D55EFE" w:rsidRPr="00EA55D0" w:rsidRDefault="00D55EFE" w:rsidP="00D471ED">
      <w:pPr>
        <w:pStyle w:val="Heading3"/>
        <w:rPr>
          <w:rFonts w:eastAsia="Calibri Light"/>
        </w:rPr>
      </w:pPr>
      <w:bookmarkStart w:id="71" w:name="_Toc209622230"/>
      <w:r w:rsidRPr="00EA55D0">
        <w:rPr>
          <w:rFonts w:eastAsia="Calibri Light"/>
        </w:rPr>
        <w:t>Are Support at Home providers required to complete the ‘Financial Support Statement’?</w:t>
      </w:r>
      <w:bookmarkEnd w:id="71"/>
    </w:p>
    <w:p w14:paraId="70BB18FA" w14:textId="040B9041" w:rsidR="00D55EFE" w:rsidRPr="00EA55D0" w:rsidRDefault="00D55EFE" w:rsidP="00D55EFE">
      <w:r w:rsidRPr="00EA55D0">
        <w:t xml:space="preserve">No. Registered providers of Support at Home services </w:t>
      </w:r>
      <w:r w:rsidR="009A149A" w:rsidRPr="00EA55D0">
        <w:t xml:space="preserve">only </w:t>
      </w:r>
      <w:r w:rsidRPr="00EA55D0">
        <w:t>are not required to complete the ‘Financial Support Statement’.</w:t>
      </w:r>
    </w:p>
    <w:p w14:paraId="54BA16BF" w14:textId="054C6BCD" w:rsidR="00D55EFE" w:rsidRPr="00EA55D0" w:rsidRDefault="00D55EFE" w:rsidP="00D471ED">
      <w:pPr>
        <w:pStyle w:val="Heading3"/>
        <w:rPr>
          <w:rFonts w:eastAsia="Calibri Light"/>
        </w:rPr>
      </w:pPr>
      <w:bookmarkStart w:id="72" w:name="_Toc209622231"/>
      <w:r w:rsidRPr="00EA55D0">
        <w:rPr>
          <w:rFonts w:eastAsia="Calibri Light"/>
        </w:rPr>
        <w:t>Does the </w:t>
      </w:r>
      <w:r w:rsidR="004056EB" w:rsidRPr="00EA55D0">
        <w:rPr>
          <w:rFonts w:eastAsia="Calibri Light"/>
        </w:rPr>
        <w:t>Home Care</w:t>
      </w:r>
      <w:r w:rsidR="00DB1EE9" w:rsidRPr="00EA55D0">
        <w:rPr>
          <w:rFonts w:eastAsia="Calibri Light"/>
        </w:rPr>
        <w:t xml:space="preserve"> Packages</w:t>
      </w:r>
      <w:r w:rsidR="004056EB" w:rsidRPr="00EA55D0">
        <w:rPr>
          <w:rFonts w:eastAsia="Calibri Light"/>
        </w:rPr>
        <w:t xml:space="preserve"> </w:t>
      </w:r>
      <w:r w:rsidR="00DB1EE9" w:rsidRPr="00EA55D0">
        <w:rPr>
          <w:rFonts w:eastAsia="Calibri Light"/>
        </w:rPr>
        <w:t>and</w:t>
      </w:r>
      <w:r w:rsidR="004056EB" w:rsidRPr="00EA55D0">
        <w:rPr>
          <w:rFonts w:eastAsia="Calibri Light"/>
        </w:rPr>
        <w:t xml:space="preserve"> </w:t>
      </w:r>
      <w:r w:rsidRPr="00EA55D0">
        <w:rPr>
          <w:rFonts w:eastAsia="Calibri Light"/>
        </w:rPr>
        <w:t xml:space="preserve">Support at Home Income and Expenditure </w:t>
      </w:r>
      <w:r w:rsidR="008B70B6" w:rsidRPr="00EA55D0">
        <w:rPr>
          <w:rFonts w:eastAsia="Calibri Light"/>
        </w:rPr>
        <w:t>S</w:t>
      </w:r>
      <w:r w:rsidRPr="00EA55D0">
        <w:rPr>
          <w:rFonts w:eastAsia="Calibri Light"/>
        </w:rPr>
        <w:t>tatement need to include DVA, NDIS or CHSP services?</w:t>
      </w:r>
      <w:bookmarkEnd w:id="72"/>
      <w:r w:rsidRPr="00EA55D0">
        <w:rPr>
          <w:rFonts w:eastAsia="Calibri Light"/>
        </w:rPr>
        <w:t xml:space="preserve"> </w:t>
      </w:r>
    </w:p>
    <w:p w14:paraId="020774D5" w14:textId="64B2455F" w:rsidR="00D55EFE" w:rsidRPr="00EA55D0" w:rsidRDefault="00D55EFE" w:rsidP="00D55EFE">
      <w:r w:rsidRPr="00EA55D0">
        <w:t>No. DVA, NDIS and CHSP services information is only reported in the Consolidated Segment Report under the ‘Community’ segment.</w:t>
      </w:r>
    </w:p>
    <w:p w14:paraId="0D4619A1" w14:textId="2BC35E68" w:rsidR="002D73FF" w:rsidRPr="00EA55D0" w:rsidRDefault="002D73FF" w:rsidP="00D471ED">
      <w:pPr>
        <w:pStyle w:val="Heading3"/>
        <w:rPr>
          <w:rFonts w:eastAsia="Calibri Light"/>
        </w:rPr>
      </w:pPr>
      <w:bookmarkStart w:id="73" w:name="_Toc209622232"/>
      <w:r w:rsidRPr="00EA55D0">
        <w:rPr>
          <w:rFonts w:eastAsia="Calibri Light"/>
        </w:rPr>
        <w:t>Reconciling the Home Care Packages</w:t>
      </w:r>
      <w:r w:rsidR="008B4883" w:rsidRPr="00EA55D0">
        <w:rPr>
          <w:rFonts w:eastAsia="Calibri Light"/>
        </w:rPr>
        <w:t xml:space="preserve"> </w:t>
      </w:r>
      <w:r w:rsidRPr="00EA55D0">
        <w:rPr>
          <w:rFonts w:eastAsia="Calibri Light"/>
        </w:rPr>
        <w:t>and Support at Home Income and Expenditure Statement</w:t>
      </w:r>
      <w:r w:rsidR="0099673D" w:rsidRPr="00EA55D0">
        <w:rPr>
          <w:rFonts w:eastAsia="Calibri Light"/>
        </w:rPr>
        <w:t>s</w:t>
      </w:r>
      <w:r w:rsidRPr="00EA55D0">
        <w:rPr>
          <w:rFonts w:eastAsia="Calibri Light"/>
        </w:rPr>
        <w:t xml:space="preserve"> to the </w:t>
      </w:r>
      <w:r w:rsidR="00143922" w:rsidRPr="00EA55D0">
        <w:rPr>
          <w:rFonts w:eastAsia="Calibri Light"/>
        </w:rPr>
        <w:t>Consolidated Segment Report</w:t>
      </w:r>
      <w:r w:rsidR="00AF49A3" w:rsidRPr="00EA55D0">
        <w:rPr>
          <w:rFonts w:eastAsia="Calibri Light"/>
        </w:rPr>
        <w:t xml:space="preserve"> and Registered Provider reporting</w:t>
      </w:r>
      <w:bookmarkEnd w:id="73"/>
      <w:r w:rsidRPr="00EA55D0">
        <w:rPr>
          <w:rFonts w:eastAsia="Calibri Light"/>
        </w:rPr>
        <w:t xml:space="preserve"> </w:t>
      </w:r>
    </w:p>
    <w:p w14:paraId="7319C1E1" w14:textId="36A258B7" w:rsidR="00D55EFE" w:rsidRPr="00EA55D0" w:rsidRDefault="00D55EFE" w:rsidP="00D55EFE">
      <w:r w:rsidRPr="00EA55D0">
        <w:t>The</w:t>
      </w:r>
      <w:r w:rsidR="00171659" w:rsidRPr="00EA55D0">
        <w:t xml:space="preserve"> </w:t>
      </w:r>
      <w:r w:rsidR="00892B13" w:rsidRPr="00EA55D0">
        <w:t>sum of the</w:t>
      </w:r>
      <w:r w:rsidRPr="00EA55D0">
        <w:t xml:space="preserve"> ‘Total </w:t>
      </w:r>
      <w:r w:rsidR="00D547E4" w:rsidRPr="00EA55D0">
        <w:t>Income</w:t>
      </w:r>
      <w:r w:rsidRPr="00EA55D0">
        <w:t>’ and ‘Total Expenses’ in th</w:t>
      </w:r>
      <w:r w:rsidR="00B1754D" w:rsidRPr="00EA55D0">
        <w:t xml:space="preserve">e </w:t>
      </w:r>
      <w:r w:rsidR="00DB1EE9" w:rsidRPr="00EA55D0">
        <w:t xml:space="preserve">Home Care Packages and Support at Home Income and </w:t>
      </w:r>
      <w:r w:rsidR="0005070C" w:rsidRPr="00EA55D0">
        <w:t xml:space="preserve">Expenditure Statements </w:t>
      </w:r>
      <w:r w:rsidRPr="00EA55D0">
        <w:t>should match the Consolidated Segment Report’s ‘</w:t>
      </w:r>
      <w:r w:rsidR="00171659" w:rsidRPr="00EA55D0">
        <w:t>Support at Home</w:t>
      </w:r>
      <w:r w:rsidR="00D17953" w:rsidRPr="00EA55D0">
        <w:t>’</w:t>
      </w:r>
      <w:r w:rsidRPr="00EA55D0">
        <w:t xml:space="preserve"> </w:t>
      </w:r>
      <w:r w:rsidR="00F447A3" w:rsidRPr="00EA55D0">
        <w:t xml:space="preserve">segment </w:t>
      </w:r>
      <w:r w:rsidR="00D17953" w:rsidRPr="00EA55D0">
        <w:t>Income and Expenses</w:t>
      </w:r>
      <w:r w:rsidRPr="00EA55D0">
        <w:t xml:space="preserve"> if the provider does not have a parent entity. </w:t>
      </w:r>
    </w:p>
    <w:p w14:paraId="251BD286" w14:textId="4C1FC9F9" w:rsidR="005121B6" w:rsidRPr="00EA55D0" w:rsidRDefault="00D17953" w:rsidP="00C47A9C">
      <w:r w:rsidRPr="00EA55D0">
        <w:t xml:space="preserve">If </w:t>
      </w:r>
      <w:r w:rsidR="00694F45" w:rsidRPr="00EA55D0">
        <w:t>a</w:t>
      </w:r>
      <w:r w:rsidRPr="00EA55D0">
        <w:t xml:space="preserve"> provider only delivers</w:t>
      </w:r>
      <w:r w:rsidR="007A34A2" w:rsidRPr="00EA55D0">
        <w:t xml:space="preserve"> </w:t>
      </w:r>
      <w:r w:rsidR="00F4705C" w:rsidRPr="00EA55D0">
        <w:t xml:space="preserve">the </w:t>
      </w:r>
      <w:r w:rsidR="007A34A2" w:rsidRPr="00EA55D0">
        <w:t>Home Care Packages</w:t>
      </w:r>
      <w:r w:rsidR="00F4705C" w:rsidRPr="00EA55D0">
        <w:t xml:space="preserve"> Program</w:t>
      </w:r>
      <w:r w:rsidR="007F458E">
        <w:t xml:space="preserve"> </w:t>
      </w:r>
      <w:r w:rsidR="008B4883" w:rsidRPr="00EA55D0">
        <w:t>and the</w:t>
      </w:r>
      <w:r w:rsidR="00F4705C" w:rsidRPr="00EA55D0">
        <w:t xml:space="preserve"> </w:t>
      </w:r>
      <w:r w:rsidR="007A34A2" w:rsidRPr="00EA55D0">
        <w:t>Support at Home</w:t>
      </w:r>
      <w:r w:rsidR="00F4705C" w:rsidRPr="00EA55D0">
        <w:t xml:space="preserve"> program </w:t>
      </w:r>
      <w:r w:rsidR="007C13A4" w:rsidRPr="00EA55D0">
        <w:t xml:space="preserve">the </w:t>
      </w:r>
      <w:r w:rsidR="00C1099D" w:rsidRPr="00EA55D0">
        <w:t>sum of the ‘Total Income’ and ‘Total Expenses’ in the Home Care Packages</w:t>
      </w:r>
      <w:r w:rsidR="007F458E">
        <w:t xml:space="preserve"> </w:t>
      </w:r>
      <w:r w:rsidR="00C1099D" w:rsidRPr="00EA55D0">
        <w:t xml:space="preserve">and Support at Home Income and Expenditure Statements should match the Registered Provider </w:t>
      </w:r>
      <w:r w:rsidR="00C9426B" w:rsidRPr="00EA55D0">
        <w:t>r</w:t>
      </w:r>
      <w:r w:rsidR="00C1099D" w:rsidRPr="00EA55D0">
        <w:t>eporting</w:t>
      </w:r>
      <w:r w:rsidR="003B59B3" w:rsidRPr="00EA55D0">
        <w:t>.</w:t>
      </w:r>
    </w:p>
    <w:p w14:paraId="3C269E75" w14:textId="1112F4E8" w:rsidR="0015395A" w:rsidRPr="00EA55D0" w:rsidRDefault="0015395A" w:rsidP="000D27B0">
      <w:pPr>
        <w:pStyle w:val="SubjectHeading"/>
      </w:pPr>
      <w:r w:rsidRPr="00EA55D0">
        <w:t>Home Care Income and Expenditure Statement</w:t>
      </w:r>
    </w:p>
    <w:p w14:paraId="3E2FBEEA" w14:textId="61AC8455" w:rsidR="00D55EFE" w:rsidRPr="00EA55D0" w:rsidRDefault="00D55EFE" w:rsidP="006D27F3">
      <w:pPr>
        <w:pStyle w:val="Heading3"/>
        <w:rPr>
          <w:rFonts w:eastAsia="Calibri Light"/>
        </w:rPr>
      </w:pPr>
      <w:bookmarkStart w:id="74" w:name="_Toc209622233"/>
      <w:bookmarkStart w:id="75" w:name="_Hlk194312938"/>
      <w:r w:rsidRPr="00EA55D0">
        <w:rPr>
          <w:rFonts w:eastAsia="Calibri Light"/>
        </w:rPr>
        <w:t xml:space="preserve"> If a provider has had some recipients transfer out prior to 30 June, and the Home Care Account Balance still shows these clients (due to the </w:t>
      </w:r>
      <w:r w:rsidR="004F1262" w:rsidRPr="00EA55D0">
        <w:rPr>
          <w:rFonts w:eastAsia="Calibri Light"/>
        </w:rPr>
        <w:t>70-day</w:t>
      </w:r>
      <w:r w:rsidRPr="00EA55D0">
        <w:rPr>
          <w:rFonts w:eastAsia="Calibri Light"/>
        </w:rPr>
        <w:t xml:space="preserve"> delay in the system updating), should the provider include those </w:t>
      </w:r>
      <w:r w:rsidRPr="00EA55D0">
        <w:rPr>
          <w:iCs/>
        </w:rPr>
        <w:t>recipients</w:t>
      </w:r>
      <w:r w:rsidR="0039735D" w:rsidRPr="00EA55D0">
        <w:rPr>
          <w:iCs/>
        </w:rPr>
        <w:t>’</w:t>
      </w:r>
      <w:r w:rsidRPr="00EA55D0">
        <w:rPr>
          <w:rFonts w:eastAsia="Calibri Light"/>
        </w:rPr>
        <w:t xml:space="preserve"> dollars in the Home Care Account Balance section for Unspent Funds?</w:t>
      </w:r>
      <w:bookmarkEnd w:id="74"/>
    </w:p>
    <w:p w14:paraId="48BBF03F" w14:textId="30553DF2" w:rsidR="00D55EFE" w:rsidRPr="00EA55D0" w:rsidRDefault="00D55EFE" w:rsidP="00D55EFE">
      <w:pPr>
        <w:rPr>
          <w:rFonts w:eastAsia="Calibri Light"/>
        </w:rPr>
      </w:pPr>
      <w:r w:rsidRPr="00EA55D0">
        <w:rPr>
          <w:rFonts w:eastAsia="Calibri Light"/>
        </w:rPr>
        <w:t xml:space="preserve">Yes. The provider should include all recipients’ amounts included in their Home Care Account Balance </w:t>
      </w:r>
      <w:r w:rsidR="004F1262">
        <w:rPr>
          <w:rFonts w:eastAsia="Calibri Light"/>
        </w:rPr>
        <w:t>a</w:t>
      </w:r>
      <w:r w:rsidR="00F653C9">
        <w:rPr>
          <w:rFonts w:eastAsia="Calibri Light"/>
        </w:rPr>
        <w:t xml:space="preserve">s </w:t>
      </w:r>
      <w:proofErr w:type="gramStart"/>
      <w:r w:rsidRPr="00EA55D0">
        <w:rPr>
          <w:rFonts w:eastAsia="Calibri Light"/>
        </w:rPr>
        <w:t>at</w:t>
      </w:r>
      <w:proofErr w:type="gramEnd"/>
      <w:r w:rsidRPr="00EA55D0">
        <w:rPr>
          <w:rFonts w:eastAsia="Calibri Light"/>
        </w:rPr>
        <w:t xml:space="preserve"> 30 June</w:t>
      </w:r>
      <w:r w:rsidR="00230C49" w:rsidRPr="00EA55D0">
        <w:rPr>
          <w:rFonts w:eastAsia="Calibri Light"/>
        </w:rPr>
        <w:t xml:space="preserve"> as these balances remained available to the provider for any claim</w:t>
      </w:r>
      <w:r w:rsidR="000864F4" w:rsidRPr="00EA55D0">
        <w:rPr>
          <w:rFonts w:eastAsia="Calibri Light"/>
        </w:rPr>
        <w:t>s and</w:t>
      </w:r>
      <w:r w:rsidR="00230C49" w:rsidRPr="00EA55D0" w:rsidDel="006C1637">
        <w:rPr>
          <w:rFonts w:eastAsia="Calibri Light"/>
        </w:rPr>
        <w:t xml:space="preserve"> </w:t>
      </w:r>
      <w:r w:rsidR="00230C49" w:rsidRPr="00EA55D0">
        <w:rPr>
          <w:rFonts w:eastAsia="Calibri Light"/>
        </w:rPr>
        <w:t xml:space="preserve">variations </w:t>
      </w:r>
      <w:r w:rsidR="006C1637" w:rsidRPr="00EA55D0">
        <w:rPr>
          <w:rFonts w:eastAsia="Calibri Light"/>
        </w:rPr>
        <w:t xml:space="preserve">of claims </w:t>
      </w:r>
      <w:r w:rsidR="00230C49" w:rsidRPr="00EA55D0">
        <w:rPr>
          <w:rFonts w:eastAsia="Calibri Light"/>
        </w:rPr>
        <w:t xml:space="preserve">within </w:t>
      </w:r>
      <w:r w:rsidR="000864F4" w:rsidRPr="00EA55D0">
        <w:rPr>
          <w:rFonts w:eastAsia="Calibri Light"/>
        </w:rPr>
        <w:t>60</w:t>
      </w:r>
      <w:r w:rsidR="00230C49" w:rsidRPr="00EA55D0">
        <w:rPr>
          <w:rFonts w:eastAsia="Calibri Light"/>
        </w:rPr>
        <w:t xml:space="preserve"> days of departure</w:t>
      </w:r>
      <w:r w:rsidRPr="00EA55D0">
        <w:rPr>
          <w:rFonts w:eastAsia="Calibri Light"/>
        </w:rPr>
        <w:t xml:space="preserve">. </w:t>
      </w:r>
    </w:p>
    <w:p w14:paraId="6CFC8789" w14:textId="7A942687" w:rsidR="00D55EFE" w:rsidRPr="00EA55D0" w:rsidRDefault="00D55EFE" w:rsidP="006D27F3">
      <w:pPr>
        <w:pStyle w:val="Heading3"/>
        <w:rPr>
          <w:rFonts w:eastAsia="Calibri Light"/>
        </w:rPr>
      </w:pPr>
      <w:bookmarkStart w:id="76" w:name="_Toc209622234"/>
      <w:bookmarkEnd w:id="75"/>
      <w:r w:rsidRPr="00EA55D0">
        <w:rPr>
          <w:rFonts w:eastAsia="Calibri Light"/>
        </w:rPr>
        <w:t>When a new client transfers in from another provider what amounts do we include in the ‘Funds Transferred in With New Clients’ in the ‘From Consolidated Client Statement’ section?</w:t>
      </w:r>
      <w:bookmarkEnd w:id="76"/>
      <w:r w:rsidRPr="00EA55D0">
        <w:rPr>
          <w:rFonts w:eastAsia="Calibri Light"/>
        </w:rPr>
        <w:t xml:space="preserve"> </w:t>
      </w:r>
    </w:p>
    <w:p w14:paraId="2EE88D21" w14:textId="77777777" w:rsidR="00D55EFE" w:rsidRPr="00EA55D0" w:rsidRDefault="00D55EFE" w:rsidP="00D55EFE">
      <w:pPr>
        <w:rPr>
          <w:rFonts w:eastAsia="Calibri Light"/>
        </w:rPr>
      </w:pPr>
      <w:r w:rsidRPr="00EA55D0">
        <w:rPr>
          <w:rFonts w:eastAsia="Calibri Light"/>
        </w:rPr>
        <w:t xml:space="preserve">The funds that have been transferred in should be at the total package level and include the amount that is held by Services Australia and the funds transferred over from the other provider. These amounts add to the ‘Home Care Account Balance plus Unspent Package Funds Closing Balance’ in the section. </w:t>
      </w:r>
    </w:p>
    <w:p w14:paraId="6DBBFD71" w14:textId="2096F76A" w:rsidR="00642DE3" w:rsidRPr="00EA55D0" w:rsidRDefault="006974C4" w:rsidP="006D27F3">
      <w:pPr>
        <w:pStyle w:val="Heading3"/>
        <w:rPr>
          <w:rFonts w:eastAsia="Calibri Light"/>
        </w:rPr>
      </w:pPr>
      <w:bookmarkStart w:id="77" w:name="_Toc209622235"/>
      <w:r w:rsidRPr="00EA55D0">
        <w:t xml:space="preserve">If I have income or expenses </w:t>
      </w:r>
      <w:r w:rsidR="004F0CBE" w:rsidRPr="00EA55D0">
        <w:t>received or due after 1 November 2025, where should I record these?</w:t>
      </w:r>
      <w:bookmarkEnd w:id="77"/>
    </w:p>
    <w:p w14:paraId="77F34F2F" w14:textId="5A9E6669" w:rsidR="00280529" w:rsidRPr="00EA55D0" w:rsidRDefault="00642DE3" w:rsidP="00C47A9C">
      <w:pPr>
        <w:rPr>
          <w:rFonts w:eastAsia="Calibri Light"/>
        </w:rPr>
      </w:pPr>
      <w:r w:rsidRPr="00EA55D0">
        <w:rPr>
          <w:rFonts w:eastAsia="Calibri Light"/>
        </w:rPr>
        <w:t xml:space="preserve">Providers will need to attribute income and expenses received or incurred to the relevant program. </w:t>
      </w:r>
    </w:p>
    <w:p w14:paraId="2E0CC544" w14:textId="1E4D526F" w:rsidR="0015395A" w:rsidRPr="00EA55D0" w:rsidRDefault="0015395A" w:rsidP="00280529">
      <w:pPr>
        <w:pStyle w:val="SubjectHeading"/>
      </w:pPr>
      <w:r w:rsidRPr="00EA55D0">
        <w:t>Support at Home Income and Expenditure Statement</w:t>
      </w:r>
    </w:p>
    <w:p w14:paraId="40AF64C0" w14:textId="09CBC03C" w:rsidR="005569EE" w:rsidRPr="00EA55D0" w:rsidRDefault="005569EE" w:rsidP="00C47A9C">
      <w:pPr>
        <w:pStyle w:val="Heading3"/>
        <w:rPr>
          <w:rFonts w:eastAsia="Calibri Light"/>
        </w:rPr>
      </w:pPr>
      <w:bookmarkStart w:id="78" w:name="_Toc209622236"/>
      <w:r w:rsidRPr="00EA55D0">
        <w:rPr>
          <w:rFonts w:eastAsia="Calibri Light"/>
        </w:rPr>
        <w:t>Why is the format of Support at Home reporting in the QFR and ACFR different in 2025-26?</w:t>
      </w:r>
      <w:bookmarkEnd w:id="78"/>
    </w:p>
    <w:p w14:paraId="322E9318" w14:textId="21F99061" w:rsidR="00436289" w:rsidRPr="00EA55D0" w:rsidRDefault="00436289" w:rsidP="00436289">
      <w:pPr>
        <w:rPr>
          <w:rFonts w:eastAsia="Calibri Light"/>
          <w:szCs w:val="18"/>
        </w:rPr>
      </w:pPr>
      <w:r w:rsidRPr="00EA55D0">
        <w:rPr>
          <w:rFonts w:eastAsia="Calibri Light"/>
          <w:szCs w:val="18"/>
        </w:rPr>
        <w:t>The format for reporting labour costs in the QFR by type of worker has been continued from prior quarters. This quarterly data will be used by the department to monitor the new Support at Home program in the short-term as the more detailed data that will be collected in the ACFR for 2025-26 will not be submitted by providers until 31 October 2026.</w:t>
      </w:r>
    </w:p>
    <w:p w14:paraId="3C6343C5" w14:textId="77777777" w:rsidR="000F38B4" w:rsidRPr="00EA55D0" w:rsidRDefault="00436289" w:rsidP="00D55EFE">
      <w:pPr>
        <w:rPr>
          <w:rFonts w:eastAsia="Calibri Light"/>
          <w:szCs w:val="18"/>
        </w:rPr>
      </w:pPr>
      <w:r w:rsidRPr="00EA55D0">
        <w:rPr>
          <w:rFonts w:eastAsia="Calibri Light"/>
          <w:szCs w:val="18"/>
        </w:rPr>
        <w:t>The department understands that this reporting may be challenging for providers and does not expect that the sum of labour costs from the four QFRs to exactly match labour costs in the ACFR. The department will look to align the reporting in future years.</w:t>
      </w:r>
    </w:p>
    <w:p w14:paraId="2A7AF64B" w14:textId="1D2A977B" w:rsidR="00D55EFE" w:rsidRPr="00EA55D0" w:rsidRDefault="00D55EFE" w:rsidP="00C47A9C">
      <w:pPr>
        <w:pStyle w:val="Heading3"/>
        <w:rPr>
          <w:rFonts w:eastAsia="Calibri Light"/>
        </w:rPr>
      </w:pPr>
      <w:bookmarkStart w:id="79" w:name="_Toc209622237"/>
      <w:r w:rsidRPr="00C47A9C">
        <w:rPr>
          <w:rFonts w:eastAsia="Calibri Light"/>
        </w:rPr>
        <w:t>Where is the service list for each of the categories listed in the ACFR?</w:t>
      </w:r>
      <w:bookmarkEnd w:id="79"/>
      <w:r w:rsidRPr="00EA55D0">
        <w:rPr>
          <w:rFonts w:eastAsia="Calibri Light"/>
        </w:rPr>
        <w:t xml:space="preserve"> Providers should refer to the Support at Home </w:t>
      </w:r>
      <w:hyperlink r:id="rId44" w:history="1">
        <w:r w:rsidRPr="00EA55D0">
          <w:rPr>
            <w:rFonts w:eastAsia="Calibri Light"/>
            <w:color w:val="2AB1BB" w:themeColor="hyperlink"/>
            <w:u w:val="single"/>
          </w:rPr>
          <w:t>service list</w:t>
        </w:r>
      </w:hyperlink>
      <w:r w:rsidRPr="00EA55D0">
        <w:rPr>
          <w:rFonts w:eastAsia="Calibri Light"/>
        </w:rPr>
        <w:t xml:space="preserve">. Further information on the Support at Home program can be found </w:t>
      </w:r>
      <w:hyperlink r:id="rId45" w:history="1">
        <w:r w:rsidRPr="00EA55D0">
          <w:rPr>
            <w:rStyle w:val="Hyperlink"/>
            <w:rFonts w:eastAsia="Calibri Light"/>
          </w:rPr>
          <w:t>here</w:t>
        </w:r>
      </w:hyperlink>
      <w:r w:rsidR="00D33ED3" w:rsidRPr="00EA55D0">
        <w:rPr>
          <w:rFonts w:eastAsia="Calibri Light"/>
        </w:rPr>
        <w:t>.</w:t>
      </w:r>
      <w:r w:rsidRPr="00EA55D0">
        <w:rPr>
          <w:rFonts w:eastAsia="Calibri Light"/>
        </w:rPr>
        <w:t xml:space="preserve"> </w:t>
      </w:r>
    </w:p>
    <w:p w14:paraId="60FDA97A" w14:textId="701B5A62" w:rsidR="00B80818" w:rsidRPr="00EA55D0" w:rsidRDefault="00B80818" w:rsidP="00C47A9C">
      <w:pPr>
        <w:pStyle w:val="Heading3"/>
      </w:pPr>
      <w:bookmarkStart w:id="80" w:name="_Toc209622238"/>
      <w:r w:rsidRPr="00EA55D0">
        <w:t>Why are we required to report information in the ACFR when the information is received by the Department through Billing data?</w:t>
      </w:r>
      <w:bookmarkEnd w:id="80"/>
      <w:r w:rsidRPr="00EA55D0">
        <w:t xml:space="preserve"> </w:t>
      </w:r>
    </w:p>
    <w:p w14:paraId="7E5B95D8" w14:textId="0156AAE4" w:rsidR="00B80818" w:rsidRPr="00D077E5" w:rsidRDefault="00B80818" w:rsidP="00B80818">
      <w:pPr>
        <w:rPr>
          <w:rFonts w:cs="Arial"/>
        </w:rPr>
      </w:pPr>
      <w:r w:rsidRPr="00D077E5">
        <w:rPr>
          <w:rFonts w:cs="Arial"/>
        </w:rPr>
        <w:t xml:space="preserve">Billing information captures the </w:t>
      </w:r>
      <w:proofErr w:type="gramStart"/>
      <w:r w:rsidR="007E3CD6" w:rsidRPr="00D077E5">
        <w:rPr>
          <w:rFonts w:cs="Arial"/>
        </w:rPr>
        <w:t>hours</w:t>
      </w:r>
      <w:proofErr w:type="gramEnd"/>
      <w:r w:rsidR="007E3CD6" w:rsidRPr="00D077E5">
        <w:rPr>
          <w:rFonts w:cs="Arial"/>
        </w:rPr>
        <w:t xml:space="preserve"> and</w:t>
      </w:r>
      <w:r w:rsidRPr="00D077E5">
        <w:rPr>
          <w:rFonts w:cs="Arial"/>
        </w:rPr>
        <w:t xml:space="preserve"> price of face-to-face services </w:t>
      </w:r>
      <w:r w:rsidR="00544109" w:rsidRPr="00D077E5">
        <w:rPr>
          <w:rFonts w:cs="Arial"/>
        </w:rPr>
        <w:t>delivered</w:t>
      </w:r>
      <w:r w:rsidRPr="00D077E5">
        <w:rPr>
          <w:rFonts w:cs="Arial"/>
        </w:rPr>
        <w:t xml:space="preserve">. The information collected through the ACFR includes </w:t>
      </w:r>
      <w:r w:rsidR="002238C1" w:rsidRPr="00D077E5">
        <w:rPr>
          <w:rFonts w:cs="Arial"/>
        </w:rPr>
        <w:t xml:space="preserve">the full </w:t>
      </w:r>
      <w:r w:rsidRPr="00D077E5">
        <w:rPr>
          <w:rFonts w:cs="Arial"/>
        </w:rPr>
        <w:t>cost</w:t>
      </w:r>
      <w:r w:rsidR="009C4CDB" w:rsidRPr="00D077E5">
        <w:rPr>
          <w:rFonts w:cs="Arial"/>
        </w:rPr>
        <w:t xml:space="preserve"> and hours</w:t>
      </w:r>
      <w:r w:rsidRPr="00D077E5">
        <w:rPr>
          <w:rFonts w:cs="Arial"/>
        </w:rPr>
        <w:t xml:space="preserve"> of delivering the services, including e.g. travel time and administrative tasks.</w:t>
      </w:r>
      <w:r w:rsidR="00713EEF" w:rsidRPr="00D077E5">
        <w:rPr>
          <w:rFonts w:cs="Arial"/>
        </w:rPr>
        <w:t xml:space="preserve"> </w:t>
      </w:r>
    </w:p>
    <w:p w14:paraId="2D002137" w14:textId="72BDEAA4" w:rsidR="00FF2F6C" w:rsidRPr="00EA55D0" w:rsidRDefault="00FF2F6C" w:rsidP="00C47A9C">
      <w:pPr>
        <w:pStyle w:val="Heading3"/>
      </w:pPr>
      <w:bookmarkStart w:id="81" w:name="_Toc209622239"/>
      <w:r w:rsidRPr="00EA55D0">
        <w:t xml:space="preserve">What if a worker attends a participant’s residence and completes </w:t>
      </w:r>
      <w:proofErr w:type="gramStart"/>
      <w:r w:rsidRPr="00EA55D0">
        <w:t>a number of</w:t>
      </w:r>
      <w:proofErr w:type="gramEnd"/>
      <w:r w:rsidRPr="00EA55D0">
        <w:t xml:space="preserve"> services on the services list including under clinical, independence and everyday living services. How do I record these costs and hours?</w:t>
      </w:r>
      <w:bookmarkEnd w:id="81"/>
    </w:p>
    <w:p w14:paraId="790707A1" w14:textId="159E0892" w:rsidR="00FF2F6C" w:rsidRPr="00D077E5" w:rsidRDefault="00FF2F6C" w:rsidP="00FF2F6C">
      <w:pPr>
        <w:rPr>
          <w:rFonts w:cs="Arial"/>
          <w:shd w:val="clear" w:color="auto" w:fill="FFFFFF"/>
        </w:rPr>
      </w:pPr>
      <w:r w:rsidRPr="00D077E5">
        <w:rPr>
          <w:rFonts w:cs="Arial"/>
          <w:shd w:val="clear" w:color="auto" w:fill="FFFFFF"/>
        </w:rPr>
        <w:t xml:space="preserve">The </w:t>
      </w:r>
      <w:r w:rsidR="003D7345" w:rsidRPr="00D077E5">
        <w:rPr>
          <w:rFonts w:cs="Arial"/>
          <w:shd w:val="clear" w:color="auto" w:fill="FFFFFF"/>
        </w:rPr>
        <w:t xml:space="preserve">labour </w:t>
      </w:r>
      <w:r w:rsidRPr="00D077E5">
        <w:rPr>
          <w:rFonts w:cs="Arial"/>
          <w:shd w:val="clear" w:color="auto" w:fill="FFFFFF"/>
        </w:rPr>
        <w:t xml:space="preserve">costs and hours should be apportioned according to the proportion of </w:t>
      </w:r>
      <w:r w:rsidR="00DC5508" w:rsidRPr="00D077E5">
        <w:rPr>
          <w:rFonts w:cs="Arial"/>
          <w:shd w:val="clear" w:color="auto" w:fill="FFFFFF"/>
        </w:rPr>
        <w:t xml:space="preserve">time </w:t>
      </w:r>
      <w:r w:rsidRPr="00D077E5">
        <w:rPr>
          <w:rFonts w:cs="Arial"/>
          <w:shd w:val="clear" w:color="auto" w:fill="FFFFFF"/>
        </w:rPr>
        <w:t xml:space="preserve">spent on each of the services they perform during the one visit. </w:t>
      </w:r>
    </w:p>
    <w:p w14:paraId="4A4763C7" w14:textId="7FE08D32" w:rsidR="00D55EFE" w:rsidRPr="00EA55D0" w:rsidRDefault="00D55EFE" w:rsidP="00C47A9C">
      <w:pPr>
        <w:pStyle w:val="Heading3"/>
      </w:pPr>
      <w:bookmarkStart w:id="82" w:name="_Toc209622240"/>
      <w:r w:rsidRPr="00EA55D0">
        <w:t xml:space="preserve">We employ both care workers that hold a Cert III, as well as care workers who do not yet have a Cert III (these workers only provide domestic assistance). For the purposes of the ACFR, are these workers covered under the ‘Assistants in Nursing’ category? Or </w:t>
      </w:r>
      <w:r w:rsidR="00AD3C1D" w:rsidRPr="00EA55D0">
        <w:t>is</w:t>
      </w:r>
      <w:r w:rsidRPr="00EA55D0">
        <w:t xml:space="preserve"> there another category covering these workers that only perform domestic assistance services.</w:t>
      </w:r>
      <w:bookmarkEnd w:id="82"/>
      <w:r w:rsidRPr="00EA55D0">
        <w:t> </w:t>
      </w:r>
    </w:p>
    <w:p w14:paraId="2FCB9C8A" w14:textId="77777777" w:rsidR="00D55EFE" w:rsidRPr="00D077E5" w:rsidRDefault="00D55EFE" w:rsidP="00D55EFE">
      <w:pPr>
        <w:rPr>
          <w:rFonts w:eastAsia="Arial" w:cs="Arial"/>
        </w:rPr>
      </w:pPr>
      <w:r w:rsidRPr="00D077E5">
        <w:rPr>
          <w:rFonts w:cs="Arial"/>
          <w:shd w:val="clear" w:color="auto" w:fill="FFFFFF"/>
        </w:rPr>
        <w:t>Workers who perform services consistent with the “Nursing Assistant” service in the Support at Home Service List should be reported against that category. Workers who perform services in the Domestic Assistance service type (cleaning, etc) should be reported against that category. If the same worker completes different services, labour hours should be allocated to the service(s) they performed.</w:t>
      </w:r>
    </w:p>
    <w:p w14:paraId="305D3361" w14:textId="1510DFD1" w:rsidR="00013983" w:rsidRPr="00EA55D0" w:rsidRDefault="00013983" w:rsidP="006D27F3">
      <w:pPr>
        <w:pStyle w:val="Heading3"/>
      </w:pPr>
      <w:bookmarkStart w:id="83" w:name="_Toc209622241"/>
      <w:r w:rsidRPr="00EA55D0">
        <w:t xml:space="preserve">A lot of our part-time workforce is based on a minimum </w:t>
      </w:r>
      <w:proofErr w:type="gramStart"/>
      <w:r w:rsidRPr="00EA55D0">
        <w:t>hours</w:t>
      </w:r>
      <w:proofErr w:type="gramEnd"/>
      <w:r w:rsidRPr="00EA55D0">
        <w:t xml:space="preserve"> arrangement as part of their EBA (i.e. if the total time worked plus the travel is below the minimum, they'll get paid the minimum). How do we tackle this when reporting?</w:t>
      </w:r>
      <w:bookmarkEnd w:id="83"/>
      <w:r w:rsidRPr="00EA55D0">
        <w:t> </w:t>
      </w:r>
      <w:r w:rsidRPr="00EA55D0" w:rsidDel="00366ADE">
        <w:t xml:space="preserve"> </w:t>
      </w:r>
    </w:p>
    <w:p w14:paraId="0288E536" w14:textId="77777777" w:rsidR="00013983" w:rsidRPr="00D077E5" w:rsidRDefault="00013983" w:rsidP="00013983">
      <w:pPr>
        <w:rPr>
          <w:rFonts w:cs="Arial"/>
          <w:shd w:val="clear" w:color="auto" w:fill="FFFFFF"/>
        </w:rPr>
      </w:pPr>
      <w:r w:rsidRPr="00D077E5">
        <w:rPr>
          <w:rFonts w:cs="Arial"/>
          <w:shd w:val="clear" w:color="auto" w:fill="FFFFFF"/>
        </w:rPr>
        <w:t xml:space="preserve">The minimum cost will need to be reported. If the worker was scheduled to perform domestic assistance services during their shift but did not meet the minimum hours arrangement, you should report this as a cost against domestic assistance. </w:t>
      </w:r>
    </w:p>
    <w:p w14:paraId="48A3F3B7" w14:textId="4701D36B" w:rsidR="00D55EFE" w:rsidRPr="00EA55D0" w:rsidRDefault="00D55EFE" w:rsidP="00A50C8D">
      <w:pPr>
        <w:pStyle w:val="Heading3"/>
      </w:pPr>
      <w:bookmarkStart w:id="84" w:name="_Toc209622242"/>
      <w:r w:rsidRPr="00EA55D0">
        <w:t xml:space="preserve">We do not provide cars </w:t>
      </w:r>
      <w:r w:rsidR="0079019D" w:rsidRPr="00EA55D0">
        <w:t>for</w:t>
      </w:r>
      <w:r w:rsidRPr="00EA55D0">
        <w:t xml:space="preserve"> our employees but rather provide a per-kilometre reimbursement. Is this categorised as a labour cost?</w:t>
      </w:r>
      <w:bookmarkEnd w:id="84"/>
      <w:r w:rsidRPr="00EA55D0">
        <w:t> </w:t>
      </w:r>
      <w:r w:rsidRPr="00EA55D0" w:rsidDel="00366ADE">
        <w:t xml:space="preserve"> </w:t>
      </w:r>
    </w:p>
    <w:p w14:paraId="54C9891F" w14:textId="255A9A09" w:rsidR="00D55EFE" w:rsidRPr="00D077E5" w:rsidRDefault="00D55EFE" w:rsidP="00D55EFE">
      <w:r w:rsidRPr="00D077E5">
        <w:rPr>
          <w:rFonts w:cs="Arial"/>
          <w:shd w:val="clear" w:color="auto" w:fill="FFFFFF"/>
        </w:rPr>
        <w:t xml:space="preserve">All motor vehicle costs including per-kilometre reimbursement associated with transport to and from a participant’s residence </w:t>
      </w:r>
      <w:r w:rsidR="00A819BB" w:rsidRPr="00D077E5">
        <w:rPr>
          <w:rFonts w:cs="Arial"/>
          <w:shd w:val="clear" w:color="auto" w:fill="FFFFFF"/>
        </w:rPr>
        <w:t>(</w:t>
      </w:r>
      <w:r w:rsidR="00435E90" w:rsidRPr="00D077E5">
        <w:rPr>
          <w:rFonts w:cs="Arial"/>
          <w:shd w:val="clear" w:color="auto" w:fill="FFFFFF"/>
        </w:rPr>
        <w:t xml:space="preserve">i.e. for non-patient transport services) </w:t>
      </w:r>
      <w:r w:rsidRPr="00D077E5">
        <w:rPr>
          <w:rFonts w:cs="Arial"/>
          <w:shd w:val="clear" w:color="auto" w:fill="FFFFFF"/>
        </w:rPr>
        <w:t xml:space="preserve">should be reported against Motor Vehicle Expenses (excluding Participant Transport Service expenses) </w:t>
      </w:r>
      <w:r w:rsidRPr="00D077E5">
        <w:t xml:space="preserve">under Administration &amp; Support expenses within the ACFR. </w:t>
      </w:r>
    </w:p>
    <w:p w14:paraId="529E5BB4" w14:textId="6C08C348" w:rsidR="00D55EFE" w:rsidRPr="00D077E5" w:rsidRDefault="00D55EFE" w:rsidP="00D55EFE">
      <w:pPr>
        <w:rPr>
          <w:rFonts w:cs="Arial"/>
          <w:shd w:val="clear" w:color="auto" w:fill="FFFFFF"/>
        </w:rPr>
      </w:pPr>
      <w:r w:rsidRPr="00D077E5">
        <w:t xml:space="preserve">Employee salary costs </w:t>
      </w:r>
      <w:r w:rsidRPr="00D077E5">
        <w:rPr>
          <w:rFonts w:cs="Arial"/>
          <w:shd w:val="clear" w:color="auto" w:fill="FFFFFF"/>
        </w:rPr>
        <w:t>associated with transport to and from a participant’s residence should be reported as Labour Costs against the service or services being delivered to the participant.</w:t>
      </w:r>
    </w:p>
    <w:p w14:paraId="2030E262" w14:textId="24992998" w:rsidR="00D55EFE" w:rsidRPr="00EA55D0" w:rsidRDefault="00D55EFE" w:rsidP="00A50C8D">
      <w:pPr>
        <w:pStyle w:val="Heading3"/>
        <w:rPr>
          <w:iCs/>
          <w:szCs w:val="28"/>
        </w:rPr>
      </w:pPr>
      <w:bookmarkStart w:id="85" w:name="_Toc209622243"/>
      <w:r w:rsidRPr="00EA55D0">
        <w:t>Will the ‘Consumables – Clinical Support Services’ item cover anything that we are claiming under the Assisted Technology budget?</w:t>
      </w:r>
      <w:bookmarkEnd w:id="85"/>
      <w:r w:rsidRPr="00EA55D0">
        <w:t xml:space="preserve">  </w:t>
      </w:r>
    </w:p>
    <w:p w14:paraId="0E6982DA" w14:textId="6E761FB6" w:rsidR="00D55EFE" w:rsidRPr="005274C5" w:rsidRDefault="106F8582" w:rsidP="005274C5">
      <w:r w:rsidRPr="005274C5">
        <w:t xml:space="preserve">The AT-HM scheme will provide separate funding to older people to support them to access the products, equipment, and home modifications </w:t>
      </w:r>
      <w:r w:rsidR="7ED5282A" w:rsidRPr="005274C5">
        <w:t xml:space="preserve">they require </w:t>
      </w:r>
      <w:r w:rsidRPr="005274C5">
        <w:t xml:space="preserve">to </w:t>
      </w:r>
      <w:r w:rsidR="06070643" w:rsidRPr="005274C5">
        <w:t xml:space="preserve">meet </w:t>
      </w:r>
      <w:r w:rsidRPr="005274C5">
        <w:t>their</w:t>
      </w:r>
      <w:r w:rsidR="4C75BEDA" w:rsidRPr="005274C5">
        <w:t xml:space="preserve"> needs</w:t>
      </w:r>
      <w:r w:rsidR="0A931E27" w:rsidRPr="005274C5">
        <w:t>,</w:t>
      </w:r>
      <w:r w:rsidR="4C75BEDA" w:rsidRPr="005274C5">
        <w:t xml:space="preserve"> as</w:t>
      </w:r>
      <w:r w:rsidRPr="005274C5">
        <w:t xml:space="preserve"> </w:t>
      </w:r>
      <w:r w:rsidR="0E857ECC" w:rsidRPr="005274C5">
        <w:t>indicated in their aged care assessment</w:t>
      </w:r>
      <w:r w:rsidRPr="005274C5">
        <w:t xml:space="preserve">. </w:t>
      </w:r>
      <w:r w:rsidR="00D55EFE" w:rsidRPr="005274C5">
        <w:t xml:space="preserve">The </w:t>
      </w:r>
      <w:hyperlink r:id="rId46" w:history="1">
        <w:r w:rsidR="00D55EFE" w:rsidRPr="005274C5">
          <w:rPr>
            <w:rStyle w:val="Hyperlink"/>
          </w:rPr>
          <w:t>AT-HM List</w:t>
        </w:r>
      </w:hyperlink>
      <w:r w:rsidR="00D55EFE" w:rsidRPr="005274C5">
        <w:t xml:space="preserve"> sets out a definitive list of the products, equipment, and </w:t>
      </w:r>
      <w:r w:rsidR="35BD45FF" w:rsidRPr="005274C5">
        <w:t>home modifications</w:t>
      </w:r>
      <w:r w:rsidR="00D55EFE" w:rsidRPr="005274C5">
        <w:t xml:space="preserve"> that Support at Home participants can access through the AT-HM scheme. Many consumables, including continence support products (Clinical supports – Nursing Care – Nursing care consumables) will be available from the Support at Home service list</w:t>
      </w:r>
      <w:r w:rsidR="261D3997" w:rsidRPr="005274C5">
        <w:t xml:space="preserve">. These products are not duplicated on the AT-HM </w:t>
      </w:r>
      <w:r w:rsidR="1C22CD9F" w:rsidRPr="005274C5">
        <w:t>Li</w:t>
      </w:r>
      <w:r w:rsidR="09ACD3E0" w:rsidRPr="005274C5">
        <w:t>st</w:t>
      </w:r>
      <w:r w:rsidR="00D55EFE" w:rsidRPr="005274C5" w:rsidDel="00D55EFE">
        <w:t>.</w:t>
      </w:r>
    </w:p>
    <w:p w14:paraId="0CF15C88" w14:textId="22DD65D7" w:rsidR="00D55EFE" w:rsidRPr="00EA55D0" w:rsidRDefault="00D55EFE" w:rsidP="00A50C8D">
      <w:pPr>
        <w:pStyle w:val="Heading3"/>
      </w:pPr>
      <w:bookmarkStart w:id="86" w:name="_Toc209622244"/>
      <w:r w:rsidRPr="00EA55D0">
        <w:t xml:space="preserve">Do labour costs include </w:t>
      </w:r>
      <w:r w:rsidR="00D220AE" w:rsidRPr="00EA55D0">
        <w:t xml:space="preserve">employee </w:t>
      </w:r>
      <w:r w:rsidRPr="00EA55D0">
        <w:t>superannuation and worker’s compensation costs?</w:t>
      </w:r>
      <w:bookmarkEnd w:id="86"/>
      <w:r w:rsidRPr="00EA55D0">
        <w:t> </w:t>
      </w:r>
      <w:r w:rsidRPr="00EA55D0" w:rsidDel="00366ADE">
        <w:t xml:space="preserve"> </w:t>
      </w:r>
    </w:p>
    <w:p w14:paraId="2277945E" w14:textId="47E7C171" w:rsidR="00D55EFE" w:rsidRPr="00D077E5" w:rsidRDefault="00B14482" w:rsidP="00D55EFE">
      <w:r w:rsidRPr="00D077E5">
        <w:t xml:space="preserve">No. </w:t>
      </w:r>
      <w:r w:rsidR="007C4F8C" w:rsidRPr="00D077E5">
        <w:t>In the ACFR l</w:t>
      </w:r>
      <w:r w:rsidR="00D55EFE" w:rsidRPr="00D077E5">
        <w:t xml:space="preserve">abour costs should only include the employee’s salary. The amount of superannuation that is owed to an employee (along with other employee on-costs) should be reported against the </w:t>
      </w:r>
      <w:r w:rsidR="0069737D" w:rsidRPr="00D077E5">
        <w:t>“</w:t>
      </w:r>
      <w:r w:rsidR="00D55EFE" w:rsidRPr="00D077E5">
        <w:t>Superannuation &amp; Employee On-Costs</w:t>
      </w:r>
      <w:r w:rsidR="0069737D" w:rsidRPr="00D077E5">
        <w:t>”</w:t>
      </w:r>
      <w:r w:rsidR="00D55EFE" w:rsidRPr="00D077E5">
        <w:t xml:space="preserve"> expense items under Administration &amp; Support expenses. </w:t>
      </w:r>
      <w:r w:rsidR="00F96217" w:rsidRPr="00D077E5">
        <w:t>This</w:t>
      </w:r>
      <w:r w:rsidR="00314CB0" w:rsidRPr="00D077E5">
        <w:t xml:space="preserve"> is to avoid having to apportion superannuation and on-cost expenses across </w:t>
      </w:r>
      <w:r w:rsidR="003B7502" w:rsidRPr="00D077E5">
        <w:t>multiple labour cost</w:t>
      </w:r>
      <w:r w:rsidR="00513D89" w:rsidRPr="00D077E5">
        <w:t xml:space="preserve"> service list</w:t>
      </w:r>
      <w:r w:rsidR="003B7502" w:rsidRPr="00D077E5">
        <w:t xml:space="preserve"> items.</w:t>
      </w:r>
    </w:p>
    <w:p w14:paraId="60838E26" w14:textId="60367618" w:rsidR="00D55EFE" w:rsidRPr="005274C5" w:rsidRDefault="00F653C9" w:rsidP="005274C5">
      <w:r w:rsidRPr="005274C5">
        <w:t>Workers’</w:t>
      </w:r>
      <w:r w:rsidR="00D55EFE" w:rsidRPr="005274C5">
        <w:t xml:space="preserve"> compensation</w:t>
      </w:r>
      <w:r w:rsidR="004E7FD8" w:rsidRPr="005274C5">
        <w:t xml:space="preserve"> costs</w:t>
      </w:r>
      <w:r w:rsidR="00D55EFE" w:rsidRPr="005274C5">
        <w:t xml:space="preserve"> for all employees should be reported against the Workers Compensation Insurance expense item under Administration &amp; Support expenses. </w:t>
      </w:r>
    </w:p>
    <w:p w14:paraId="31F123E5" w14:textId="2298B6BC" w:rsidR="00D55EFE" w:rsidRPr="00EA55D0" w:rsidRDefault="00D55EFE" w:rsidP="00A50C8D">
      <w:pPr>
        <w:pStyle w:val="Heading3"/>
      </w:pPr>
      <w:bookmarkStart w:id="87" w:name="_Toc209622245"/>
      <w:r w:rsidRPr="00EA55D0">
        <w:t>Where should I report meal services provided by organisations like Meals on Wheels or Light and Easy.</w:t>
      </w:r>
      <w:bookmarkEnd w:id="87"/>
      <w:r w:rsidRPr="00EA55D0">
        <w:t xml:space="preserve">  </w:t>
      </w:r>
    </w:p>
    <w:p w14:paraId="0AFAC4BD" w14:textId="5C63ACD3" w:rsidR="00D55EFE" w:rsidRPr="00EA55D0" w:rsidRDefault="00881C2B" w:rsidP="00D55EFE">
      <w:pPr>
        <w:rPr>
          <w:rFonts w:cs="Arial"/>
          <w:color w:val="auto"/>
        </w:rPr>
      </w:pPr>
      <w:r w:rsidRPr="00D077E5">
        <w:rPr>
          <w:rFonts w:cs="Arial"/>
        </w:rPr>
        <w:t>These costs should be reported under Everyday Living Services in the applicable Meal Delivery and Meal Preparation categories</w:t>
      </w:r>
      <w:r w:rsidRPr="00EA55D0">
        <w:rPr>
          <w:rFonts w:cs="Arial"/>
          <w:color w:val="auto"/>
        </w:rPr>
        <w:t xml:space="preserve">. </w:t>
      </w:r>
    </w:p>
    <w:p w14:paraId="30B3667A" w14:textId="57A704AA" w:rsidR="00D55EFE" w:rsidRPr="00EA55D0" w:rsidRDefault="00D55EFE" w:rsidP="00A50C8D">
      <w:pPr>
        <w:pStyle w:val="Heading3"/>
      </w:pPr>
      <w:bookmarkStart w:id="88" w:name="_Toc209622246"/>
      <w:r w:rsidRPr="00EA55D0">
        <w:t>How should gardening and maintenance be reported?</w:t>
      </w:r>
      <w:bookmarkEnd w:id="88"/>
      <w:r w:rsidRPr="00EA55D0">
        <w:t xml:space="preserve"> </w:t>
      </w:r>
    </w:p>
    <w:p w14:paraId="6D6F1DF3" w14:textId="72E0E510" w:rsidR="00D55EFE" w:rsidRPr="00D077E5" w:rsidRDefault="00D55EFE" w:rsidP="00D55EFE">
      <w:pPr>
        <w:rPr>
          <w:rFonts w:cs="Arial"/>
          <w:b/>
          <w:bCs/>
        </w:rPr>
      </w:pPr>
      <w:r w:rsidRPr="00D077E5">
        <w:rPr>
          <w:rFonts w:cs="Arial"/>
        </w:rPr>
        <w:t xml:space="preserve">Gardening and maintenance should be reported under the </w:t>
      </w:r>
      <w:r w:rsidR="00703584" w:rsidRPr="00D077E5">
        <w:rPr>
          <w:rFonts w:cs="Arial"/>
        </w:rPr>
        <w:t>E</w:t>
      </w:r>
      <w:r w:rsidRPr="00D077E5">
        <w:rPr>
          <w:rFonts w:cs="Arial"/>
        </w:rPr>
        <w:t xml:space="preserve">veryday </w:t>
      </w:r>
      <w:r w:rsidR="00703584" w:rsidRPr="00D077E5">
        <w:rPr>
          <w:rFonts w:cs="Arial"/>
        </w:rPr>
        <w:t>L</w:t>
      </w:r>
      <w:r w:rsidRPr="00D077E5">
        <w:rPr>
          <w:rFonts w:cs="Arial"/>
        </w:rPr>
        <w:t xml:space="preserve">iving, </w:t>
      </w:r>
      <w:r w:rsidR="00703584" w:rsidRPr="00D077E5">
        <w:rPr>
          <w:rFonts w:cs="Arial"/>
        </w:rPr>
        <w:t>H</w:t>
      </w:r>
      <w:r w:rsidRPr="00D077E5">
        <w:rPr>
          <w:rFonts w:cs="Arial"/>
        </w:rPr>
        <w:t xml:space="preserve">ome </w:t>
      </w:r>
      <w:r w:rsidR="00703584" w:rsidRPr="00D077E5">
        <w:rPr>
          <w:rFonts w:cs="Arial"/>
        </w:rPr>
        <w:t>M</w:t>
      </w:r>
      <w:r w:rsidRPr="00D077E5">
        <w:rPr>
          <w:rFonts w:cs="Arial"/>
        </w:rPr>
        <w:t xml:space="preserve">aintenance and repairs category. </w:t>
      </w:r>
    </w:p>
    <w:p w14:paraId="5ADCE5FE" w14:textId="3D6ADAB4" w:rsidR="00D55EFE" w:rsidRPr="00EA55D0" w:rsidRDefault="00D55EFE" w:rsidP="00A50C8D">
      <w:pPr>
        <w:pStyle w:val="Heading3"/>
      </w:pPr>
      <w:bookmarkStart w:id="89" w:name="_Toc209622247"/>
      <w:r w:rsidRPr="00EA55D0">
        <w:t xml:space="preserve">If </w:t>
      </w:r>
      <w:r w:rsidR="003B67C1" w:rsidRPr="00EA55D0">
        <w:t>a</w:t>
      </w:r>
      <w:r w:rsidRPr="00EA55D0">
        <w:t xml:space="preserve"> R</w:t>
      </w:r>
      <w:r w:rsidR="003B67C1" w:rsidRPr="00EA55D0">
        <w:t xml:space="preserve">egistered Nurse or Enrolled Nurse </w:t>
      </w:r>
      <w:r w:rsidRPr="00EA55D0">
        <w:t>is providing clinical services as part of restorative care pathway and/or end of life pathway, how should these costs be reported?</w:t>
      </w:r>
      <w:bookmarkEnd w:id="89"/>
      <w:r w:rsidRPr="00EA55D0">
        <w:t xml:space="preserve"> </w:t>
      </w:r>
    </w:p>
    <w:p w14:paraId="67701EB5" w14:textId="77777777" w:rsidR="00D55EFE" w:rsidRPr="00D077E5" w:rsidRDefault="00D55EFE" w:rsidP="00D55EFE">
      <w:pPr>
        <w:rPr>
          <w:rFonts w:cs="Arial"/>
          <w:b/>
          <w:bCs/>
        </w:rPr>
      </w:pPr>
      <w:r w:rsidRPr="00D077E5">
        <w:rPr>
          <w:rFonts w:cs="Arial"/>
        </w:rPr>
        <w:t xml:space="preserve">These costs should be reported under the applicable staff category under the restorative care or end of life pathway. </w:t>
      </w:r>
    </w:p>
    <w:p w14:paraId="13EC5FF6" w14:textId="47550947" w:rsidR="00D55EFE" w:rsidRPr="00EA55D0" w:rsidRDefault="00D55EFE" w:rsidP="00F74C2C">
      <w:pPr>
        <w:pStyle w:val="Heading3"/>
      </w:pPr>
      <w:bookmarkStart w:id="90" w:name="_Toc209622248"/>
      <w:r w:rsidRPr="00EA55D0">
        <w:t xml:space="preserve">How </w:t>
      </w:r>
      <w:r w:rsidR="0096070E" w:rsidRPr="00EA55D0">
        <w:t xml:space="preserve">should </w:t>
      </w:r>
      <w:r w:rsidR="004F5DF6" w:rsidRPr="00EA55D0">
        <w:t xml:space="preserve">labour </w:t>
      </w:r>
      <w:r w:rsidRPr="00EA55D0">
        <w:t xml:space="preserve">costs for management and administration staff </w:t>
      </w:r>
      <w:r w:rsidR="004373AE" w:rsidRPr="00EA55D0">
        <w:t>(including the CEO) of</w:t>
      </w:r>
      <w:r w:rsidRPr="00EA55D0">
        <w:t xml:space="preserve"> Support at Home </w:t>
      </w:r>
      <w:r w:rsidR="004373AE" w:rsidRPr="00EA55D0">
        <w:t>providers</w:t>
      </w:r>
      <w:r w:rsidRPr="00EA55D0">
        <w:t xml:space="preserve"> be </w:t>
      </w:r>
      <w:r w:rsidR="004373AE" w:rsidRPr="00EA55D0">
        <w:t>reported</w:t>
      </w:r>
      <w:r w:rsidRPr="00EA55D0">
        <w:t>?</w:t>
      </w:r>
      <w:bookmarkEnd w:id="90"/>
    </w:p>
    <w:p w14:paraId="6E2A20A7" w14:textId="76D42CD0" w:rsidR="00D55EFE" w:rsidRPr="00EA55D0" w:rsidRDefault="00D55EFE" w:rsidP="00D55EFE">
      <w:pPr>
        <w:rPr>
          <w:rFonts w:eastAsia="Calibri"/>
        </w:rPr>
      </w:pPr>
      <w:r w:rsidRPr="00EA55D0">
        <w:rPr>
          <w:rFonts w:eastAsia="Calibri"/>
        </w:rPr>
        <w:t xml:space="preserve">The </w:t>
      </w:r>
      <w:r w:rsidR="00C4761F" w:rsidRPr="00EA55D0">
        <w:rPr>
          <w:rFonts w:eastAsia="Calibri"/>
        </w:rPr>
        <w:t>labour costs of</w:t>
      </w:r>
      <w:r w:rsidRPr="00EA55D0">
        <w:rPr>
          <w:rFonts w:eastAsia="Calibri"/>
          <w:spacing w:val="-5"/>
        </w:rPr>
        <w:t xml:space="preserve"> </w:t>
      </w:r>
      <w:r w:rsidR="00C56C34" w:rsidRPr="00EA55D0">
        <w:rPr>
          <w:rFonts w:eastAsia="Calibri"/>
          <w:spacing w:val="-5"/>
        </w:rPr>
        <w:t xml:space="preserve">management and </w:t>
      </w:r>
      <w:r w:rsidRPr="00EA55D0">
        <w:rPr>
          <w:rFonts w:eastAsia="Calibri"/>
        </w:rPr>
        <w:t>administrative</w:t>
      </w:r>
      <w:r w:rsidRPr="00EA55D0">
        <w:rPr>
          <w:rFonts w:eastAsia="Calibri"/>
          <w:spacing w:val="-4"/>
        </w:rPr>
        <w:t xml:space="preserve"> </w:t>
      </w:r>
      <w:r w:rsidR="00C56C34" w:rsidRPr="00EA55D0">
        <w:rPr>
          <w:rFonts w:eastAsia="Calibri"/>
          <w:spacing w:val="-4"/>
        </w:rPr>
        <w:t>staff</w:t>
      </w:r>
      <w:r w:rsidRPr="00EA55D0">
        <w:rPr>
          <w:rFonts w:eastAsia="Calibri"/>
          <w:spacing w:val="-5"/>
        </w:rPr>
        <w:t xml:space="preserve"> </w:t>
      </w:r>
      <w:r w:rsidRPr="00EA55D0">
        <w:rPr>
          <w:rFonts w:eastAsia="Calibri"/>
        </w:rPr>
        <w:t>(including senior management and director fees) should be included in</w:t>
      </w:r>
      <w:r w:rsidR="003E75BC" w:rsidRPr="00EA55D0">
        <w:rPr>
          <w:rFonts w:eastAsia="Calibri"/>
        </w:rPr>
        <w:t xml:space="preserve"> “Labour Costs – Administration and non-care staff”</w:t>
      </w:r>
      <w:r w:rsidR="008F558E" w:rsidRPr="00EA55D0">
        <w:rPr>
          <w:rFonts w:eastAsia="Calibri"/>
        </w:rPr>
        <w:t xml:space="preserve"> under</w:t>
      </w:r>
      <w:r w:rsidRPr="00EA55D0">
        <w:rPr>
          <w:rFonts w:eastAsia="Calibri"/>
        </w:rPr>
        <w:t xml:space="preserve"> </w:t>
      </w:r>
      <w:r w:rsidR="008F558E" w:rsidRPr="00EA55D0">
        <w:rPr>
          <w:rFonts w:eastAsia="Calibri"/>
        </w:rPr>
        <w:t>“</w:t>
      </w:r>
      <w:r w:rsidRPr="00EA55D0">
        <w:rPr>
          <w:rFonts w:eastAsia="Calibri"/>
        </w:rPr>
        <w:t xml:space="preserve">Administration and </w:t>
      </w:r>
      <w:r w:rsidR="00C4761F" w:rsidRPr="00EA55D0">
        <w:rPr>
          <w:rFonts w:eastAsia="Calibri"/>
        </w:rPr>
        <w:t>Support</w:t>
      </w:r>
      <w:r w:rsidRPr="00EA55D0">
        <w:rPr>
          <w:rFonts w:eastAsia="Calibri"/>
        </w:rPr>
        <w:t xml:space="preserve"> </w:t>
      </w:r>
      <w:r w:rsidR="00C4761F" w:rsidRPr="00EA55D0">
        <w:rPr>
          <w:rFonts w:eastAsia="Calibri"/>
        </w:rPr>
        <w:t>Expenses</w:t>
      </w:r>
      <w:r w:rsidR="008F558E" w:rsidRPr="00EA55D0">
        <w:rPr>
          <w:rFonts w:eastAsia="Calibri"/>
        </w:rPr>
        <w:t>”</w:t>
      </w:r>
      <w:r w:rsidRPr="00EA55D0">
        <w:rPr>
          <w:rFonts w:eastAsia="Calibri"/>
        </w:rPr>
        <w:t xml:space="preserve">. </w:t>
      </w:r>
    </w:p>
    <w:p w14:paraId="6133A106" w14:textId="5C1EB39D" w:rsidR="00D55EFE" w:rsidRPr="00EA55D0" w:rsidRDefault="008F558E" w:rsidP="00D55EFE">
      <w:pPr>
        <w:rPr>
          <w:rFonts w:eastAsia="Calibri"/>
          <w:spacing w:val="-2"/>
        </w:rPr>
      </w:pPr>
      <w:r w:rsidRPr="00EA55D0">
        <w:rPr>
          <w:rFonts w:eastAsia="Calibri"/>
        </w:rPr>
        <w:t xml:space="preserve">An </w:t>
      </w:r>
      <w:r w:rsidR="00D55EFE" w:rsidRPr="00EA55D0">
        <w:rPr>
          <w:rFonts w:eastAsia="Calibri"/>
        </w:rPr>
        <w:t xml:space="preserve">apportionment of administration costs from </w:t>
      </w:r>
      <w:r w:rsidR="003D4C58" w:rsidRPr="00EA55D0">
        <w:rPr>
          <w:rFonts w:eastAsia="Calibri"/>
        </w:rPr>
        <w:t>an</w:t>
      </w:r>
      <w:r w:rsidR="00D55EFE" w:rsidRPr="00EA55D0">
        <w:rPr>
          <w:rFonts w:eastAsia="Calibri"/>
        </w:rPr>
        <w:t xml:space="preserve"> organisation's corporate</w:t>
      </w:r>
      <w:r w:rsidR="00D55EFE" w:rsidRPr="00EA55D0">
        <w:rPr>
          <w:rFonts w:eastAsia="Calibri"/>
          <w:spacing w:val="-1"/>
        </w:rPr>
        <w:t xml:space="preserve"> </w:t>
      </w:r>
      <w:r w:rsidR="00D55EFE" w:rsidRPr="00EA55D0">
        <w:rPr>
          <w:rFonts w:eastAsia="Calibri"/>
        </w:rPr>
        <w:t>head</w:t>
      </w:r>
      <w:r w:rsidR="00D55EFE" w:rsidRPr="00EA55D0">
        <w:rPr>
          <w:rFonts w:eastAsia="Calibri"/>
          <w:spacing w:val="-4"/>
        </w:rPr>
        <w:t xml:space="preserve"> </w:t>
      </w:r>
      <w:r w:rsidR="00D55EFE" w:rsidRPr="00EA55D0">
        <w:rPr>
          <w:rFonts w:eastAsia="Calibri"/>
        </w:rPr>
        <w:t>office</w:t>
      </w:r>
      <w:r w:rsidR="00D55EFE" w:rsidRPr="00EA55D0">
        <w:rPr>
          <w:rFonts w:eastAsia="Calibri"/>
          <w:spacing w:val="-1"/>
        </w:rPr>
        <w:t xml:space="preserve"> </w:t>
      </w:r>
      <w:r w:rsidR="00D55EFE" w:rsidRPr="00EA55D0">
        <w:rPr>
          <w:rFonts w:eastAsia="Calibri"/>
        </w:rPr>
        <w:t>should be included in corporate recharge in the ACFR. Corporate</w:t>
      </w:r>
      <w:r w:rsidR="00D55EFE" w:rsidRPr="00EA55D0">
        <w:rPr>
          <w:rFonts w:eastAsia="Calibri"/>
          <w:spacing w:val="-2"/>
        </w:rPr>
        <w:t xml:space="preserve"> </w:t>
      </w:r>
      <w:r w:rsidR="00D55EFE" w:rsidRPr="00EA55D0">
        <w:rPr>
          <w:rFonts w:eastAsia="Calibri"/>
        </w:rPr>
        <w:t>recharge</w:t>
      </w:r>
      <w:r w:rsidR="00D55EFE" w:rsidRPr="00EA55D0">
        <w:rPr>
          <w:rFonts w:eastAsia="Calibri"/>
          <w:spacing w:val="-4"/>
        </w:rPr>
        <w:t xml:space="preserve"> </w:t>
      </w:r>
      <w:r w:rsidR="00D55EFE" w:rsidRPr="00EA55D0">
        <w:rPr>
          <w:rFonts w:eastAsia="Calibri"/>
        </w:rPr>
        <w:t>is</w:t>
      </w:r>
      <w:r w:rsidR="00D55EFE" w:rsidRPr="00EA55D0">
        <w:rPr>
          <w:rFonts w:eastAsia="Calibri"/>
          <w:spacing w:val="-2"/>
        </w:rPr>
        <w:t xml:space="preserve"> </w:t>
      </w:r>
      <w:r w:rsidR="00D55EFE" w:rsidRPr="00EA55D0">
        <w:rPr>
          <w:rFonts w:eastAsia="Calibri"/>
        </w:rPr>
        <w:t>not</w:t>
      </w:r>
      <w:r w:rsidR="00D55EFE" w:rsidRPr="00EA55D0">
        <w:rPr>
          <w:rFonts w:eastAsia="Calibri"/>
          <w:spacing w:val="-3"/>
        </w:rPr>
        <w:t xml:space="preserve"> </w:t>
      </w:r>
      <w:r w:rsidR="00D55EFE" w:rsidRPr="00EA55D0">
        <w:rPr>
          <w:rFonts w:eastAsia="Calibri"/>
        </w:rPr>
        <w:t>collected</w:t>
      </w:r>
      <w:r w:rsidR="00D55EFE" w:rsidRPr="00EA55D0">
        <w:rPr>
          <w:rFonts w:eastAsia="Calibri"/>
          <w:spacing w:val="-2"/>
        </w:rPr>
        <w:t xml:space="preserve"> </w:t>
      </w:r>
      <w:r w:rsidR="00D55EFE" w:rsidRPr="00EA55D0">
        <w:rPr>
          <w:rFonts w:eastAsia="Calibri"/>
        </w:rPr>
        <w:t>in</w:t>
      </w:r>
      <w:r w:rsidR="00D55EFE" w:rsidRPr="00EA55D0">
        <w:rPr>
          <w:rFonts w:eastAsia="Calibri"/>
          <w:spacing w:val="-3"/>
        </w:rPr>
        <w:t xml:space="preserve"> </w:t>
      </w:r>
      <w:r w:rsidR="00D55EFE" w:rsidRPr="00EA55D0">
        <w:rPr>
          <w:rFonts w:eastAsia="Calibri"/>
        </w:rPr>
        <w:t>the</w:t>
      </w:r>
      <w:r w:rsidR="00D55EFE" w:rsidRPr="00EA55D0">
        <w:rPr>
          <w:rFonts w:eastAsia="Calibri"/>
          <w:spacing w:val="-2"/>
        </w:rPr>
        <w:t xml:space="preserve"> </w:t>
      </w:r>
      <w:r w:rsidR="00D55EFE" w:rsidRPr="00EA55D0">
        <w:rPr>
          <w:rFonts w:eastAsia="Calibri"/>
        </w:rPr>
        <w:t>QFR</w:t>
      </w:r>
      <w:r w:rsidR="00D55EFE" w:rsidRPr="00EA55D0">
        <w:rPr>
          <w:rFonts w:eastAsia="Calibri"/>
          <w:spacing w:val="-5"/>
        </w:rPr>
        <w:t xml:space="preserve"> </w:t>
      </w:r>
      <w:r w:rsidR="00D55EFE" w:rsidRPr="00EA55D0">
        <w:rPr>
          <w:rFonts w:eastAsia="Calibri"/>
        </w:rPr>
        <w:t>but</w:t>
      </w:r>
      <w:r w:rsidR="00D55EFE" w:rsidRPr="00EA55D0">
        <w:rPr>
          <w:rFonts w:eastAsia="Calibri"/>
          <w:spacing w:val="-2"/>
        </w:rPr>
        <w:t xml:space="preserve"> </w:t>
      </w:r>
      <w:r w:rsidR="00D55EFE" w:rsidRPr="00EA55D0">
        <w:rPr>
          <w:rFonts w:eastAsia="Calibri"/>
        </w:rPr>
        <w:t>is</w:t>
      </w:r>
      <w:r w:rsidR="00D55EFE" w:rsidRPr="00EA55D0">
        <w:rPr>
          <w:rFonts w:eastAsia="Calibri"/>
          <w:spacing w:val="-3"/>
        </w:rPr>
        <w:t xml:space="preserve"> </w:t>
      </w:r>
      <w:r w:rsidR="00D55EFE" w:rsidRPr="00EA55D0">
        <w:rPr>
          <w:rFonts w:eastAsia="Calibri"/>
        </w:rPr>
        <w:t>collected</w:t>
      </w:r>
      <w:r w:rsidR="00D55EFE" w:rsidRPr="00EA55D0">
        <w:rPr>
          <w:rFonts w:eastAsia="Calibri"/>
          <w:spacing w:val="-3"/>
        </w:rPr>
        <w:t xml:space="preserve"> </w:t>
      </w:r>
      <w:r w:rsidR="00D55EFE" w:rsidRPr="00EA55D0">
        <w:rPr>
          <w:rFonts w:eastAsia="Calibri"/>
        </w:rPr>
        <w:t>in</w:t>
      </w:r>
      <w:r w:rsidR="00D55EFE" w:rsidRPr="00EA55D0">
        <w:rPr>
          <w:rFonts w:eastAsia="Calibri"/>
          <w:spacing w:val="-2"/>
        </w:rPr>
        <w:t xml:space="preserve"> </w:t>
      </w:r>
      <w:r w:rsidR="00D55EFE" w:rsidRPr="00EA55D0">
        <w:rPr>
          <w:rFonts w:eastAsia="Calibri"/>
        </w:rPr>
        <w:t>the</w:t>
      </w:r>
      <w:r w:rsidR="00D55EFE" w:rsidRPr="00EA55D0">
        <w:rPr>
          <w:rFonts w:eastAsia="Calibri"/>
          <w:spacing w:val="-1"/>
        </w:rPr>
        <w:t xml:space="preserve"> </w:t>
      </w:r>
      <w:r w:rsidR="00D55EFE" w:rsidRPr="00EA55D0">
        <w:rPr>
          <w:rFonts w:eastAsia="Calibri"/>
          <w:spacing w:val="-2"/>
        </w:rPr>
        <w:t>ACFR.</w:t>
      </w:r>
    </w:p>
    <w:p w14:paraId="14B554D9" w14:textId="2451B320" w:rsidR="00D55EFE" w:rsidRPr="00EA55D0" w:rsidRDefault="00F26CBB" w:rsidP="00F74C2C">
      <w:pPr>
        <w:pStyle w:val="Heading3"/>
      </w:pPr>
      <w:r w:rsidRPr="00D934A4">
        <w:rPr>
          <w:rFonts w:eastAsia="Calibri Light"/>
        </w:rPr>
        <w:t xml:space="preserve">What’s the difference between </w:t>
      </w:r>
      <w:r>
        <w:rPr>
          <w:rFonts w:eastAsia="Calibri Light"/>
        </w:rPr>
        <w:t>agency care staff and sub-contracted or brokered client services?</w:t>
      </w:r>
    </w:p>
    <w:p w14:paraId="68500725" w14:textId="77777777" w:rsidR="00F07FAE" w:rsidRPr="00F71334" w:rsidRDefault="00F07FAE" w:rsidP="00F07FAE">
      <w:pPr>
        <w:rPr>
          <w:rFonts w:cs="Arial"/>
        </w:rPr>
      </w:pPr>
      <w:bookmarkStart w:id="91" w:name="_Toc209622250"/>
      <w:r w:rsidRPr="00F71334">
        <w:rPr>
          <w:rFonts w:cs="Arial"/>
        </w:rPr>
        <w:t>Agency</w:t>
      </w:r>
      <w:r>
        <w:rPr>
          <w:rFonts w:cs="Arial"/>
        </w:rPr>
        <w:t xml:space="preserve"> care staff are care workers supplied by an external staffing agency to support an aged care provider when there are not enough directly employed staff available.</w:t>
      </w:r>
      <w:r w:rsidRPr="00F71334">
        <w:rPr>
          <w:rFonts w:cs="Arial"/>
        </w:rPr>
        <w:t xml:space="preserve"> </w:t>
      </w:r>
    </w:p>
    <w:p w14:paraId="612EF5C0" w14:textId="77777777" w:rsidR="00F07FAE" w:rsidRPr="000442A4" w:rsidRDefault="00F07FAE" w:rsidP="00F07FAE">
      <w:pPr>
        <w:rPr>
          <w:rFonts w:cs="Arial"/>
        </w:rPr>
      </w:pPr>
      <w:r>
        <w:rPr>
          <w:rFonts w:cs="Arial"/>
        </w:rPr>
        <w:t xml:space="preserve">Sub-contracted or brokered client services </w:t>
      </w:r>
      <w:r w:rsidRPr="000442A4">
        <w:rPr>
          <w:rFonts w:cs="Arial"/>
        </w:rPr>
        <w:t>is an arrangement where the provider responsible for the Support at Home program selects someone external to their business to deliver specific services, however the provider is still usually in control of the care management and administration of the Support at Home program.</w:t>
      </w:r>
    </w:p>
    <w:p w14:paraId="0EA60AFD" w14:textId="6D518D4B" w:rsidR="00D8724E" w:rsidRPr="00EA55D0" w:rsidRDefault="00D8724E" w:rsidP="00F74C2C">
      <w:pPr>
        <w:pStyle w:val="Heading3"/>
      </w:pPr>
      <w:r w:rsidRPr="00EA55D0">
        <w:t>What if a brokered allied health provider is not providing the required amount of detail in invoices?</w:t>
      </w:r>
      <w:bookmarkEnd w:id="91"/>
      <w:r w:rsidRPr="00EA55D0">
        <w:t xml:space="preserve">  </w:t>
      </w:r>
    </w:p>
    <w:p w14:paraId="130045AF" w14:textId="77777777" w:rsidR="00D8724E" w:rsidRPr="00D077E5" w:rsidRDefault="00D8724E" w:rsidP="00D8724E">
      <w:pPr>
        <w:rPr>
          <w:rFonts w:cs="Arial"/>
        </w:rPr>
      </w:pPr>
      <w:r w:rsidRPr="00D077E5">
        <w:rPr>
          <w:rFonts w:cs="Arial"/>
        </w:rPr>
        <w:t xml:space="preserve">The department encourages you to work with the allied health provider to explain the level of detail required on invoices to enable you to complete the Income and Expenditure Statement. </w:t>
      </w:r>
    </w:p>
    <w:p w14:paraId="08374ACF" w14:textId="6CA658B3" w:rsidR="00D55EFE" w:rsidRPr="00EA55D0" w:rsidRDefault="00226937" w:rsidP="00F74C2C">
      <w:pPr>
        <w:pStyle w:val="Heading3"/>
      </w:pPr>
      <w:bookmarkStart w:id="92" w:name="_Toc209622251"/>
      <w:r w:rsidRPr="00EA55D0">
        <w:t>Can we</w:t>
      </w:r>
      <w:r w:rsidR="00D55EFE" w:rsidRPr="00EA55D0">
        <w:t xml:space="preserve"> charge the client for labour costs or admin</w:t>
      </w:r>
      <w:r w:rsidRPr="00EA55D0">
        <w:t>istration</w:t>
      </w:r>
      <w:r w:rsidR="00D55EFE" w:rsidRPr="00EA55D0">
        <w:t xml:space="preserve"> co-ordination under the Assisted Technology </w:t>
      </w:r>
      <w:r w:rsidR="00726778" w:rsidRPr="00EA55D0">
        <w:t xml:space="preserve">and Home Modification </w:t>
      </w:r>
      <w:r w:rsidRPr="00EA55D0">
        <w:t>Service List item</w:t>
      </w:r>
      <w:r w:rsidR="00D55EFE" w:rsidRPr="00EA55D0">
        <w:t>?</w:t>
      </w:r>
      <w:bookmarkEnd w:id="92"/>
    </w:p>
    <w:p w14:paraId="4C3DA46A" w14:textId="4CAC7883" w:rsidR="00D55EFE" w:rsidRPr="00EA55D0" w:rsidRDefault="00D55EFE" w:rsidP="00D55EFE">
      <w:r w:rsidRPr="00EA55D0">
        <w:t xml:space="preserve">We know that providers will incur administrative costs associated with the provision of assistive technology (AT) to </w:t>
      </w:r>
      <w:r w:rsidR="204CB336" w:rsidRPr="00EA55D0">
        <w:t>older people</w:t>
      </w:r>
      <w:r w:rsidRPr="00EA55D0">
        <w:t>, which is not included in care management. These activities, such as sourcing and ordering items, scheduling wrap-around services and</w:t>
      </w:r>
      <w:r w:rsidR="4FC519B8" w:rsidRPr="00EA55D0">
        <w:t xml:space="preserve"> managing quotes</w:t>
      </w:r>
      <w:r w:rsidRPr="00EA55D0">
        <w:t>, will be compensated through the participant’s AT funding tier. To prevent unreasonably high administration costs and to ensure most of a participant’s AT funding goes towards the cost of items and wrap-around services, providers may charge up to 10% of the cost of the item or item bundle or up to $500 (whichever is lower).</w:t>
      </w:r>
      <w:r w:rsidRPr="00EA55D0">
        <w:rPr>
          <w:b/>
          <w:bCs/>
        </w:rPr>
        <w:t> </w:t>
      </w:r>
      <w:r w:rsidRPr="00EA55D0">
        <w:t> </w:t>
      </w:r>
    </w:p>
    <w:p w14:paraId="55E192A7" w14:textId="77777777" w:rsidR="00AD3D5B" w:rsidRPr="00EA55D0" w:rsidRDefault="00D55EFE" w:rsidP="00D55EFE">
      <w:pPr>
        <w:rPr>
          <w:b/>
          <w:bCs/>
        </w:rPr>
      </w:pPr>
      <w:r w:rsidRPr="00EA55D0">
        <w:t>For the provision of home modifications (HM)</w:t>
      </w:r>
      <w:r w:rsidR="00C4259F" w:rsidRPr="00EA55D0">
        <w:t>,</w:t>
      </w:r>
      <w:r w:rsidRPr="00EA55D0">
        <w:t xml:space="preserve"> coordination and project management activities incurred by the provider will be compensated through the participant’s HM funding tier. Providers may charge up to 15% of the total quoted cost of the home modification, or up to $1,500 (whichever is lower).</w:t>
      </w:r>
      <w:r w:rsidRPr="00EA55D0">
        <w:rPr>
          <w:b/>
          <w:bCs/>
        </w:rPr>
        <w:t> </w:t>
      </w:r>
    </w:p>
    <w:p w14:paraId="182D9F22" w14:textId="6C5FCDD9" w:rsidR="00F74C2C" w:rsidRPr="00EA55D0" w:rsidRDefault="00D55EFE" w:rsidP="00C47A9C">
      <w:r w:rsidRPr="00EA55D0">
        <w:t>Subsidies for a provider’s AT administration or HM coordination costs do not cover any care management tasks, business overheads or costs, marketing costs, or direct service charges (as per current HCP package management rules). </w:t>
      </w:r>
    </w:p>
    <w:p w14:paraId="268F3421" w14:textId="77777777" w:rsidR="00656E7E" w:rsidRPr="00EA55D0" w:rsidRDefault="00656E7E" w:rsidP="00F74C2C">
      <w:pPr>
        <w:pStyle w:val="SubjectHeading"/>
      </w:pPr>
      <w:r w:rsidRPr="00EA55D0">
        <w:t>Labour Hours</w:t>
      </w:r>
    </w:p>
    <w:p w14:paraId="5ECFAE07" w14:textId="3268DEDE" w:rsidR="00656E7E" w:rsidRPr="00EA55D0" w:rsidRDefault="00656E7E" w:rsidP="00F74C2C">
      <w:pPr>
        <w:pStyle w:val="Heading3"/>
      </w:pPr>
      <w:bookmarkStart w:id="93" w:name="_Toc209622252"/>
      <w:r w:rsidRPr="00EA55D0">
        <w:t>Will labour hours for employees, agency staff and brokered staff (split out by service type) be required in the ACFR?</w:t>
      </w:r>
      <w:bookmarkEnd w:id="93"/>
      <w:r w:rsidRPr="00EA55D0">
        <w:t>  </w:t>
      </w:r>
      <w:r w:rsidRPr="00EA55D0" w:rsidDel="00366ADE">
        <w:t xml:space="preserve"> </w:t>
      </w:r>
    </w:p>
    <w:p w14:paraId="5BC17DB1" w14:textId="77777777" w:rsidR="00745929" w:rsidRPr="00D077E5" w:rsidRDefault="00656E7E" w:rsidP="00656E7E">
      <w:pPr>
        <w:rPr>
          <w:rFonts w:cs="Arial"/>
        </w:rPr>
      </w:pPr>
      <w:r w:rsidRPr="00D077E5">
        <w:rPr>
          <w:rFonts w:cs="Arial"/>
        </w:rPr>
        <w:t>Labour hours for Support at Home agency and brokered staff will not be collected in the Support at Home Income and Expenditure Statement, however labour hours for employees (split by service type) will be collected. </w:t>
      </w:r>
    </w:p>
    <w:p w14:paraId="60542CCA" w14:textId="0F9812AF" w:rsidR="00656E7E" w:rsidRPr="00D077E5" w:rsidRDefault="00656E7E" w:rsidP="00656E7E">
      <w:pPr>
        <w:rPr>
          <w:rFonts w:cs="Arial"/>
        </w:rPr>
      </w:pPr>
      <w:r w:rsidRPr="00D077E5">
        <w:rPr>
          <w:rFonts w:cs="Arial"/>
        </w:rPr>
        <w:t xml:space="preserve">Labour hours will also be collected for Care Management, Administration and Non-Care staff. Non-worked hours (for direct care – employee care staff and other employee staff employed in a direct care role) will also be collected in the ACFR. </w:t>
      </w:r>
    </w:p>
    <w:p w14:paraId="184730F4" w14:textId="4BA9CC08" w:rsidR="00656E7E" w:rsidRPr="00EA55D0" w:rsidRDefault="00656E7E" w:rsidP="00F74C2C">
      <w:pPr>
        <w:pStyle w:val="Heading3"/>
      </w:pPr>
      <w:bookmarkStart w:id="94" w:name="_Toc209622253"/>
      <w:r w:rsidRPr="00EA55D0">
        <w:t>Should travel time be included in non-worked hours</w:t>
      </w:r>
      <w:bookmarkEnd w:id="94"/>
      <w:r w:rsidR="00845A32">
        <w:t>?</w:t>
      </w:r>
    </w:p>
    <w:p w14:paraId="2D1EB936" w14:textId="533F9147" w:rsidR="00C47A9C" w:rsidRDefault="00656E7E" w:rsidP="00C47A9C">
      <w:pPr>
        <w:rPr>
          <w:rFonts w:cs="Arial"/>
        </w:rPr>
      </w:pPr>
      <w:r w:rsidRPr="00D077E5">
        <w:rPr>
          <w:rFonts w:cs="Arial"/>
        </w:rPr>
        <w:t>No. Travel time</w:t>
      </w:r>
      <w:r w:rsidR="00725D97" w:rsidRPr="00D077E5">
        <w:rPr>
          <w:rFonts w:cs="Arial"/>
        </w:rPr>
        <w:t xml:space="preserve"> to and from a </w:t>
      </w:r>
      <w:r w:rsidR="00564811" w:rsidRPr="00D077E5">
        <w:rPr>
          <w:rFonts w:cs="Arial"/>
        </w:rPr>
        <w:t>participant</w:t>
      </w:r>
      <w:r w:rsidR="006A4AA0" w:rsidRPr="00D077E5">
        <w:rPr>
          <w:rFonts w:cs="Arial"/>
        </w:rPr>
        <w:t xml:space="preserve">’s </w:t>
      </w:r>
      <w:r w:rsidR="0053751E" w:rsidRPr="00D077E5">
        <w:rPr>
          <w:rFonts w:cs="Arial"/>
        </w:rPr>
        <w:t>residence should</w:t>
      </w:r>
      <w:r w:rsidRPr="00D077E5">
        <w:rPr>
          <w:rFonts w:cs="Arial"/>
        </w:rPr>
        <w:t xml:space="preserve"> be included in labour costs and hours. </w:t>
      </w:r>
    </w:p>
    <w:p w14:paraId="61D56990" w14:textId="2FD95E03" w:rsidR="005D08E6" w:rsidRPr="00C47A9C" w:rsidRDefault="00C47A9C" w:rsidP="00C47A9C">
      <w:r w:rsidRPr="00C47A9C">
        <w:br w:type="page"/>
      </w:r>
    </w:p>
    <w:p w14:paraId="62B22C58" w14:textId="69F02024" w:rsidR="005D08E6" w:rsidRPr="00EA55D0" w:rsidRDefault="002837E6" w:rsidP="002837E6">
      <w:pPr>
        <w:pStyle w:val="Chapternumbers"/>
      </w:pPr>
      <w:bookmarkStart w:id="95" w:name="_Toc224723303"/>
      <w:r w:rsidRPr="00EA55D0">
        <w:rPr>
          <w:noProof/>
        </w:rPr>
        <mc:AlternateContent>
          <mc:Choice Requires="wps">
            <w:drawing>
              <wp:anchor distT="0" distB="0" distL="114300" distR="114300" simplePos="0" relativeHeight="251658254" behindDoc="1" locked="0" layoutInCell="1" allowOverlap="1" wp14:anchorId="7AE428AD" wp14:editId="04549426">
                <wp:simplePos x="0" y="0"/>
                <wp:positionH relativeFrom="page">
                  <wp:posOffset>8727</wp:posOffset>
                </wp:positionH>
                <wp:positionV relativeFrom="page">
                  <wp:posOffset>-276225</wp:posOffset>
                </wp:positionV>
                <wp:extent cx="8893175" cy="12425045"/>
                <wp:effectExtent l="0" t="0" r="3175" b="0"/>
                <wp:wrapNone/>
                <wp:docPr id="1128820464" name="Rectangle 11288204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893175" cy="124250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383D9" id="Rectangle 1128820464" o:spid="_x0000_s1026" alt="&quot;&quot;" style="position:absolute;margin-left:.7pt;margin-top:-21.75pt;width:700.25pt;height:978.3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g4FfQIAAGAFAAAOAAAAZHJzL2Uyb0RvYy54bWysVFFP2zAQfp+0/2D5fSTp2gEVKapATJMQ&#10;IGDi2Tg2seT4PNtt2v36ne0kZQztYVofXNv33Xd3X+58dr7rNNkK5xWYmlZHJSXCcGiUeanp98er&#10;TyeU+MBMwzQYUdO98PR89fHDWW+XYgYt6EY4giTGL3tb0zYEuywKz1vRMX8EVhg0SnAdC3h0L0Xj&#10;WI/snS5mZfml6ME11gEX3uPtZTbSVeKXUvBwK6UXgeiaYm4hrS6tz3EtVmds+eKYbRUf0mD/kEXH&#10;lMGgE9UlC4xsnPqDqlPcgQcZjjh0BUipuEg1YDVV+aaah5ZZkWpBcbydZPL/j5bfbB/snUMZeuuX&#10;Hrexip10XfzH/MguibWfxBK7QDhenpycfq6OF5RwtFWz+WxRzhdRz+Lgb50PXwV0JG5q6vBzJJXY&#10;9tqHDB0hMZwHrZorpXU6xBYQF9qRLcOPF3bVQP4bSpuINRC9MmG8KQ7FpF3YaxFx2twLSVSD6c9S&#10;IqnPDkEY58KEKpta1ogce1Hib4w+ppUKTYSRWWL8iXsgGJGZZOTOWQ746CpSm07O5d8Sy86TR4oM&#10;JkzOnTLg3iPQWNUQOeNHkbI0UaVnaPZ3jjjIQ+Itv1L42a6ZD3fM4VTg/OCkh1tcpIa+pjDsKGnB&#10;/XzvPuKxWdFKSY9TVlP/Y8OcoER/M9jGp9V8HscyHeaL4xke3GvL82uL2XQXgL1Q4ZtiedpGfNDj&#10;VjronvBBWMeoaGKGY+ya8uDGw0XI049PChfrdYLhKFoWrs2D5ZE8qhrb8nH3xJwdejdg39/AOJFs&#10;+aaFMzZ6GlhvAkiV+vug66A3jnFqnOHJie/E63NCHR7G1S8AAAD//wMAUEsDBBQABgAIAAAAIQAj&#10;Uogr3gAAAAsBAAAPAAAAZHJzL2Rvd25yZXYueG1sTI9BT4NAEIXvJv6HzZh4axcKGkGWxhh7NSk2&#10;xuOWHYHAzhJ2ofjvnZ70Ni/v5c33iv1qB7Hg5DtHCuJtBAKpdqajRsHp47B5AuGDJqMHR6jgBz3s&#10;y9ubQufGXeiISxUawSXkc62gDWHMpfR1i1b7rRuR2Pt2k9WB5dRIM+kLl9tB7qLoUVrdEX9o9Yiv&#10;LdZ9NVsFzdfhbVn7Ft3RJ9Xcj9np/dModX+3vjyDCLiGvzBc8RkdSmY6u5mMFwPrlIMKNmnyAOLq&#10;p1GcgTjzlcXJDmRZyP8byl8AAAD//wMAUEsBAi0AFAAGAAgAAAAhALaDOJL+AAAA4QEAABMAAAAA&#10;AAAAAAAAAAAAAAAAAFtDb250ZW50X1R5cGVzXS54bWxQSwECLQAUAAYACAAAACEAOP0h/9YAAACU&#10;AQAACwAAAAAAAAAAAAAAAAAvAQAAX3JlbHMvLnJlbHNQSwECLQAUAAYACAAAACEAQkIOBX0CAABg&#10;BQAADgAAAAAAAAAAAAAAAAAuAgAAZHJzL2Uyb0RvYy54bWxQSwECLQAUAAYACAAAACEAI1KIK94A&#10;AAALAQAADwAAAAAAAAAAAAAAAADXBAAAZHJzL2Rvd25yZXYueG1sUEsFBgAAAAAEAAQA8wAAAOIF&#10;AAAAAA==&#10;" fillcolor="#1e1545 [3213]" stroked="f" strokeweight="2pt">
                <w10:wrap anchorx="page" anchory="page"/>
              </v:rect>
            </w:pict>
          </mc:Fallback>
        </mc:AlternateContent>
      </w:r>
      <w:bookmarkEnd w:id="95"/>
      <w:r w:rsidR="00892AA2">
        <w:t>10</w:t>
      </w:r>
    </w:p>
    <w:p w14:paraId="6E1AEC93" w14:textId="26D94D71" w:rsidR="008502E2" w:rsidRPr="005274C5" w:rsidRDefault="00463E63" w:rsidP="00F255A4">
      <w:pPr>
        <w:pStyle w:val="Titleforpagesbetweensections"/>
      </w:pPr>
      <w:r>
        <w:t>Annual Prudential Compliance Statement</w:t>
      </w:r>
      <w:bookmarkStart w:id="96" w:name="_Toc184198011"/>
      <w:bookmarkStart w:id="97" w:name="_Toc192694879"/>
      <w:r w:rsidR="008502E2" w:rsidRPr="005274C5">
        <w:br w:type="page"/>
      </w:r>
    </w:p>
    <w:p w14:paraId="413269A7" w14:textId="032EB1F2" w:rsidR="00F42346" w:rsidRPr="00EA55D0" w:rsidRDefault="00F42346" w:rsidP="00E22085">
      <w:pPr>
        <w:pStyle w:val="Heading1"/>
      </w:pPr>
      <w:bookmarkStart w:id="98" w:name="_Toc224723304"/>
      <w:r w:rsidRPr="00EA55D0">
        <w:t>Annual Prudential Compliance Statement</w:t>
      </w:r>
      <w:bookmarkEnd w:id="96"/>
      <w:bookmarkEnd w:id="97"/>
      <w:bookmarkEnd w:id="98"/>
    </w:p>
    <w:p w14:paraId="0D7CF119" w14:textId="1D8428A8" w:rsidR="00CB13E4" w:rsidRDefault="00CB13E4" w:rsidP="00CB13E4">
      <w:pPr>
        <w:rPr>
          <w:lang w:val="en-US"/>
        </w:rPr>
      </w:pPr>
      <w:r w:rsidRPr="2FFF64C0">
        <w:rPr>
          <w:lang w:val="en-US"/>
        </w:rPr>
        <w:t xml:space="preserve">Providers of residential aged care and MPS are required to complete the APCS component of the ACFR (Compliance with Prudential Standards, Compliance with Refundable Accommodation Payment Responsibilities, Permitted Uses for Accommodation Payments and Accommodation Payment Balances).  All APCSs and accompanying audit reports must be uploaded through the ACFR portal via </w:t>
      </w:r>
      <w:hyperlink r:id="rId47" w:history="1">
        <w:r w:rsidRPr="2FFF64C0">
          <w:rPr>
            <w:rStyle w:val="Hyperlink"/>
            <w:rFonts w:cs="Arial"/>
            <w:lang w:val="en-US"/>
          </w:rPr>
          <w:t>Forms Administration</w:t>
        </w:r>
      </w:hyperlink>
      <w:r w:rsidRPr="2FFF64C0">
        <w:rPr>
          <w:lang w:val="en-US"/>
        </w:rPr>
        <w:t xml:space="preserve">. If a provider </w:t>
      </w:r>
      <w:proofErr w:type="gramStart"/>
      <w:r w:rsidRPr="2FFF64C0">
        <w:rPr>
          <w:lang w:val="en-US"/>
        </w:rPr>
        <w:t>did</w:t>
      </w:r>
      <w:proofErr w:type="gramEnd"/>
      <w:r w:rsidRPr="2FFF64C0">
        <w:rPr>
          <w:lang w:val="en-US"/>
        </w:rPr>
        <w:t xml:space="preserve"> not hold bonds at any time during the year they are still required to complete the APCS.</w:t>
      </w:r>
    </w:p>
    <w:p w14:paraId="648E692D" w14:textId="316D419E" w:rsidR="00CA162D" w:rsidRPr="00271D9E" w:rsidRDefault="00CA162D" w:rsidP="00271D9E">
      <w:pPr>
        <w:pStyle w:val="Heading2"/>
      </w:pPr>
      <w:bookmarkStart w:id="99" w:name="_Toc488160250"/>
      <w:r w:rsidRPr="00271D9E">
        <w:t>Completing the APCS</w:t>
      </w:r>
      <w:bookmarkEnd w:id="99"/>
    </w:p>
    <w:p w14:paraId="26E55521" w14:textId="5860A6E2" w:rsidR="00E32D10" w:rsidRPr="00B35C39" w:rsidRDefault="00E32D10" w:rsidP="00E32D10">
      <w:pPr>
        <w:rPr>
          <w:lang w:val="en-US"/>
        </w:rPr>
      </w:pPr>
      <w:r w:rsidRPr="00B35C39">
        <w:rPr>
          <w:lang w:val="en-US"/>
        </w:rPr>
        <w:t xml:space="preserve">The </w:t>
      </w:r>
      <w:r w:rsidRPr="0005143F">
        <w:rPr>
          <w:i/>
          <w:iCs/>
          <w:lang w:val="en-US"/>
        </w:rPr>
        <w:t>Aged Care Act 1997</w:t>
      </w:r>
      <w:r w:rsidRPr="00B35C39">
        <w:rPr>
          <w:lang w:val="en-US"/>
        </w:rPr>
        <w:t xml:space="preserve"> and the </w:t>
      </w:r>
      <w:r w:rsidRPr="0005143F">
        <w:rPr>
          <w:i/>
          <w:iCs/>
          <w:lang w:val="en-US"/>
        </w:rPr>
        <w:t>Aged Care Act 2024</w:t>
      </w:r>
      <w:r w:rsidRPr="00B35C39">
        <w:rPr>
          <w:lang w:val="en-US"/>
        </w:rPr>
        <w:t xml:space="preserve"> along with their associated Principles and Rules, are relevant legislation for the 2025-26 reporting year.</w:t>
      </w:r>
    </w:p>
    <w:p w14:paraId="46FF9DD7" w14:textId="77777777" w:rsidR="00E32D10" w:rsidRPr="00B35C39" w:rsidRDefault="00E32D10" w:rsidP="00E32D10">
      <w:pPr>
        <w:rPr>
          <w:lang w:val="en-US"/>
        </w:rPr>
      </w:pPr>
      <w:r w:rsidRPr="00B35C39">
        <w:rPr>
          <w:lang w:val="en-US"/>
        </w:rPr>
        <w:t xml:space="preserve">Registered providers </w:t>
      </w:r>
      <w:r>
        <w:rPr>
          <w:lang w:val="en-US"/>
        </w:rPr>
        <w:t xml:space="preserve">(providers) </w:t>
      </w:r>
      <w:r w:rsidRPr="00B35C39">
        <w:rPr>
          <w:lang w:val="en-US"/>
        </w:rPr>
        <w:t>are required to report prudential information in accordance with the legislative framework that applied at the time the obligations were in force.</w:t>
      </w:r>
    </w:p>
    <w:p w14:paraId="57572C8D" w14:textId="77777777" w:rsidR="00E32D10" w:rsidRPr="00B35C39" w:rsidRDefault="00E32D10" w:rsidP="00E32D10">
      <w:pPr>
        <w:rPr>
          <w:lang w:val="en-US"/>
        </w:rPr>
      </w:pPr>
      <w:r w:rsidRPr="00B35C39">
        <w:rPr>
          <w:lang w:val="en-US"/>
        </w:rPr>
        <w:t>As the governing legislation changed part way through the reporting period, providers must report against the relevant prudential requirements for each applicable period as outlined below:</w:t>
      </w:r>
    </w:p>
    <w:p w14:paraId="46550932" w14:textId="77777777" w:rsidR="00E32D10" w:rsidRPr="00490B67" w:rsidRDefault="00E32D10" w:rsidP="00CD4BBC">
      <w:pPr>
        <w:numPr>
          <w:ilvl w:val="0"/>
          <w:numId w:val="16"/>
        </w:numPr>
      </w:pPr>
      <w:r w:rsidRPr="0005143F">
        <w:t xml:space="preserve">1 July 2025 to 31 October 2025 - the </w:t>
      </w:r>
      <w:r w:rsidRPr="0005143F">
        <w:rPr>
          <w:i/>
          <w:iCs/>
        </w:rPr>
        <w:t>Aged Care Act 1997</w:t>
      </w:r>
      <w:r w:rsidRPr="0005143F">
        <w:t xml:space="preserve"> and the </w:t>
      </w:r>
      <w:r w:rsidRPr="0005143F">
        <w:rPr>
          <w:i/>
          <w:iCs/>
        </w:rPr>
        <w:t xml:space="preserve">Fees and Payments Principles 2014 (No.2) </w:t>
      </w:r>
    </w:p>
    <w:p w14:paraId="474E9330" w14:textId="77777777" w:rsidR="00E32D10" w:rsidRPr="00490B67" w:rsidRDefault="00E32D10" w:rsidP="00CD4BBC">
      <w:pPr>
        <w:numPr>
          <w:ilvl w:val="0"/>
          <w:numId w:val="16"/>
        </w:numPr>
      </w:pPr>
      <w:r w:rsidRPr="0005143F">
        <w:t xml:space="preserve">1 November 2025 to 30 June 2026 - the </w:t>
      </w:r>
      <w:r w:rsidRPr="0005143F">
        <w:rPr>
          <w:i/>
          <w:iCs/>
        </w:rPr>
        <w:t>Aged Care Act 2024</w:t>
      </w:r>
      <w:r w:rsidRPr="0005143F">
        <w:t xml:space="preserve"> and the </w:t>
      </w:r>
      <w:r w:rsidRPr="0005143F">
        <w:rPr>
          <w:i/>
          <w:iCs/>
        </w:rPr>
        <w:t>Aged Care Rules 2025</w:t>
      </w:r>
    </w:p>
    <w:p w14:paraId="2C7171FA" w14:textId="6AB6FBBF" w:rsidR="00E32D10" w:rsidRPr="0005143F" w:rsidRDefault="00E32D10" w:rsidP="00CD4BBC">
      <w:pPr>
        <w:numPr>
          <w:ilvl w:val="0"/>
          <w:numId w:val="16"/>
        </w:numPr>
        <w:rPr>
          <w:i/>
          <w:iCs/>
        </w:rPr>
      </w:pPr>
      <w:r w:rsidRPr="0005143F">
        <w:t xml:space="preserve">1 November 2025 to 30 June 2026 – the </w:t>
      </w:r>
      <w:r w:rsidRPr="0005143F">
        <w:rPr>
          <w:i/>
          <w:iCs/>
        </w:rPr>
        <w:t>Aged Care Financial and Prudential Standards 2025</w:t>
      </w:r>
    </w:p>
    <w:p w14:paraId="5C66EFE9" w14:textId="35839961" w:rsidR="00B41A78" w:rsidRPr="00421487" w:rsidRDefault="00B41A78" w:rsidP="00B41A78">
      <w:pPr>
        <w:rPr>
          <w:lang w:val="en-US"/>
        </w:rPr>
      </w:pPr>
      <w:r w:rsidRPr="00421487">
        <w:rPr>
          <w:lang w:val="en-US"/>
        </w:rPr>
        <w:t xml:space="preserve">A detailed user-guide to help complete the APCS is available </w:t>
      </w:r>
      <w:r w:rsidR="00416C32">
        <w:rPr>
          <w:lang w:val="en-US"/>
        </w:rPr>
        <w:t>on</w:t>
      </w:r>
      <w:r w:rsidRPr="00421487">
        <w:rPr>
          <w:lang w:val="en-US"/>
        </w:rPr>
        <w:t xml:space="preserve"> the</w:t>
      </w:r>
      <w:r w:rsidR="00416C32">
        <w:rPr>
          <w:lang w:val="en-US"/>
        </w:rPr>
        <w:t xml:space="preserve"> </w:t>
      </w:r>
      <w:hyperlink r:id="rId48" w:history="1">
        <w:r w:rsidR="00416C32">
          <w:rPr>
            <w:color w:val="2AB1BB" w:themeColor="hyperlink"/>
            <w:u w:val="single"/>
          </w:rPr>
          <w:t>ACFR resource page</w:t>
        </w:r>
      </w:hyperlink>
      <w:r w:rsidRPr="00421487">
        <w:rPr>
          <w:lang w:val="en-US"/>
        </w:rPr>
        <w:t xml:space="preserve"> and is intended to be a general guide only and does not constitute legal advice. In cases of discrepancy between the guide and the legislation, the Act and the Fees and Payments Principles are the source documents setting out provider responsibilities. </w:t>
      </w:r>
    </w:p>
    <w:p w14:paraId="740EB3BB" w14:textId="77777777" w:rsidR="00B41A78" w:rsidRPr="00421487" w:rsidRDefault="00B41A78" w:rsidP="00B41A78">
      <w:pPr>
        <w:rPr>
          <w:lang w:val="en-US"/>
        </w:rPr>
      </w:pPr>
      <w:r w:rsidRPr="00421487">
        <w:rPr>
          <w:lang w:val="en-US"/>
        </w:rPr>
        <w:t xml:space="preserve">A provider may be asked at any time to demonstrate its compliance as reported in the APCS. </w:t>
      </w:r>
    </w:p>
    <w:p w14:paraId="7394876A" w14:textId="477B26CA" w:rsidR="0029432B" w:rsidRPr="00271D9E" w:rsidRDefault="0029432B" w:rsidP="00271D9E">
      <w:pPr>
        <w:pStyle w:val="Heading2"/>
      </w:pPr>
      <w:bookmarkStart w:id="100" w:name="_Toc488160251"/>
      <w:r w:rsidRPr="00271D9E">
        <w:t xml:space="preserve">Compliance </w:t>
      </w:r>
      <w:bookmarkEnd w:id="100"/>
      <w:r w:rsidRPr="00271D9E">
        <w:t>audit</w:t>
      </w:r>
    </w:p>
    <w:p w14:paraId="241BE505" w14:textId="7EAFCE33" w:rsidR="0029432B" w:rsidRPr="0029432B" w:rsidRDefault="0029432B" w:rsidP="0029432B">
      <w:pPr>
        <w:rPr>
          <w:rFonts w:cs="Arial"/>
          <w:color w:val="2AB1BB" w:themeColor="hyperlink"/>
          <w:u w:val="single"/>
        </w:rPr>
      </w:pPr>
      <w:r w:rsidRPr="0029432B">
        <w:rPr>
          <w:lang w:val="en-US"/>
        </w:rPr>
        <w:t xml:space="preserve">Providers must have their APCS audited and upload a Compliance Audit Certificate to the ACFR portal before </w:t>
      </w:r>
      <w:proofErr w:type="spellStart"/>
      <w:r w:rsidRPr="0029432B">
        <w:rPr>
          <w:lang w:val="en-US"/>
        </w:rPr>
        <w:t>finalising</w:t>
      </w:r>
      <w:proofErr w:type="spellEnd"/>
      <w:r w:rsidRPr="0029432B">
        <w:rPr>
          <w:lang w:val="en-US"/>
        </w:rPr>
        <w:t xml:space="preserve"> their submission. Providers can print a copy of their ACFR to show their auditor before completing and attaching a copy of their report. The auditor can keep a copy of the APCS and their audit opinion for their own records. Audit guides are available</w:t>
      </w:r>
      <w:r w:rsidRPr="0029432B">
        <w:t xml:space="preserve"> on the </w:t>
      </w:r>
      <w:hyperlink r:id="rId49" w:history="1">
        <w:r w:rsidR="00AF6900">
          <w:rPr>
            <w:color w:val="2AB1BB" w:themeColor="hyperlink"/>
            <w:u w:val="single"/>
          </w:rPr>
          <w:t>ACFR resource page</w:t>
        </w:r>
      </w:hyperlink>
      <w:r w:rsidRPr="0029432B">
        <w:rPr>
          <w:lang w:val="en-US"/>
        </w:rPr>
        <w:t xml:space="preserve">.  </w:t>
      </w:r>
    </w:p>
    <w:p w14:paraId="5D2DBFDD" w14:textId="77777777" w:rsidR="0029432B" w:rsidRDefault="0029432B" w:rsidP="0029432B">
      <w:pPr>
        <w:rPr>
          <w:lang w:val="en-US"/>
        </w:rPr>
      </w:pPr>
      <w:r w:rsidRPr="0029432B">
        <w:rPr>
          <w:lang w:val="en-US"/>
        </w:rPr>
        <w:t>Please ensure the auditor has read the instructions and completed their audit accordingly. The compliance audit is separate from the GPFS financial audit and one audit report that covers both the prudential compliance and the GPFS is not acceptable.</w:t>
      </w:r>
    </w:p>
    <w:p w14:paraId="7B228A6C" w14:textId="5A8BDC70" w:rsidR="002055C4" w:rsidRPr="00271D9E" w:rsidRDefault="002055C4" w:rsidP="00271D9E">
      <w:pPr>
        <w:pStyle w:val="Heading2"/>
      </w:pPr>
      <w:bookmarkStart w:id="101" w:name="_Toc488160253"/>
      <w:r w:rsidRPr="00271D9E">
        <w:t>Compliance with prudential standards</w:t>
      </w:r>
      <w:r w:rsidR="005A64F1" w:rsidRPr="00271D9E">
        <w:t xml:space="preserve"> </w:t>
      </w:r>
      <w:r w:rsidR="009A11E9" w:rsidRPr="00271D9E">
        <w:t xml:space="preserve">and related Rules </w:t>
      </w:r>
      <w:r w:rsidR="00F73292" w:rsidRPr="00271D9E">
        <w:t>questions</w:t>
      </w:r>
      <w:r w:rsidR="009A43B6" w:rsidRPr="00271D9E">
        <w:t xml:space="preserve"> and the financial and prudential standards </w:t>
      </w:r>
      <w:r w:rsidRPr="00271D9E">
        <w:t>questions</w:t>
      </w:r>
      <w:bookmarkEnd w:id="101"/>
    </w:p>
    <w:p w14:paraId="77254C90" w14:textId="7A9E1F27" w:rsidR="002055C4" w:rsidRDefault="002055C4" w:rsidP="002055C4">
      <w:pPr>
        <w:rPr>
          <w:rFonts w:eastAsiaTheme="majorEastAsia"/>
          <w:lang w:val="en-US"/>
        </w:rPr>
      </w:pPr>
      <w:r>
        <w:rPr>
          <w:rFonts w:eastAsiaTheme="majorEastAsia"/>
          <w:lang w:val="en-US"/>
        </w:rPr>
        <w:t>The following information is required to ensure compliance with prudential standards</w:t>
      </w:r>
      <w:r w:rsidR="00E03931">
        <w:rPr>
          <w:rFonts w:eastAsiaTheme="majorEastAsia"/>
          <w:lang w:val="en-US"/>
        </w:rPr>
        <w:t xml:space="preserve"> and related Rules </w:t>
      </w:r>
      <w:r w:rsidR="00072875">
        <w:rPr>
          <w:rFonts w:eastAsiaTheme="majorEastAsia"/>
          <w:lang w:val="en-US"/>
        </w:rPr>
        <w:t xml:space="preserve">and </w:t>
      </w:r>
      <w:r w:rsidR="00072875">
        <w:t>the financial and prudential standards</w:t>
      </w:r>
      <w:r w:rsidR="00072875">
        <w:rPr>
          <w:rFonts w:eastAsiaTheme="majorEastAsia"/>
          <w:lang w:val="en-US"/>
        </w:rPr>
        <w:t xml:space="preserve"> </w:t>
      </w:r>
      <w:r>
        <w:rPr>
          <w:rFonts w:eastAsiaTheme="majorEastAsia"/>
          <w:lang w:val="en-US"/>
        </w:rPr>
        <w:t>questions:</w:t>
      </w:r>
    </w:p>
    <w:p w14:paraId="6CF72FEA" w14:textId="77777777" w:rsidR="002055C4" w:rsidRPr="00B43D6F" w:rsidRDefault="002055C4" w:rsidP="005274C5">
      <w:pPr>
        <w:pStyle w:val="ListBullet"/>
      </w:pPr>
      <w:r w:rsidRPr="00B43D6F">
        <w:t>bonds held</w:t>
      </w:r>
    </w:p>
    <w:p w14:paraId="61F60ABC" w14:textId="77777777" w:rsidR="002055C4" w:rsidRPr="00B43D6F" w:rsidRDefault="002055C4" w:rsidP="005274C5">
      <w:pPr>
        <w:pStyle w:val="ListBullet"/>
      </w:pPr>
      <w:r w:rsidRPr="00B43D6F">
        <w:t>total value of refundable deposits and bond payments received in the year</w:t>
      </w:r>
    </w:p>
    <w:p w14:paraId="3706A956" w14:textId="77777777" w:rsidR="002055C4" w:rsidRPr="00B43D6F" w:rsidRDefault="002055C4" w:rsidP="005274C5">
      <w:pPr>
        <w:pStyle w:val="ListBullet"/>
      </w:pPr>
      <w:r w:rsidRPr="00B43D6F">
        <w:t>total amount deducted from balances in the year</w:t>
      </w:r>
    </w:p>
    <w:p w14:paraId="159B1652" w14:textId="174F84D7" w:rsidR="002055C4" w:rsidRPr="00B43D6F" w:rsidRDefault="002055C4" w:rsidP="005274C5">
      <w:pPr>
        <w:pStyle w:val="ListBullet"/>
      </w:pPr>
      <w:r w:rsidRPr="00B43D6F">
        <w:t>compliance with the prudential standards</w:t>
      </w:r>
      <w:r w:rsidR="00E03931">
        <w:t xml:space="preserve"> and related Rules</w:t>
      </w:r>
    </w:p>
    <w:p w14:paraId="79B4059A" w14:textId="77777777" w:rsidR="002055C4" w:rsidRPr="00B43D6F" w:rsidRDefault="002055C4" w:rsidP="005274C5">
      <w:pPr>
        <w:pStyle w:val="ListBullet2"/>
      </w:pPr>
      <w:r w:rsidRPr="00B43D6F">
        <w:t>liquidity standard</w:t>
      </w:r>
    </w:p>
    <w:p w14:paraId="0A47DF88" w14:textId="77777777" w:rsidR="002055C4" w:rsidRPr="00B43D6F" w:rsidRDefault="002055C4" w:rsidP="005274C5">
      <w:pPr>
        <w:pStyle w:val="ListBullet2"/>
      </w:pPr>
      <w:r w:rsidRPr="00B43D6F">
        <w:t>records standard</w:t>
      </w:r>
    </w:p>
    <w:p w14:paraId="02571E2E" w14:textId="77777777" w:rsidR="002055C4" w:rsidRPr="00B43D6F" w:rsidRDefault="002055C4" w:rsidP="005274C5">
      <w:pPr>
        <w:pStyle w:val="ListBullet2"/>
      </w:pPr>
      <w:r w:rsidRPr="00B43D6F">
        <w:t>governance standard</w:t>
      </w:r>
    </w:p>
    <w:p w14:paraId="632D7FE9" w14:textId="77777777" w:rsidR="002055C4" w:rsidRPr="00B43D6F" w:rsidRDefault="002055C4" w:rsidP="005274C5">
      <w:pPr>
        <w:pStyle w:val="ListBullet2"/>
      </w:pPr>
      <w:r w:rsidRPr="00B43D6F">
        <w:t>disclosure standard</w:t>
      </w:r>
    </w:p>
    <w:p w14:paraId="64F45BD2" w14:textId="76502E95" w:rsidR="008A147C" w:rsidRPr="00B43D6F" w:rsidRDefault="008A147C" w:rsidP="005274C5">
      <w:pPr>
        <w:pStyle w:val="ListBullet"/>
      </w:pPr>
      <w:r w:rsidRPr="00B43D6F">
        <w:t>compliance with the financial and prudential standards</w:t>
      </w:r>
    </w:p>
    <w:p w14:paraId="0D737630" w14:textId="77777777" w:rsidR="008A147C" w:rsidRPr="00B43D6F" w:rsidRDefault="008A147C" w:rsidP="005274C5">
      <w:pPr>
        <w:pStyle w:val="ListBullet2"/>
      </w:pPr>
      <w:r w:rsidRPr="00B43D6F">
        <w:t>liquidity standard</w:t>
      </w:r>
    </w:p>
    <w:p w14:paraId="2189BC52" w14:textId="4A30D3FA" w:rsidR="008A147C" w:rsidRPr="00B43D6F" w:rsidRDefault="00FB7996" w:rsidP="005274C5">
      <w:pPr>
        <w:pStyle w:val="ListBullet2"/>
      </w:pPr>
      <w:r w:rsidRPr="00B43D6F">
        <w:t>financial and prudential management standard</w:t>
      </w:r>
    </w:p>
    <w:p w14:paraId="3C0A6810" w14:textId="321D9EC2" w:rsidR="008A147C" w:rsidRPr="00B43D6F" w:rsidRDefault="00FB7996" w:rsidP="005274C5">
      <w:pPr>
        <w:pStyle w:val="ListBullet2"/>
      </w:pPr>
      <w:r w:rsidRPr="00B43D6F">
        <w:t>investment</w:t>
      </w:r>
      <w:r w:rsidR="008A147C" w:rsidRPr="00B43D6F">
        <w:t xml:space="preserve"> standard</w:t>
      </w:r>
    </w:p>
    <w:p w14:paraId="6390E623" w14:textId="42949259" w:rsidR="002055C4" w:rsidRPr="00271D9E" w:rsidRDefault="002055C4" w:rsidP="00271D9E">
      <w:pPr>
        <w:pStyle w:val="Heading2"/>
      </w:pPr>
      <w:r w:rsidRPr="00271D9E">
        <w:t xml:space="preserve">Compliance with refundable </w:t>
      </w:r>
      <w:r w:rsidR="00F13263" w:rsidRPr="00271D9E">
        <w:t xml:space="preserve">deposits </w:t>
      </w:r>
      <w:r w:rsidR="000C13ED" w:rsidRPr="00271D9E">
        <w:t xml:space="preserve">and </w:t>
      </w:r>
      <w:r w:rsidRPr="00271D9E">
        <w:t>accommodation payments</w:t>
      </w:r>
    </w:p>
    <w:p w14:paraId="48D9AB0D" w14:textId="6A018A16" w:rsidR="002055C4" w:rsidRDefault="002055C4" w:rsidP="002055C4">
      <w:pPr>
        <w:rPr>
          <w:rFonts w:eastAsiaTheme="majorEastAsia"/>
          <w:lang w:val="en-US"/>
        </w:rPr>
      </w:pPr>
      <w:r>
        <w:rPr>
          <w:rFonts w:eastAsiaTheme="majorEastAsia"/>
          <w:lang w:val="en-US"/>
        </w:rPr>
        <w:t xml:space="preserve">The following information is required to ensure compliance with refundable </w:t>
      </w:r>
      <w:r w:rsidR="009F4C60">
        <w:rPr>
          <w:rFonts w:eastAsiaTheme="majorEastAsia"/>
          <w:lang w:val="en-US"/>
        </w:rPr>
        <w:t xml:space="preserve">deposits and </w:t>
      </w:r>
      <w:r>
        <w:rPr>
          <w:rFonts w:eastAsiaTheme="majorEastAsia"/>
          <w:lang w:val="en-US"/>
        </w:rPr>
        <w:t>accommodation payments:</w:t>
      </w:r>
    </w:p>
    <w:p w14:paraId="6183DF7F" w14:textId="77777777" w:rsidR="002055C4" w:rsidRPr="00B43D6F" w:rsidRDefault="002055C4" w:rsidP="005274C5">
      <w:pPr>
        <w:pStyle w:val="ListBullet"/>
      </w:pPr>
      <w:r w:rsidRPr="00B43D6F">
        <w:t xml:space="preserve">limits on charging refundable deposits or bonds </w:t>
      </w:r>
    </w:p>
    <w:p w14:paraId="1B21F9CF" w14:textId="77777777" w:rsidR="002055C4" w:rsidRPr="00B43D6F" w:rsidRDefault="002055C4" w:rsidP="005274C5">
      <w:pPr>
        <w:pStyle w:val="ListBullet"/>
      </w:pPr>
      <w:r w:rsidRPr="00B43D6F">
        <w:t>compliance with rules around charging bonds</w:t>
      </w:r>
    </w:p>
    <w:p w14:paraId="0179388B" w14:textId="77777777" w:rsidR="002055C4" w:rsidRPr="00B43D6F" w:rsidRDefault="002055C4" w:rsidP="005274C5">
      <w:pPr>
        <w:pStyle w:val="ListBullet"/>
      </w:pPr>
      <w:r w:rsidRPr="00B43D6F">
        <w:t xml:space="preserve">compliance with rules around charging accommodation payments </w:t>
      </w:r>
    </w:p>
    <w:p w14:paraId="227AE4C5" w14:textId="77777777" w:rsidR="002055C4" w:rsidRPr="00B43D6F" w:rsidRDefault="002055C4" w:rsidP="005274C5">
      <w:pPr>
        <w:pStyle w:val="ListBullet"/>
      </w:pPr>
      <w:r w:rsidRPr="00B43D6F">
        <w:t>compliance with refunding responsibilities</w:t>
      </w:r>
    </w:p>
    <w:p w14:paraId="5FA71CDA" w14:textId="58BF3C1E" w:rsidR="002055C4" w:rsidRPr="00271D9E" w:rsidRDefault="002055C4" w:rsidP="00271D9E">
      <w:pPr>
        <w:pStyle w:val="Heading2"/>
      </w:pPr>
      <w:bookmarkStart w:id="102" w:name="_Toc488160254"/>
      <w:r w:rsidRPr="00271D9E">
        <w:t>Compliance with the provision of other care and service fees</w:t>
      </w:r>
      <w:r w:rsidR="00F74410" w:rsidRPr="00271D9E">
        <w:t xml:space="preserve"> and fees </w:t>
      </w:r>
      <w:r w:rsidR="0002270E" w:rsidRPr="00271D9E">
        <w:t>f</w:t>
      </w:r>
      <w:r w:rsidR="00F74410" w:rsidRPr="00271D9E">
        <w:t>or higher everyday living</w:t>
      </w:r>
      <w:r w:rsidRPr="00271D9E">
        <w:t xml:space="preserve"> </w:t>
      </w:r>
    </w:p>
    <w:p w14:paraId="290AC0E2" w14:textId="6D94A3B9" w:rsidR="002055C4" w:rsidRDefault="002055C4" w:rsidP="002055C4">
      <w:pPr>
        <w:rPr>
          <w:rFonts w:eastAsiaTheme="majorEastAsia"/>
          <w:lang w:val="en-US"/>
        </w:rPr>
      </w:pPr>
      <w:r>
        <w:rPr>
          <w:rFonts w:eastAsiaTheme="majorEastAsia"/>
          <w:lang w:val="en-US"/>
        </w:rPr>
        <w:t xml:space="preserve">The following information is required to ensure </w:t>
      </w:r>
      <w:r w:rsidR="001858AF">
        <w:rPr>
          <w:rFonts w:eastAsiaTheme="majorEastAsia"/>
          <w:lang w:val="en-US"/>
        </w:rPr>
        <w:t>compliance with</w:t>
      </w:r>
      <w:r>
        <w:rPr>
          <w:rFonts w:eastAsiaTheme="majorEastAsia"/>
          <w:lang w:val="en-US"/>
        </w:rPr>
        <w:t xml:space="preserve"> the provision of other care and service fees:</w:t>
      </w:r>
    </w:p>
    <w:p w14:paraId="1C966CA1" w14:textId="77777777" w:rsidR="002055C4" w:rsidRPr="00B43D6F" w:rsidRDefault="002055C4" w:rsidP="005274C5">
      <w:pPr>
        <w:pStyle w:val="ListBullet"/>
      </w:pPr>
      <w:r w:rsidRPr="00B43D6F">
        <w:t>compliance with other care and service fee charging responsibilities</w:t>
      </w:r>
    </w:p>
    <w:p w14:paraId="51D21DC0" w14:textId="3B72384B" w:rsidR="002055C4" w:rsidRPr="00271D9E" w:rsidRDefault="002055C4" w:rsidP="00271D9E">
      <w:pPr>
        <w:pStyle w:val="Heading2"/>
      </w:pPr>
      <w:r w:rsidRPr="00271D9E">
        <w:t>Compliance with refunding responsibilities</w:t>
      </w:r>
    </w:p>
    <w:p w14:paraId="04CC309C" w14:textId="77777777" w:rsidR="002055C4" w:rsidRDefault="002055C4" w:rsidP="002055C4">
      <w:pPr>
        <w:rPr>
          <w:rFonts w:eastAsiaTheme="majorEastAsia"/>
          <w:lang w:val="en-US"/>
        </w:rPr>
      </w:pPr>
      <w:r>
        <w:rPr>
          <w:rFonts w:eastAsiaTheme="majorEastAsia"/>
          <w:lang w:val="en-US"/>
        </w:rPr>
        <w:t>The following information is required to ensure compliance with refunding responsibilities:</w:t>
      </w:r>
    </w:p>
    <w:p w14:paraId="28718CB1" w14:textId="77777777" w:rsidR="002055C4" w:rsidRPr="00B43D6F" w:rsidRDefault="002055C4" w:rsidP="005274C5">
      <w:pPr>
        <w:pStyle w:val="ListBullet"/>
      </w:pPr>
      <w:r w:rsidRPr="00B43D6F">
        <w:t>refund of refundable lump sum balances</w:t>
      </w:r>
    </w:p>
    <w:p w14:paraId="272F28BC" w14:textId="77777777" w:rsidR="002055C4" w:rsidRPr="00B43D6F" w:rsidRDefault="002055C4" w:rsidP="005274C5">
      <w:pPr>
        <w:pStyle w:val="ListBullet"/>
      </w:pPr>
      <w:r w:rsidRPr="00B43D6F">
        <w:t>refund of entry contribution balances</w:t>
      </w:r>
    </w:p>
    <w:bookmarkEnd w:id="102"/>
    <w:p w14:paraId="573A843F" w14:textId="1D2DC8D4" w:rsidR="002055C4" w:rsidRPr="00271D9E" w:rsidRDefault="002055C4" w:rsidP="00271D9E">
      <w:pPr>
        <w:pStyle w:val="Heading2"/>
      </w:pPr>
      <w:r w:rsidRPr="00271D9E">
        <w:t>Compliance with refundable accommodation payment responsibilities</w:t>
      </w:r>
    </w:p>
    <w:p w14:paraId="7AF03774" w14:textId="77777777" w:rsidR="002055C4" w:rsidRDefault="002055C4" w:rsidP="002055C4">
      <w:pPr>
        <w:rPr>
          <w:rFonts w:eastAsiaTheme="majorEastAsia"/>
          <w:lang w:val="en-US"/>
        </w:rPr>
      </w:pPr>
      <w:r>
        <w:rPr>
          <w:rFonts w:eastAsiaTheme="majorEastAsia"/>
          <w:lang w:val="en-US"/>
        </w:rPr>
        <w:t>The following information is required to ensure compliance with refundable accommodation payment responsibilities:</w:t>
      </w:r>
    </w:p>
    <w:p w14:paraId="6C8C63C9" w14:textId="77777777" w:rsidR="002055C4" w:rsidRPr="00B43D6F" w:rsidRDefault="002055C4" w:rsidP="005274C5">
      <w:pPr>
        <w:pStyle w:val="ListBullet"/>
      </w:pPr>
      <w:r w:rsidRPr="00B43D6F">
        <w:t>total number of refundable deposit and bond balances held</w:t>
      </w:r>
    </w:p>
    <w:p w14:paraId="60DCFF98" w14:textId="77777777" w:rsidR="002055C4" w:rsidRPr="00B43D6F" w:rsidRDefault="002055C4" w:rsidP="005274C5">
      <w:pPr>
        <w:pStyle w:val="ListBullet"/>
      </w:pPr>
      <w:r w:rsidRPr="00B43D6F">
        <w:t>total value ($) of refundable deposit and bond balances held</w:t>
      </w:r>
    </w:p>
    <w:p w14:paraId="19464183" w14:textId="77777777" w:rsidR="002055C4" w:rsidRPr="00B43D6F" w:rsidRDefault="002055C4" w:rsidP="005274C5">
      <w:pPr>
        <w:pStyle w:val="ListBullet"/>
      </w:pPr>
      <w:r w:rsidRPr="00B43D6F">
        <w:t>total number of entry contribution (pre 1997) balances held</w:t>
      </w:r>
    </w:p>
    <w:p w14:paraId="374C0985" w14:textId="77777777" w:rsidR="002055C4" w:rsidRPr="00B43D6F" w:rsidRDefault="002055C4" w:rsidP="005274C5">
      <w:pPr>
        <w:pStyle w:val="ListBullet"/>
      </w:pPr>
      <w:r w:rsidRPr="00B43D6F">
        <w:t>total value ($) of entry contribution (pre 1997) balances held</w:t>
      </w:r>
    </w:p>
    <w:p w14:paraId="7B15FF5E" w14:textId="007E225E" w:rsidR="002055C4" w:rsidRPr="00271D9E" w:rsidRDefault="002055C4" w:rsidP="00271D9E">
      <w:pPr>
        <w:pStyle w:val="Heading2"/>
      </w:pPr>
      <w:bookmarkStart w:id="103" w:name="_Toc488160255"/>
      <w:r w:rsidRPr="00271D9E">
        <w:t xml:space="preserve">Compliance with permitted uses for </w:t>
      </w:r>
      <w:bookmarkEnd w:id="103"/>
      <w:r w:rsidRPr="00271D9E">
        <w:t>accommodation payments</w:t>
      </w:r>
    </w:p>
    <w:p w14:paraId="15F2A101" w14:textId="2D9DE683" w:rsidR="002055C4" w:rsidRDefault="002055C4" w:rsidP="002055C4">
      <w:pPr>
        <w:rPr>
          <w:rFonts w:eastAsiaTheme="majorEastAsia"/>
          <w:lang w:val="en-US"/>
        </w:rPr>
      </w:pPr>
      <w:r>
        <w:rPr>
          <w:rFonts w:eastAsiaTheme="majorEastAsia"/>
          <w:lang w:val="en-US"/>
        </w:rPr>
        <w:t>The following information is required to ensure compliance with permitted use</w:t>
      </w:r>
      <w:r w:rsidR="00E64AA7">
        <w:rPr>
          <w:rFonts w:eastAsiaTheme="majorEastAsia"/>
          <w:lang w:val="en-US"/>
        </w:rPr>
        <w:t>s</w:t>
      </w:r>
      <w:r>
        <w:rPr>
          <w:rFonts w:eastAsiaTheme="majorEastAsia"/>
          <w:lang w:val="en-US"/>
        </w:rPr>
        <w:t xml:space="preserve"> for accommodation payments:</w:t>
      </w:r>
    </w:p>
    <w:p w14:paraId="18174D8D" w14:textId="77777777" w:rsidR="002055C4" w:rsidRPr="00B43D6F" w:rsidRDefault="002055C4" w:rsidP="005274C5">
      <w:pPr>
        <w:pStyle w:val="ListBullet"/>
      </w:pPr>
      <w:r w:rsidRPr="00B43D6F">
        <w:t>Tick relevant boxes indicating which of the permitted uses listed that were expended refundable deposits, accommodation bonds or entry contributions on for this year.</w:t>
      </w:r>
    </w:p>
    <w:p w14:paraId="5106D7D0" w14:textId="77777777" w:rsidR="002055C4" w:rsidRPr="00B43D6F" w:rsidRDefault="002055C4" w:rsidP="005274C5">
      <w:pPr>
        <w:pStyle w:val="ListBullet"/>
      </w:pPr>
      <w:r w:rsidRPr="00B43D6F">
        <w:t>Provide value ($) of expenditure during the financial year on uses for which refundable deposits, bonds or entry contributions would be permitted from any funding source. This is designed to capture all expenditure on anything allowable as a permitted use and is the only place in the APCS where the questions are not based purely on refundable deposits or bonds.</w:t>
      </w:r>
    </w:p>
    <w:p w14:paraId="0E922C3E" w14:textId="48DCBDC6" w:rsidR="002055C4" w:rsidRPr="00B43D6F" w:rsidRDefault="002055C4" w:rsidP="005274C5">
      <w:pPr>
        <w:pStyle w:val="ListBullet"/>
      </w:pPr>
      <w:r w:rsidRPr="00B43D6F">
        <w:t xml:space="preserve">Providers are required to report expenditure from all sources of funding. The information is about expenditure on uses for which refundable accommodation payments are permitted by the </w:t>
      </w:r>
      <w:r w:rsidR="00D373B1" w:rsidRPr="00B43D6F">
        <w:t>Aged Care Act 1997 and the Aged Care Act 2024</w:t>
      </w:r>
      <w:r w:rsidRPr="00B43D6F">
        <w:t>. Providers are not expected to reconcile their refundable accommodation payment income against their permitted use expenditure.</w:t>
      </w:r>
    </w:p>
    <w:p w14:paraId="3736C33D" w14:textId="3FE216F8" w:rsidR="00140758" w:rsidRPr="00271D9E" w:rsidRDefault="00140758" w:rsidP="00271D9E">
      <w:pPr>
        <w:pStyle w:val="Heading2"/>
      </w:pPr>
      <w:r w:rsidRPr="00271D9E">
        <w:t>Annual Prudential Compliance Statement FAQs</w:t>
      </w:r>
    </w:p>
    <w:p w14:paraId="4AECDBD1" w14:textId="25D6D32B" w:rsidR="00140758" w:rsidRPr="00B43D6F" w:rsidRDefault="00140758" w:rsidP="00B43D6F">
      <w:pPr>
        <w:pStyle w:val="Heading3"/>
      </w:pPr>
      <w:r w:rsidRPr="00B43D6F">
        <w:t>RAD interest considered a permitted use in the APCS? Is the requirement to include this as cash outflow into RAD balances?</w:t>
      </w:r>
    </w:p>
    <w:p w14:paraId="7BB9C6E6" w14:textId="77777777" w:rsidR="00140758" w:rsidRDefault="00140758" w:rsidP="00140758">
      <w:pPr>
        <w:rPr>
          <w:rFonts w:eastAsiaTheme="majorEastAsia"/>
          <w:lang w:val="en-US"/>
        </w:rPr>
      </w:pPr>
      <w:r>
        <w:rPr>
          <w:rFonts w:eastAsiaTheme="majorEastAsia"/>
          <w:lang w:val="en-US"/>
        </w:rPr>
        <w:t xml:space="preserve">If at any time </w:t>
      </w:r>
      <w:proofErr w:type="gramStart"/>
      <w:r>
        <w:rPr>
          <w:rFonts w:eastAsiaTheme="majorEastAsia"/>
          <w:lang w:val="en-US"/>
        </w:rPr>
        <w:t>through</w:t>
      </w:r>
      <w:proofErr w:type="gramEnd"/>
      <w:r>
        <w:rPr>
          <w:rFonts w:eastAsiaTheme="majorEastAsia"/>
          <w:lang w:val="en-US"/>
        </w:rPr>
        <w:t xml:space="preserve"> the year an entity refunded a RAD balance or entry contribution balance, they are required to report the total value of the refundable accommodation payment balances and or entry contributions balances that were refunded. </w:t>
      </w:r>
    </w:p>
    <w:p w14:paraId="21106DED" w14:textId="77777777" w:rsidR="00140758" w:rsidRDefault="00140758" w:rsidP="00140758">
      <w:pPr>
        <w:rPr>
          <w:rFonts w:eastAsiaTheme="majorEastAsia"/>
          <w:lang w:val="en-US"/>
        </w:rPr>
      </w:pPr>
      <w:r>
        <w:rPr>
          <w:rFonts w:eastAsiaTheme="majorEastAsia"/>
          <w:lang w:val="en-US"/>
        </w:rPr>
        <w:t>Do not include any base or maximum permissible interest that was owed to the residents at the time of refund (balances only are reported).</w:t>
      </w:r>
    </w:p>
    <w:p w14:paraId="6424C4C2" w14:textId="77777777" w:rsidR="00517873" w:rsidRPr="005274C5" w:rsidRDefault="00517873" w:rsidP="005274C5">
      <w:bookmarkStart w:id="104" w:name="_Toc205730284"/>
      <w:bookmarkStart w:id="105" w:name="_Toc488160257"/>
      <w:r w:rsidRPr="005274C5">
        <w:br w:type="page"/>
      </w:r>
    </w:p>
    <w:p w14:paraId="015D6996" w14:textId="40CFE0ED" w:rsidR="005D08E6" w:rsidRPr="00EA55D0" w:rsidRDefault="00F255A4" w:rsidP="00F255A4">
      <w:pPr>
        <w:pStyle w:val="Chapternumbers"/>
      </w:pPr>
      <w:bookmarkStart w:id="106" w:name="_Toc224723305"/>
      <w:r w:rsidRPr="00EA55D0">
        <w:rPr>
          <w:noProof/>
        </w:rPr>
        <mc:AlternateContent>
          <mc:Choice Requires="wps">
            <w:drawing>
              <wp:anchor distT="0" distB="0" distL="114300" distR="114300" simplePos="0" relativeHeight="251658255" behindDoc="1" locked="0" layoutInCell="1" allowOverlap="1" wp14:anchorId="1EA9FE5A" wp14:editId="1A79F081">
                <wp:simplePos x="0" y="0"/>
                <wp:positionH relativeFrom="page">
                  <wp:align>left</wp:align>
                </wp:positionH>
                <wp:positionV relativeFrom="page">
                  <wp:posOffset>-360736</wp:posOffset>
                </wp:positionV>
                <wp:extent cx="8721725" cy="12539345"/>
                <wp:effectExtent l="0" t="0" r="3175" b="0"/>
                <wp:wrapNone/>
                <wp:docPr id="1828698957" name="Rectangle 18286989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721725" cy="1253934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9E6611" id="Rectangle 1828698957" o:spid="_x0000_s1026" alt="&quot;&quot;" style="position:absolute;margin-left:0;margin-top:-28.4pt;width:686.75pt;height:987.35pt;z-index:-251658225;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a3fQIAAGAFAAAOAAAAZHJzL2Uyb0RvYy54bWysVFFP2zAQfp+0/2D5faQJ7YCKFFUgpkkI&#10;0GDi2Tg2seT4PNtt2v36ne0kZQztYVofXNv33Xd3X+58frHrNNkK5xWYmpZHM0qE4dAo81LT74/X&#10;n04p8YGZhmkwoqZ74enF6uOH894uRQUt6EY4giTGL3tb0zYEuywKz1vRMX8EVhg0SnAdC3h0L0Xj&#10;WI/snS6q2exz0YNrrAMuvMfbq2ykq8QvpeDhTkovAtE1xdxCWl1an+NarM7Z8sUx2yo+pMH+IYuO&#10;KYNBJ6orFhjZOPUHVae4Aw8yHHHoCpBScZFqwGrK2ZtqHlpmRaoFxfF2ksn/P1p+u32w9w5l6K1f&#10;etzGKnbSdfEf8yO7JNZ+EkvsAuF4eXpSlSfVghKOtrJaHJ8dzxdRz+Lgb50PXwR0JG5q6vBzJJXY&#10;9saHDB0hMZwHrZprpXU6xBYQl9qRLcOPF3blQP4bSpuINRC9MmG8KQ7FpF3YaxFx2nwTkqgG069S&#10;IqnPDkEY58KEMpta1ogcezHD3xh9TCsVmggjs8T4E/dAMCIzycidsxzw0VWkNp2cZ39LLDtPHiky&#10;mDA5d8qAe49AY1VD5IwfRcrSRJWeodnfO+IgD4m3/FrhZ7thPtwzh1OB84OTHu5wkRr6msKwo6QF&#10;9/O9+4jHZkUrJT1OWU39jw1zghL91WAbn5XzeRzLdJgvTio8uNeW59cWs+kuAXuhxDfF8rSN+KDH&#10;rXTQPeGDsI5R0cQMx9g15cGNh8uQpx+fFC7W6wTDUbQs3JgHyyN5VDW25ePuiTk79G7Avr+FcSLZ&#10;8k0LZ2z0NLDeBJAq9fdB10FvHOPUOMOTE9+J1+eEOjyMq18AAAD//wMAUEsDBBQABgAIAAAAIQDE&#10;javn3gAAAAoBAAAPAAAAZHJzL2Rvd25yZXYueG1sTI/BboMwDIbvk/YOkSvt1oYOtR2UUE3Tep1U&#10;Wk07psQDBHEQCZS9/dzTdrP1W7+/LzvMthMTDr5xpGC9ikAglc40VCm4nI/LFxA+aDK6c4QKftDD&#10;IX98yHRq3I1OOBWhElxCPtUK6hD6VEpf1mi1X7keibNvN1gdeB0qaQZ943Lbyeco2kqrG+IPte7x&#10;rcayLUaroPo6vk9zW6M7+bgY2z65fHwapZ4W8+seRMA5/B3DHZ/RIWemqxvJeNEpYJGgYLnZssA9&#10;jnfxBsSVp2S9S0DmmfyvkP8CAAD//wMAUEsBAi0AFAAGAAgAAAAhALaDOJL+AAAA4QEAABMAAAAA&#10;AAAAAAAAAAAAAAAAAFtDb250ZW50X1R5cGVzXS54bWxQSwECLQAUAAYACAAAACEAOP0h/9YAAACU&#10;AQAACwAAAAAAAAAAAAAAAAAvAQAAX3JlbHMvLnJlbHNQSwECLQAUAAYACAAAACEAMR02t30CAABg&#10;BQAADgAAAAAAAAAAAAAAAAAuAgAAZHJzL2Uyb0RvYy54bWxQSwECLQAUAAYACAAAACEAxI2r594A&#10;AAAKAQAADwAAAAAAAAAAAAAAAADXBAAAZHJzL2Rvd25yZXYueG1sUEsFBgAAAAAEAAQA8wAAAOIF&#10;AAAAAA==&#10;" fillcolor="#1e1545 [3213]" stroked="f" strokeweight="2pt">
                <w10:wrap anchorx="page" anchory="page"/>
              </v:rect>
            </w:pict>
          </mc:Fallback>
        </mc:AlternateContent>
      </w:r>
      <w:bookmarkEnd w:id="106"/>
      <w:r w:rsidR="00463E63">
        <w:t>11</w:t>
      </w:r>
    </w:p>
    <w:p w14:paraId="77A84DDF" w14:textId="3F417E6D" w:rsidR="005D08E6" w:rsidRPr="00EA55D0" w:rsidRDefault="00463E63" w:rsidP="00F255A4">
      <w:pPr>
        <w:pStyle w:val="Titleforpagesbetweensections"/>
      </w:pPr>
      <w:r>
        <w:t>Survey of Aged Care Homes</w:t>
      </w:r>
    </w:p>
    <w:p w14:paraId="11834045" w14:textId="277EA6C0" w:rsidR="008502E2" w:rsidRDefault="008502E2" w:rsidP="00706C10"/>
    <w:p w14:paraId="42BFB9E3" w14:textId="5F906380" w:rsidR="008502E2" w:rsidRPr="005274C5" w:rsidRDefault="008502E2" w:rsidP="005274C5">
      <w:r w:rsidRPr="005274C5">
        <w:br w:type="page"/>
      </w:r>
    </w:p>
    <w:p w14:paraId="688E0FB7" w14:textId="031E0AB6" w:rsidR="00801A50" w:rsidRPr="00EA55D0" w:rsidRDefault="00801A50" w:rsidP="00E22085">
      <w:pPr>
        <w:pStyle w:val="Heading1"/>
        <w:rPr>
          <w:rFonts w:eastAsia="Calibri Light"/>
        </w:rPr>
      </w:pPr>
      <w:bookmarkStart w:id="107" w:name="_Toc224723306"/>
      <w:r w:rsidRPr="00EA55D0">
        <w:rPr>
          <w:rFonts w:eastAsia="Calibri Light"/>
        </w:rPr>
        <w:t>Survey of Aged Care Homes</w:t>
      </w:r>
      <w:bookmarkEnd w:id="104"/>
      <w:bookmarkEnd w:id="107"/>
    </w:p>
    <w:p w14:paraId="4E49E00E" w14:textId="694F71BA" w:rsidR="006C3FDF" w:rsidRPr="00EA55D0" w:rsidRDefault="00801A50" w:rsidP="00801A50">
      <w:r w:rsidRPr="00EA55D0">
        <w:t xml:space="preserve">The </w:t>
      </w:r>
      <w:r w:rsidR="00842C71" w:rsidRPr="00EA55D0">
        <w:t xml:space="preserve">Survey of Aged Care Homes (SACH) </w:t>
      </w:r>
      <w:r w:rsidR="006446EA" w:rsidRPr="00EA55D0">
        <w:t xml:space="preserve">is only required to be completed </w:t>
      </w:r>
      <w:r w:rsidR="00FA480F" w:rsidRPr="00EA55D0">
        <w:t>by residential aged care prov</w:t>
      </w:r>
      <w:r w:rsidR="006C3FDF" w:rsidRPr="00EA55D0">
        <w:t xml:space="preserve">iders and </w:t>
      </w:r>
      <w:r w:rsidR="006134F8" w:rsidRPr="00EA55D0">
        <w:t>includes details of</w:t>
      </w:r>
      <w:r w:rsidR="006C3FDF" w:rsidRPr="00EA55D0">
        <w:t>:</w:t>
      </w:r>
    </w:p>
    <w:p w14:paraId="4C01C7B7" w14:textId="1C588226" w:rsidR="006C3FDF" w:rsidRPr="00EA55D0" w:rsidRDefault="006134F8" w:rsidP="00322243">
      <w:pPr>
        <w:pStyle w:val="ListBullet"/>
      </w:pPr>
      <w:r w:rsidRPr="00EA55D0">
        <w:t xml:space="preserve">Refundable </w:t>
      </w:r>
      <w:r w:rsidR="008B351D" w:rsidRPr="00EA55D0">
        <w:t>Accommodation Deposit</w:t>
      </w:r>
      <w:r w:rsidR="00F4480F" w:rsidRPr="00EA55D0">
        <w:t>s</w:t>
      </w:r>
      <w:r w:rsidR="008B351D" w:rsidRPr="00EA55D0">
        <w:t xml:space="preserve"> (RAD)</w:t>
      </w:r>
      <w:r w:rsidR="00F4480F" w:rsidRPr="00EA55D0">
        <w:t xml:space="preserve"> and Daily Accommodation Payments (DAP) of new non supported p</w:t>
      </w:r>
      <w:r w:rsidR="005B4B5C" w:rsidRPr="00EA55D0">
        <w:t>ermanent residents</w:t>
      </w:r>
    </w:p>
    <w:p w14:paraId="3B44C3B0" w14:textId="7CA2F628" w:rsidR="00280529" w:rsidRPr="00EA55D0" w:rsidRDefault="005B4B5C" w:rsidP="00322243">
      <w:pPr>
        <w:pStyle w:val="ListBullet"/>
      </w:pPr>
      <w:r w:rsidRPr="00EA55D0">
        <w:t xml:space="preserve">Refundable Accommodation Contributions (RAC) and Daily Accommodation Contributions (DAC) of new </w:t>
      </w:r>
      <w:r w:rsidR="004971FD" w:rsidRPr="00EA55D0">
        <w:t>partially supported permanent residents</w:t>
      </w:r>
      <w:r w:rsidR="002E1759" w:rsidRPr="00EA55D0">
        <w:t>.</w:t>
      </w:r>
    </w:p>
    <w:p w14:paraId="5F697CAD" w14:textId="328D95E6" w:rsidR="00801A50" w:rsidRPr="00271D9E" w:rsidRDefault="00801A50" w:rsidP="00C47A9C">
      <w:pPr>
        <w:pStyle w:val="Heading2"/>
      </w:pPr>
      <w:r w:rsidRPr="00271D9E">
        <w:t xml:space="preserve">Refundable Accommodation Deposits (RAD) and Daily Accommodation Payments (DAP) of new permanent residents – </w:t>
      </w:r>
      <w:bookmarkEnd w:id="105"/>
      <w:r w:rsidRPr="00271D9E">
        <w:t>non-supported</w:t>
      </w:r>
    </w:p>
    <w:p w14:paraId="6CE0F4B4" w14:textId="25906DDF" w:rsidR="00801A50" w:rsidRPr="00EA55D0" w:rsidRDefault="00801A50" w:rsidP="00322243">
      <w:pPr>
        <w:pStyle w:val="ListBullet"/>
      </w:pPr>
      <w:r w:rsidRPr="00EA55D0">
        <w:t xml:space="preserve">This section relates to payments for accommodation received from all </w:t>
      </w:r>
      <w:r w:rsidR="00F653C9" w:rsidRPr="00EA55D0">
        <w:t>non-supported</w:t>
      </w:r>
      <w:r w:rsidRPr="00EA55D0">
        <w:t xml:space="preserve"> permanent residents who entered the </w:t>
      </w:r>
      <w:r w:rsidR="00882741">
        <w:t>approved residential care home</w:t>
      </w:r>
      <w:r w:rsidRPr="00EA55D0">
        <w:t xml:space="preserve"> during the financial year, including residents transferring from another aged care </w:t>
      </w:r>
      <w:r w:rsidR="00882741">
        <w:t>home</w:t>
      </w:r>
      <w:r w:rsidRPr="00EA55D0">
        <w:t xml:space="preserve">. </w:t>
      </w:r>
    </w:p>
    <w:p w14:paraId="0D1880E6" w14:textId="30D3CA72" w:rsidR="00801A50" w:rsidRPr="00EA55D0" w:rsidRDefault="00801A50" w:rsidP="00322243">
      <w:pPr>
        <w:pStyle w:val="ListBullet"/>
      </w:pPr>
      <w:r w:rsidRPr="00EA55D0">
        <w:t xml:space="preserve">Information entered is for each new permanent resident admitted to this </w:t>
      </w:r>
      <w:r w:rsidR="00882741">
        <w:t>home</w:t>
      </w:r>
      <w:r w:rsidRPr="00EA55D0">
        <w:t xml:space="preserve"> in the financial year that paid, or agreed to pay a RAD, DAP, or a combination of the two (regardless of </w:t>
      </w:r>
      <w:proofErr w:type="gramStart"/>
      <w:r w:rsidRPr="00EA55D0">
        <w:t>whether or not</w:t>
      </w:r>
      <w:proofErr w:type="gramEnd"/>
      <w:r w:rsidRPr="00EA55D0">
        <w:t xml:space="preserve"> that amount has been paid). </w:t>
      </w:r>
    </w:p>
    <w:p w14:paraId="0015B36D" w14:textId="77777777" w:rsidR="00801A50" w:rsidRPr="00EA55D0" w:rsidRDefault="00801A50" w:rsidP="00322243">
      <w:pPr>
        <w:pStyle w:val="ListBullet"/>
      </w:pPr>
      <w:r w:rsidRPr="00EA55D0">
        <w:t xml:space="preserve">Do not enter any DAP information where a resident has agreed to pay for their accommodation wholly by a RAD and is being charged a DAP pending payment of the RAD. DAP information should only be entered for residents who have agreed to pay by a RAD/DAP combination or wholly by a DAP.    </w:t>
      </w:r>
    </w:p>
    <w:p w14:paraId="5B911518" w14:textId="77777777" w:rsidR="00801A50" w:rsidRPr="00EA55D0" w:rsidRDefault="00801A50" w:rsidP="00322243">
      <w:pPr>
        <w:pStyle w:val="ListBullet"/>
      </w:pPr>
      <w:r w:rsidRPr="00EA55D0">
        <w:t>If a resident changes their method of payment part way through the year, do not put in another entry in the spreadsheet. The payment method agreed to at the point of initial entry is considered adequate.</w:t>
      </w:r>
    </w:p>
    <w:p w14:paraId="67E311E9" w14:textId="77777777" w:rsidR="00801A50" w:rsidRDefault="00801A50" w:rsidP="00322243">
      <w:pPr>
        <w:pStyle w:val="ListBullet"/>
      </w:pPr>
      <w:r w:rsidRPr="00EA55D0">
        <w:t xml:space="preserve">For residents that receive a </w:t>
      </w:r>
      <w:proofErr w:type="gramStart"/>
      <w:r w:rsidRPr="00EA55D0">
        <w:t>Government</w:t>
      </w:r>
      <w:proofErr w:type="gramEnd"/>
      <w:r w:rsidRPr="00EA55D0">
        <w:t xml:space="preserve"> accommodation supplement, please complete the “Partially Supported” tab relating to accommodation payments for partially supported residents. </w:t>
      </w:r>
    </w:p>
    <w:p w14:paraId="0D32F71B" w14:textId="496DC586" w:rsidR="00801A50" w:rsidRPr="00271D9E" w:rsidRDefault="00801A50" w:rsidP="00271D9E">
      <w:pPr>
        <w:pStyle w:val="Heading2"/>
      </w:pPr>
      <w:bookmarkStart w:id="108" w:name="_Toc488160258"/>
      <w:r w:rsidRPr="00271D9E">
        <w:t xml:space="preserve">Refundable Accommodation Contributions (RAC) and Daily Accommodation Contributions (DAC) of new permanent residents – partially supported </w:t>
      </w:r>
      <w:bookmarkEnd w:id="108"/>
    </w:p>
    <w:p w14:paraId="773E8A04" w14:textId="7BB71BB1" w:rsidR="00801A50" w:rsidRPr="00EA55D0" w:rsidRDefault="00801A50" w:rsidP="00322243">
      <w:pPr>
        <w:pStyle w:val="ListBullet"/>
      </w:pPr>
      <w:r w:rsidRPr="00EA55D0">
        <w:t xml:space="preserve">This section relates to contributions for accommodation received from all partially supported permanent residents who entered the </w:t>
      </w:r>
      <w:r w:rsidR="003F6159">
        <w:t>approved residential care home</w:t>
      </w:r>
      <w:r w:rsidRPr="00EA55D0">
        <w:t xml:space="preserve"> in the financial year, including by transfer from another aged care </w:t>
      </w:r>
      <w:r w:rsidR="003F6159">
        <w:t>home</w:t>
      </w:r>
      <w:r w:rsidRPr="00EA55D0">
        <w:t xml:space="preserve">. </w:t>
      </w:r>
    </w:p>
    <w:p w14:paraId="3541B909" w14:textId="3AAE5FB2" w:rsidR="00801A50" w:rsidRPr="00EA55D0" w:rsidRDefault="00801A50" w:rsidP="00322243">
      <w:pPr>
        <w:pStyle w:val="ListBullet"/>
      </w:pPr>
      <w:r w:rsidRPr="00EA55D0">
        <w:t xml:space="preserve">Information entered is for each new partially supported permanent resident admitted to the </w:t>
      </w:r>
      <w:r w:rsidR="00882741">
        <w:t>home</w:t>
      </w:r>
      <w:r w:rsidRPr="00EA55D0">
        <w:t xml:space="preserve"> in the financial year that paid a RAC or</w:t>
      </w:r>
      <w:r w:rsidRPr="00EA55D0" w:rsidDel="00D36086">
        <w:t xml:space="preserve"> </w:t>
      </w:r>
      <w:r w:rsidRPr="00EA55D0">
        <w:t xml:space="preserve">DAC, or a combination of the two (regardless of whether that amount has been paid). </w:t>
      </w:r>
    </w:p>
    <w:p w14:paraId="3564523B" w14:textId="77777777" w:rsidR="00801A50" w:rsidRPr="00EA55D0" w:rsidRDefault="00801A50" w:rsidP="00322243">
      <w:pPr>
        <w:pStyle w:val="ListBullet"/>
      </w:pPr>
      <w:r w:rsidRPr="00EA55D0">
        <w:t>If a resident changes their method of payment part way through the year, do not put in another entry in the spreadsheet. The payment method agreed to at the point of initial entry is considered adequate.</w:t>
      </w:r>
    </w:p>
    <w:p w14:paraId="64B3719B" w14:textId="42057FE6" w:rsidR="00801A50" w:rsidRPr="00EA55D0" w:rsidRDefault="00801A50" w:rsidP="00322243">
      <w:pPr>
        <w:pStyle w:val="ListBullet"/>
      </w:pPr>
      <w:r w:rsidRPr="00EA55D0">
        <w:t xml:space="preserve">Where </w:t>
      </w:r>
      <w:r w:rsidR="00E64AA7">
        <w:t xml:space="preserve">a </w:t>
      </w:r>
      <w:r w:rsidRPr="00EA55D0">
        <w:t>resident had multiple DAC amounts advised by Services Australia during the year, please enter the average DAC amount.</w:t>
      </w:r>
    </w:p>
    <w:p w14:paraId="531A2EC9" w14:textId="77777777" w:rsidR="00801A50" w:rsidRPr="00EA55D0" w:rsidRDefault="00801A50" w:rsidP="00322243">
      <w:pPr>
        <w:pStyle w:val="ListBullet"/>
      </w:pPr>
      <w:r w:rsidRPr="00EA55D0">
        <w:t>There is no need to report on new fully supported residents. For non-supported residents please complete the “non-supported” tab relating to accommodation payments for non-supported residents.</w:t>
      </w:r>
    </w:p>
    <w:p w14:paraId="2B749EC6" w14:textId="5B3C1D3C" w:rsidR="0027367F" w:rsidRPr="00271D9E" w:rsidRDefault="000D13F0" w:rsidP="00271D9E">
      <w:pPr>
        <w:pStyle w:val="Heading2"/>
      </w:pPr>
      <w:bookmarkStart w:id="109" w:name="_Toc209622256"/>
      <w:r w:rsidRPr="00271D9E">
        <w:t>Entering SACH data</w:t>
      </w:r>
      <w:bookmarkEnd w:id="109"/>
    </w:p>
    <w:p w14:paraId="77856924" w14:textId="5006AFE7" w:rsidR="0027367F" w:rsidRPr="00EA55D0" w:rsidRDefault="0027367F" w:rsidP="0027367F">
      <w:r w:rsidRPr="00EA55D0">
        <w:t xml:space="preserve">SACH </w:t>
      </w:r>
      <w:r w:rsidR="00843D8B" w:rsidRPr="00EA55D0">
        <w:t xml:space="preserve">data </w:t>
      </w:r>
      <w:r w:rsidRPr="00EA55D0">
        <w:t xml:space="preserve">is completed on the ACFR portal via a downloadable Excel spreadsheet containing three parts: </w:t>
      </w:r>
    </w:p>
    <w:p w14:paraId="541F78E5" w14:textId="77777777" w:rsidR="0027367F" w:rsidRPr="00EA55D0" w:rsidRDefault="0027367F" w:rsidP="00322243">
      <w:pPr>
        <w:pStyle w:val="ListBullet"/>
      </w:pPr>
      <w:r w:rsidRPr="00EA55D0">
        <w:t xml:space="preserve">the cover page </w:t>
      </w:r>
    </w:p>
    <w:p w14:paraId="566DDBE8" w14:textId="77777777" w:rsidR="0027367F" w:rsidRPr="00EA55D0" w:rsidRDefault="0027367F" w:rsidP="00322243">
      <w:pPr>
        <w:pStyle w:val="ListBullet"/>
      </w:pPr>
      <w:r w:rsidRPr="00EA55D0">
        <w:t xml:space="preserve">non-supported tab </w:t>
      </w:r>
    </w:p>
    <w:p w14:paraId="4F9A30A4" w14:textId="77777777" w:rsidR="0027367F" w:rsidRPr="00EA55D0" w:rsidRDefault="0027367F" w:rsidP="00322243">
      <w:pPr>
        <w:pStyle w:val="ListBullet"/>
      </w:pPr>
      <w:r w:rsidRPr="00EA55D0">
        <w:t xml:space="preserve">partially supported tab. </w:t>
      </w:r>
    </w:p>
    <w:p w14:paraId="6948E9DA" w14:textId="77777777" w:rsidR="0027367F" w:rsidRPr="00EA55D0" w:rsidRDefault="0027367F" w:rsidP="0027367F">
      <w:r w:rsidRPr="00EA55D0">
        <w:t xml:space="preserve">The Excel spreadsheet is available to download once a provider has logged into the portal and begun to complete the form online. </w:t>
      </w:r>
    </w:p>
    <w:p w14:paraId="2D404E14" w14:textId="77777777" w:rsidR="0027367F" w:rsidRPr="00EA55D0" w:rsidRDefault="0027367F" w:rsidP="0027367F">
      <w:r w:rsidRPr="00EA55D0">
        <w:t xml:space="preserve">Once they have finished entering the data into the spreadsheet, check for errors by scrolling to the right on each tab (each line should say “Complete” or “In Progress”). </w:t>
      </w:r>
    </w:p>
    <w:p w14:paraId="17000EBD" w14:textId="77777777" w:rsidR="0027367F" w:rsidRPr="00EA55D0" w:rsidRDefault="0027367F" w:rsidP="0027367F">
      <w:r w:rsidRPr="00EA55D0">
        <w:t xml:space="preserve">When all data has been entered into the spreadsheet and there are no errors (check cover page for completeness), the complete file can be uploaded back into the portal on the same page that it was downloaded from. </w:t>
      </w:r>
    </w:p>
    <w:p w14:paraId="2E81A8F1" w14:textId="436B9F79" w:rsidR="00801A50" w:rsidRPr="00271D9E" w:rsidRDefault="00801A50" w:rsidP="00271D9E">
      <w:pPr>
        <w:pStyle w:val="Heading2"/>
        <w:rPr>
          <w:rFonts w:eastAsiaTheme="minorHAnsi"/>
        </w:rPr>
      </w:pPr>
      <w:r w:rsidRPr="00271D9E">
        <w:rPr>
          <w:rFonts w:eastAsiaTheme="minorHAnsi"/>
        </w:rPr>
        <w:t xml:space="preserve">Survey of Aged Care </w:t>
      </w:r>
      <w:r w:rsidR="001A3ACB" w:rsidRPr="00271D9E">
        <w:rPr>
          <w:rFonts w:eastAsiaTheme="minorHAnsi"/>
        </w:rPr>
        <w:t>H</w:t>
      </w:r>
      <w:r w:rsidRPr="00271D9E">
        <w:rPr>
          <w:rFonts w:eastAsiaTheme="minorHAnsi"/>
        </w:rPr>
        <w:t>omes FAQs</w:t>
      </w:r>
    </w:p>
    <w:p w14:paraId="3F3AE9D0" w14:textId="33D19965" w:rsidR="00801A50" w:rsidRPr="00EA55D0" w:rsidRDefault="00801A50" w:rsidP="00D471ED">
      <w:pPr>
        <w:pStyle w:val="Heading3"/>
        <w:rPr>
          <w:szCs w:val="24"/>
        </w:rPr>
      </w:pPr>
      <w:fldSimple w:instr=" STYLEREF 1 \s ">
        <w:r w:rsidRPr="00EA55D0">
          <w:rPr>
            <w:szCs w:val="24"/>
            <w:cs/>
          </w:rPr>
          <w:t>‎</w:t>
        </w:r>
      </w:fldSimple>
      <w:r w:rsidRPr="00D471ED">
        <w:t>Providers are required to attach I</w:t>
      </w:r>
      <w:r w:rsidR="00FF6550" w:rsidRPr="00D471ED">
        <w:t>ndepen</w:t>
      </w:r>
      <w:r w:rsidR="00D63926" w:rsidRPr="00D471ED">
        <w:t xml:space="preserve">dent </w:t>
      </w:r>
      <w:r w:rsidRPr="00D471ED">
        <w:t>H</w:t>
      </w:r>
      <w:r w:rsidR="00D63926" w:rsidRPr="00D471ED">
        <w:t xml:space="preserve">ealth and Aged Care Pricing Authority (IHACPA) </w:t>
      </w:r>
      <w:r w:rsidR="00FF6550" w:rsidRPr="00D471ED">
        <w:t>a</w:t>
      </w:r>
      <w:r w:rsidRPr="00D471ED">
        <w:t>pproval documents for Agreed Accommodation Prices greater than the Maximum Amount</w:t>
      </w:r>
      <w:r w:rsidR="51A86824" w:rsidRPr="00D471ED">
        <w:t>,</w:t>
      </w:r>
      <w:r w:rsidRPr="00D471ED">
        <w:t xml:space="preserve"> </w:t>
      </w:r>
      <w:r w:rsidR="51A86824" w:rsidRPr="00D471ED">
        <w:t>which is</w:t>
      </w:r>
      <w:r w:rsidR="6884957A" w:rsidRPr="00D471ED">
        <w:t xml:space="preserve"> </w:t>
      </w:r>
      <w:r w:rsidRPr="00D471ED">
        <w:t>determined by the Minister under section 52G-3 of the Aged Care Act 1997</w:t>
      </w:r>
      <w:r w:rsidR="72E1A1A8" w:rsidRPr="00D471ED">
        <w:t xml:space="preserve"> and through section 29</w:t>
      </w:r>
      <w:r w:rsidR="00C26FA1" w:rsidRPr="00D471ED">
        <w:t>0</w:t>
      </w:r>
      <w:r w:rsidR="72E1A1A8" w:rsidRPr="00D471ED">
        <w:t xml:space="preserve"> of the Aged </w:t>
      </w:r>
      <w:r w:rsidR="0E63CB76" w:rsidRPr="00D471ED">
        <w:t>Care Act 2024</w:t>
      </w:r>
      <w:r w:rsidR="6884957A" w:rsidRPr="00D471ED">
        <w:t xml:space="preserve">. </w:t>
      </w:r>
      <w:r w:rsidRPr="00D471ED">
        <w:t>Do providers exclude approvals provided by the Pricing Commissioner before IHACPA adopted its pricing responsibilities?</w:t>
      </w:r>
    </w:p>
    <w:p w14:paraId="5228963F" w14:textId="77777777" w:rsidR="00981376" w:rsidRPr="00EA55D0" w:rsidRDefault="00801A50" w:rsidP="00981376">
      <w:pPr>
        <w:rPr>
          <w:rFonts w:cs="Arial"/>
        </w:rPr>
      </w:pPr>
      <w:r w:rsidRPr="00EA55D0">
        <w:rPr>
          <w:rFonts w:cs="Arial"/>
        </w:rPr>
        <w:t>If a provider has an earlier approval from the Pricing Commissioner and it has not expired, and the provider has not already received re-approval from IHACPA, please attach the original approval from the Pricing Commissioner.</w:t>
      </w:r>
      <w:bookmarkStart w:id="110" w:name="_Toc184198013"/>
      <w:bookmarkStart w:id="111" w:name="_Toc205730285"/>
      <w:bookmarkStart w:id="112" w:name="_Toc488160260"/>
    </w:p>
    <w:p w14:paraId="05F21449" w14:textId="77777777" w:rsidR="00517873" w:rsidRPr="00322243" w:rsidRDefault="00517873" w:rsidP="00322243">
      <w:r>
        <w:br w:type="page"/>
      </w:r>
    </w:p>
    <w:p w14:paraId="3F9B1821" w14:textId="4A977253" w:rsidR="00892AA2" w:rsidRPr="00EA55D0" w:rsidRDefault="00F255A4" w:rsidP="00F255A4">
      <w:pPr>
        <w:pStyle w:val="Chapternumbers"/>
      </w:pPr>
      <w:bookmarkStart w:id="113" w:name="_Toc224723307"/>
      <w:r w:rsidRPr="00EA55D0">
        <w:rPr>
          <w:noProof/>
        </w:rPr>
        <mc:AlternateContent>
          <mc:Choice Requires="wps">
            <w:drawing>
              <wp:anchor distT="0" distB="0" distL="114300" distR="114300" simplePos="0" relativeHeight="251658256" behindDoc="1" locked="0" layoutInCell="1" allowOverlap="1" wp14:anchorId="6089C6AA" wp14:editId="2E3448CB">
                <wp:simplePos x="0" y="0"/>
                <wp:positionH relativeFrom="page">
                  <wp:align>left</wp:align>
                </wp:positionH>
                <wp:positionV relativeFrom="page">
                  <wp:posOffset>-400271</wp:posOffset>
                </wp:positionV>
                <wp:extent cx="8855075" cy="12444095"/>
                <wp:effectExtent l="0" t="0" r="3175" b="0"/>
                <wp:wrapNone/>
                <wp:docPr id="1766349165" name="Rectangle 17663491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855075" cy="1244409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79900" id="Rectangle 1766349165" o:spid="_x0000_s1026" alt="&quot;&quot;" style="position:absolute;margin-left:0;margin-top:-31.5pt;width:697.25pt;height:979.85pt;z-index:-25165822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jpfAIAAGAFAAAOAAAAZHJzL2Uyb0RvYy54bWysVFFv2yAQfp+0/4B4X21HydpGdaqoVadJ&#10;VVstnfpMMdRImGNA4mS/fgfYTtdVe5iWBwLc3Xd3n7/j4nLfabITziswNa1OSkqE4dAo81LT7483&#10;n84o8YGZhmkwoqYH4enl6uOHi94uxQxa0I1wBEGMX/a2pm0IdlkUnreiY/4ErDBolOA6FvDoXorG&#10;sR7RO13MyvJz0YNrrAMuvMfb62ykq4QvpeDhXkovAtE1xdpCWl1an+NarC7Y8sUx2yo+lMH+oYqO&#10;KYNJJ6hrFhjZOvUHVKe4Aw8ynHDoCpBScZF6wG6q8k03m5ZZkXpBcrydaPL/D5bf7Tb2wSENvfVL&#10;j9vYxV66Lv5jfWSfyDpMZIl9IBwvz84Wi/J0QQlHWzWbz+fl+SLyWRzjrfPhi4COxE1NHX6OxBLb&#10;3fqQXUeXmM6DVs2N0jodogTElXZkx/DjhX01gP/mpU30NRCjMmC8KY7NpF04aBH9tPkmJFENlj9L&#10;hSSdHZMwzoUJVTa1rBE596LE35h9LCs1mgAjssT8E/YAMHpmkBE7Vzn4x1CRZDoFl38rLAdPESkz&#10;mDAFd8qAew9AY1dD5uw/kpSpiSw9Q3N4cMRBHhJv+Y3Cz3bLfHhgDqcC5wcnPdzjIjX0NYVhR0kL&#10;7ud799EfxYpWSnqcspr6H1vmBCX6q0EZn1coGxzLdJgvTmd4cK8tz68tZttdAWqhwjfF8rSN/kGP&#10;W+mge8IHYR2zookZjrlryoMbD1chTz8+KVys18kNR9GycGs2lkfwyGqU5eP+iTk7aDeg7u9gnEi2&#10;fCPh7BsjDay3AaRK+j7yOvCNY5yEMzw58Z14fU5ex4dx9QsAAP//AwBQSwMEFAAGAAgAAAAhAEVh&#10;cUXdAAAACgEAAA8AAABkcnMvZG93bnJldi54bWxMj0FPg0AQhe8m/ofNmHhrF0WxIEtjjL2aFBvT&#10;45adAoGdJexC8d87PentTd7Lm+/l28X2YsbRt44UPKwjEEiVMy3VCg5fu9UGhA+ajO4doYIf9LAt&#10;bm9ynRl3oT3OZagFl5DPtIImhCGT0lcNWu3XbkBi7+xGqwOfYy3NqC9cbnv5GEWJtLol/tDoAd8b&#10;rLpysgrq4+5jXroG3d7H5dQN6eHz2yh1f7e8vYIIuIS/MFzxGR0KZjq5iYwXvQIeEhSskpjF1Y7T&#10;p2cQJ1abNHkBWeTy/4TiFwAA//8DAFBLAQItABQABgAIAAAAIQC2gziS/gAAAOEBAAATAAAAAAAA&#10;AAAAAAAAAAAAAABbQ29udGVudF9UeXBlc10ueG1sUEsBAi0AFAAGAAgAAAAhADj9If/WAAAAlAEA&#10;AAsAAAAAAAAAAAAAAAAALwEAAF9yZWxzLy5yZWxzUEsBAi0AFAAGAAgAAAAhABteCOl8AgAAYAUA&#10;AA4AAAAAAAAAAAAAAAAALgIAAGRycy9lMm9Eb2MueG1sUEsBAi0AFAAGAAgAAAAhAEVhcUXdAAAA&#10;CgEAAA8AAAAAAAAAAAAAAAAA1gQAAGRycy9kb3ducmV2LnhtbFBLBQYAAAAABAAEAPMAAADgBQAA&#10;AAA=&#10;" fillcolor="#1e1545 [3213]" stroked="f" strokeweight="2pt">
                <w10:wrap anchorx="page" anchory="page"/>
              </v:rect>
            </w:pict>
          </mc:Fallback>
        </mc:AlternateContent>
      </w:r>
      <w:bookmarkEnd w:id="113"/>
      <w:r w:rsidR="00463E63">
        <w:t>12</w:t>
      </w:r>
    </w:p>
    <w:p w14:paraId="3BF99104" w14:textId="50DF234C" w:rsidR="00892AA2" w:rsidRPr="00EA55D0" w:rsidRDefault="00463E63" w:rsidP="00F255A4">
      <w:pPr>
        <w:pStyle w:val="Titleforpagesbetweensections"/>
      </w:pPr>
      <w:r>
        <w:t>Building activity by approved residential care home</w:t>
      </w:r>
    </w:p>
    <w:p w14:paraId="314C8DB6" w14:textId="0556C8A4" w:rsidR="008502E2" w:rsidRDefault="008502E2" w:rsidP="00F255A4">
      <w:pPr>
        <w:rPr>
          <w:rFonts w:cs="Arial"/>
          <w:b/>
          <w:bCs/>
          <w:kern w:val="28"/>
          <w:sz w:val="60"/>
          <w:szCs w:val="36"/>
        </w:rPr>
      </w:pPr>
      <w:r>
        <w:br w:type="page"/>
      </w:r>
    </w:p>
    <w:p w14:paraId="236C1E29" w14:textId="3FC155BE" w:rsidR="00801A50" w:rsidRPr="00EA55D0" w:rsidRDefault="00801A50" w:rsidP="00E22085">
      <w:pPr>
        <w:pStyle w:val="Heading1"/>
        <w:rPr>
          <w:rFonts w:eastAsia="Calibri Light"/>
        </w:rPr>
      </w:pPr>
      <w:bookmarkStart w:id="114" w:name="_Toc224723308"/>
      <w:r w:rsidRPr="00EA55D0">
        <w:rPr>
          <w:rFonts w:eastAsia="Calibri Light"/>
        </w:rPr>
        <w:t xml:space="preserve">Building activity by </w:t>
      </w:r>
      <w:r w:rsidR="007D585B">
        <w:rPr>
          <w:rFonts w:eastAsia="Calibri Light"/>
        </w:rPr>
        <w:t xml:space="preserve">approved </w:t>
      </w:r>
      <w:r w:rsidRPr="00EA55D0">
        <w:rPr>
          <w:rFonts w:eastAsia="Calibri Light"/>
        </w:rPr>
        <w:t xml:space="preserve">residential care </w:t>
      </w:r>
      <w:r w:rsidR="00D03924">
        <w:rPr>
          <w:rFonts w:eastAsia="Calibri Light"/>
        </w:rPr>
        <w:t>home</w:t>
      </w:r>
      <w:bookmarkEnd w:id="110"/>
      <w:bookmarkEnd w:id="111"/>
      <w:bookmarkEnd w:id="112"/>
      <w:bookmarkEnd w:id="114"/>
    </w:p>
    <w:p w14:paraId="05CDC112" w14:textId="334D59B1" w:rsidR="00801A50" w:rsidRPr="00271D9E" w:rsidRDefault="00801A50" w:rsidP="00271D9E">
      <w:pPr>
        <w:pStyle w:val="Heading2"/>
      </w:pPr>
      <w:bookmarkStart w:id="115" w:name="_Toc488160261"/>
      <w:r w:rsidRPr="00271D9E">
        <w:t xml:space="preserve">Part A: Completed </w:t>
      </w:r>
      <w:bookmarkEnd w:id="115"/>
      <w:r w:rsidRPr="00271D9E">
        <w:t>building activity</w:t>
      </w:r>
    </w:p>
    <w:p w14:paraId="41748F87" w14:textId="7708C98F" w:rsidR="00801A50" w:rsidRDefault="00801A50" w:rsidP="00801A50">
      <w:pPr>
        <w:rPr>
          <w:rFonts w:cs="Arial"/>
        </w:rPr>
      </w:pPr>
      <w:r w:rsidRPr="00EA55D0">
        <w:rPr>
          <w:rFonts w:cs="Arial"/>
        </w:rPr>
        <w:t xml:space="preserve">Complete this part of the ACFR for any </w:t>
      </w:r>
      <w:r w:rsidR="00D03924">
        <w:rPr>
          <w:rFonts w:cs="Arial"/>
        </w:rPr>
        <w:t>home</w:t>
      </w:r>
      <w:r w:rsidRPr="00EA55D0">
        <w:rPr>
          <w:rFonts w:cs="Arial"/>
        </w:rPr>
        <w:t xml:space="preserve"> for which any building or upgrade work was completed in the year ending 30 June 202</w:t>
      </w:r>
      <w:r w:rsidR="00601A85" w:rsidRPr="00EA55D0">
        <w:rPr>
          <w:rFonts w:cs="Arial"/>
        </w:rPr>
        <w:t>6</w:t>
      </w:r>
      <w:r w:rsidRPr="00EA55D0">
        <w:rPr>
          <w:rFonts w:cs="Arial"/>
        </w:rPr>
        <w:t>.</w:t>
      </w:r>
    </w:p>
    <w:p w14:paraId="2FB30C87" w14:textId="4F28668F" w:rsidR="00801A50" w:rsidRPr="00271D9E" w:rsidRDefault="00801A50" w:rsidP="00271D9E">
      <w:pPr>
        <w:pStyle w:val="Heading2"/>
      </w:pPr>
      <w:bookmarkStart w:id="116" w:name="_Toc488160262"/>
      <w:r w:rsidRPr="00271D9E">
        <w:t xml:space="preserve">Part B: Building activity in </w:t>
      </w:r>
      <w:bookmarkEnd w:id="116"/>
      <w:r w:rsidRPr="00271D9E">
        <w:t>progress</w:t>
      </w:r>
    </w:p>
    <w:p w14:paraId="02F472C2" w14:textId="27295E79" w:rsidR="00801A50" w:rsidRDefault="00801A50" w:rsidP="00801A50">
      <w:pPr>
        <w:rPr>
          <w:rFonts w:cs="Arial"/>
        </w:rPr>
      </w:pPr>
      <w:r w:rsidRPr="00EA55D0">
        <w:rPr>
          <w:rFonts w:cs="Arial"/>
        </w:rPr>
        <w:t xml:space="preserve">Complete this part of the ACFR for any </w:t>
      </w:r>
      <w:r w:rsidR="00D03924">
        <w:rPr>
          <w:rFonts w:cs="Arial"/>
        </w:rPr>
        <w:t>home</w:t>
      </w:r>
      <w:r w:rsidRPr="00EA55D0">
        <w:rPr>
          <w:rFonts w:cs="Arial"/>
        </w:rPr>
        <w:t xml:space="preserve"> for which building or upgrading work was in progress </w:t>
      </w:r>
      <w:proofErr w:type="gramStart"/>
      <w:r w:rsidRPr="00EA55D0">
        <w:rPr>
          <w:rFonts w:cs="Arial"/>
        </w:rPr>
        <w:t>at</w:t>
      </w:r>
      <w:proofErr w:type="gramEnd"/>
      <w:r w:rsidRPr="00EA55D0">
        <w:rPr>
          <w:rFonts w:cs="Arial"/>
        </w:rPr>
        <w:t xml:space="preserve"> 30 June 202</w:t>
      </w:r>
      <w:r w:rsidR="00601A85" w:rsidRPr="00EA55D0">
        <w:rPr>
          <w:rFonts w:cs="Arial"/>
        </w:rPr>
        <w:t>6</w:t>
      </w:r>
      <w:r w:rsidRPr="00EA55D0">
        <w:rPr>
          <w:rFonts w:cs="Arial"/>
        </w:rPr>
        <w:t xml:space="preserve">. </w:t>
      </w:r>
    </w:p>
    <w:p w14:paraId="76E33C8A" w14:textId="132176E0" w:rsidR="00801A50" w:rsidRPr="00271D9E" w:rsidRDefault="00801A50" w:rsidP="00271D9E">
      <w:pPr>
        <w:pStyle w:val="Heading2"/>
      </w:pPr>
      <w:bookmarkStart w:id="117" w:name="_Toc488160263"/>
      <w:r w:rsidRPr="00271D9E">
        <w:t xml:space="preserve">Part C: Planned </w:t>
      </w:r>
      <w:bookmarkEnd w:id="117"/>
      <w:r w:rsidRPr="00271D9E">
        <w:t>building activity</w:t>
      </w:r>
    </w:p>
    <w:p w14:paraId="06965F98" w14:textId="791A149B" w:rsidR="00801A50" w:rsidRPr="00EA55D0" w:rsidRDefault="00801A50" w:rsidP="00801A50">
      <w:pPr>
        <w:rPr>
          <w:rFonts w:cs="Arial"/>
        </w:rPr>
      </w:pPr>
      <w:r w:rsidRPr="00EA55D0">
        <w:rPr>
          <w:rFonts w:cs="Arial"/>
        </w:rPr>
        <w:t xml:space="preserve">Complete this part of the ACFR for any </w:t>
      </w:r>
      <w:r w:rsidR="00D03924">
        <w:rPr>
          <w:rFonts w:cs="Arial"/>
        </w:rPr>
        <w:t>home</w:t>
      </w:r>
      <w:r w:rsidRPr="00EA55D0">
        <w:rPr>
          <w:rFonts w:cs="Arial"/>
        </w:rPr>
        <w:t xml:space="preserve"> for which building or upgrading work was planned </w:t>
      </w:r>
      <w:proofErr w:type="gramStart"/>
      <w:r w:rsidRPr="00EA55D0">
        <w:rPr>
          <w:rFonts w:cs="Arial"/>
        </w:rPr>
        <w:t>at</w:t>
      </w:r>
      <w:proofErr w:type="gramEnd"/>
      <w:r w:rsidRPr="00EA55D0">
        <w:rPr>
          <w:rFonts w:cs="Arial"/>
        </w:rPr>
        <w:t xml:space="preserve"> 30 June 202</w:t>
      </w:r>
      <w:r w:rsidR="00601A85" w:rsidRPr="00EA55D0">
        <w:rPr>
          <w:rFonts w:cs="Arial"/>
        </w:rPr>
        <w:t>6</w:t>
      </w:r>
      <w:r w:rsidRPr="00EA55D0">
        <w:rPr>
          <w:rFonts w:cs="Arial"/>
        </w:rPr>
        <w:t xml:space="preserve">. </w:t>
      </w:r>
    </w:p>
    <w:p w14:paraId="51DDEC29" w14:textId="3DFB7086" w:rsidR="00801A50" w:rsidRPr="00271D9E" w:rsidRDefault="00801A50" w:rsidP="00271D9E">
      <w:pPr>
        <w:pStyle w:val="Heading2"/>
        <w:rPr>
          <w:rFonts w:eastAsiaTheme="minorHAnsi"/>
        </w:rPr>
      </w:pPr>
      <w:r w:rsidRPr="00271D9E">
        <w:rPr>
          <w:rFonts w:eastAsiaTheme="minorHAnsi"/>
        </w:rPr>
        <w:t xml:space="preserve">Building activity by </w:t>
      </w:r>
      <w:r w:rsidR="00CE6FEA" w:rsidRPr="00271D9E">
        <w:rPr>
          <w:rFonts w:eastAsiaTheme="minorHAnsi"/>
        </w:rPr>
        <w:t xml:space="preserve">approved </w:t>
      </w:r>
      <w:r w:rsidRPr="00271D9E">
        <w:rPr>
          <w:rFonts w:eastAsiaTheme="minorHAnsi"/>
        </w:rPr>
        <w:t xml:space="preserve">residential care </w:t>
      </w:r>
      <w:r w:rsidR="00CE6FEA" w:rsidRPr="00271D9E">
        <w:rPr>
          <w:rFonts w:eastAsiaTheme="minorHAnsi"/>
        </w:rPr>
        <w:t>home</w:t>
      </w:r>
      <w:r w:rsidRPr="00271D9E">
        <w:rPr>
          <w:rFonts w:eastAsiaTheme="minorHAnsi"/>
        </w:rPr>
        <w:t xml:space="preserve"> FAQs</w:t>
      </w:r>
    </w:p>
    <w:p w14:paraId="49B9C599" w14:textId="4FB07690" w:rsidR="00801A50" w:rsidRPr="00EA55D0" w:rsidRDefault="00801A50" w:rsidP="00F74C2C">
      <w:pPr>
        <w:pStyle w:val="Heading3"/>
      </w:pPr>
      <w:r w:rsidRPr="00EA55D0">
        <w:t>What is the definition of</w:t>
      </w:r>
      <w:r w:rsidR="00E02919" w:rsidRPr="00EA55D0">
        <w:t xml:space="preserve"> Upgrading</w:t>
      </w:r>
      <w:r w:rsidRPr="00EA55D0">
        <w:t xml:space="preserve"> ‘Structural Renovation or Refurbishment’? </w:t>
      </w:r>
    </w:p>
    <w:p w14:paraId="76DE5D37" w14:textId="009A819A" w:rsidR="00801A50" w:rsidRPr="00EA55D0" w:rsidRDefault="00801A50" w:rsidP="00801A50">
      <w:pPr>
        <w:rPr>
          <w:rFonts w:cs="Arial"/>
        </w:rPr>
      </w:pPr>
      <w:r w:rsidRPr="00EA55D0">
        <w:rPr>
          <w:rFonts w:cs="Arial"/>
        </w:rPr>
        <w:t>Upgrading (</w:t>
      </w:r>
      <w:r w:rsidR="002A253A" w:rsidRPr="00EA55D0">
        <w:rPr>
          <w:rFonts w:cs="Arial"/>
        </w:rPr>
        <w:t>s</w:t>
      </w:r>
      <w:r w:rsidRPr="00EA55D0">
        <w:rPr>
          <w:rFonts w:cs="Arial"/>
        </w:rPr>
        <w:t xml:space="preserve">tructural renovation or refurbishment) in the ACFR is the renovation or refurbishment of an existing </w:t>
      </w:r>
      <w:r w:rsidR="00D52857">
        <w:rPr>
          <w:rFonts w:cs="Arial"/>
        </w:rPr>
        <w:t>approved residential care home</w:t>
      </w:r>
      <w:r w:rsidRPr="00EA55D0">
        <w:rPr>
          <w:rFonts w:cs="Arial"/>
        </w:rPr>
        <w:t>, including extensions to an existing building or reconstruction of part of a building. Those work</w:t>
      </w:r>
      <w:r w:rsidR="0025315C" w:rsidRPr="00EA55D0">
        <w:rPr>
          <w:rFonts w:cs="Arial"/>
        </w:rPr>
        <w:t>s</w:t>
      </w:r>
      <w:r w:rsidRPr="00EA55D0">
        <w:rPr>
          <w:rFonts w:cs="Arial"/>
        </w:rPr>
        <w:t xml:space="preserve"> are capital in nature and potentially result in an increase to the </w:t>
      </w:r>
      <w:r w:rsidR="00D52857">
        <w:rPr>
          <w:rFonts w:cs="Arial"/>
        </w:rPr>
        <w:t>home’s</w:t>
      </w:r>
      <w:r w:rsidRPr="00EA55D0">
        <w:rPr>
          <w:rFonts w:cs="Arial"/>
        </w:rPr>
        <w:t xml:space="preserve"> value.</w:t>
      </w:r>
    </w:p>
    <w:p w14:paraId="2270282E" w14:textId="2780506F" w:rsidR="00371DBF" w:rsidRPr="00D471ED" w:rsidRDefault="00801A50" w:rsidP="00D471ED">
      <w:pPr>
        <w:rPr>
          <w:rFonts w:cs="Arial"/>
        </w:rPr>
      </w:pPr>
      <w:r w:rsidRPr="00EA55D0">
        <w:rPr>
          <w:rFonts w:cs="Arial"/>
        </w:rPr>
        <w:t>This section does not include routine repairs and the maintenance of premises such as painting, plumbing, electrical work or gardening.</w:t>
      </w:r>
      <w:bookmarkEnd w:id="18"/>
    </w:p>
    <w:sectPr w:rsidR="00371DBF" w:rsidRPr="00D471ED" w:rsidSect="007F7A3F">
      <w:footerReference w:type="even" r:id="rId50"/>
      <w:pgSz w:w="11910" w:h="16840"/>
      <w:pgMar w:top="1440" w:right="1440" w:bottom="1440" w:left="1440" w:header="567" w:footer="8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C54BB" w14:textId="77777777" w:rsidR="009E522F" w:rsidRPr="00EA55D0" w:rsidRDefault="009E522F" w:rsidP="00934368">
      <w:r w:rsidRPr="00EA55D0">
        <w:separator/>
      </w:r>
    </w:p>
    <w:p w14:paraId="19EB5B62" w14:textId="77777777" w:rsidR="009E522F" w:rsidRPr="00EA55D0" w:rsidRDefault="009E522F" w:rsidP="00934368"/>
  </w:endnote>
  <w:endnote w:type="continuationSeparator" w:id="0">
    <w:p w14:paraId="083ABD96" w14:textId="77777777" w:rsidR="009E522F" w:rsidRPr="00EA55D0" w:rsidRDefault="009E522F" w:rsidP="00934368">
      <w:r w:rsidRPr="00EA55D0">
        <w:continuationSeparator/>
      </w:r>
    </w:p>
    <w:p w14:paraId="5087C7D5" w14:textId="77777777" w:rsidR="009E522F" w:rsidRPr="00EA55D0" w:rsidRDefault="009E522F" w:rsidP="00934368"/>
  </w:endnote>
  <w:endnote w:type="continuationNotice" w:id="1">
    <w:p w14:paraId="11A9DFAF" w14:textId="77777777" w:rsidR="009E522F" w:rsidRPr="00EA55D0" w:rsidRDefault="009E522F"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1731" w14:textId="6058B385" w:rsidR="00627385" w:rsidRPr="00EA55D0" w:rsidRDefault="000B134E" w:rsidP="00386805">
    <w:pPr>
      <w:pStyle w:val="Footer"/>
      <w:jc w:val="left"/>
    </w:pPr>
    <w:r w:rsidRPr="00EA55D0">
      <w:rPr>
        <w:b/>
        <w:bCs/>
        <w:noProof/>
        <w:sz w:val="21"/>
        <w:szCs w:val="21"/>
      </w:rPr>
      <mc:AlternateContent>
        <mc:Choice Requires="wps">
          <w:drawing>
            <wp:anchor distT="0" distB="0" distL="0" distR="0" simplePos="0" relativeHeight="251658248" behindDoc="0" locked="0" layoutInCell="1" allowOverlap="1" wp14:anchorId="1E78480E" wp14:editId="07710CB1">
              <wp:simplePos x="635" y="635"/>
              <wp:positionH relativeFrom="page">
                <wp:align>center</wp:align>
              </wp:positionH>
              <wp:positionV relativeFrom="page">
                <wp:align>bottom</wp:align>
              </wp:positionV>
              <wp:extent cx="609600" cy="485775"/>
              <wp:effectExtent l="0" t="0" r="0" b="0"/>
              <wp:wrapNone/>
              <wp:docPr id="191520977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E1412BC" w14:textId="331F63B4" w:rsidR="000B134E" w:rsidRPr="00EA55D0" w:rsidRDefault="000B134E" w:rsidP="00E61D43">
                          <w:pPr>
                            <w:spacing w:after="0"/>
                            <w:rPr>
                              <w:rFonts w:ascii="Aptos" w:eastAsia="Aptos" w:hAnsi="Aptos" w:cs="Aptos"/>
                              <w:color w:val="FF0000"/>
                            </w:rPr>
                          </w:pPr>
                          <w:r w:rsidRPr="00EA55D0">
                            <w:rPr>
                              <w:rFonts w:ascii="Aptos" w:eastAsia="Aptos" w:hAnsi="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78480E" id="_x0000_t202" coordsize="21600,21600" o:spt="202" path="m,l,21600r21600,l21600,xe">
              <v:stroke joinstyle="miter"/>
              <v:path gradientshapeok="t" o:connecttype="rect"/>
            </v:shapetype>
            <v:shape id="Text Box 9" o:spid="_x0000_s1027" type="#_x0000_t202" alt="OFFICIAL" style="position:absolute;margin-left:0;margin-top:0;width:48pt;height:38.2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79DAIAABwEAAAOAAAAZHJzL2Uyb0RvYy54bWysU8Fu2zAMvQ/YPwi6L3aKJW2NOEXWIsOA&#10;oC2QDj3LshQbkERBUmJnXz9KjpO222nYRaZJ6pF8fFrc9VqRg3C+BVPS6SSnRBgOdWt2Jf35sv5y&#10;Q4kPzNRMgRElPQpP75afPy06W4graEDVwhEEMb7obEmbEGyRZZ43QjM/ASsMBiU4zQL+ul1WO9Yh&#10;ulbZVZ7Psw5cbR1w4T16H4YgXSZ8KQUPT1J6EYgqKfYW0unSWcUzWy5YsXPMNi0/tcH+oQvNWoNF&#10;z1APLDCyd+0fULrlDjzIMOGgM5Cy5SLNgNNM8w/TbBtmRZoFyfH2TJP/f7D88bC1z46E/hv0uMBI&#10;SGd94dEZ5+ml0/GLnRKMI4XHM22iD4Sjc57fznOMcAx9vZldX88iSna5bJ0P3wVoEo2SOtxKIosd&#10;Nj4MqWNKrGVg3SqVNqPMOwdiRk926TBaoa960tZvuq+gPuJQDoZ9e8vXLZbeMB+emcMFY7co2vCE&#10;h1TQlRROFiUNuF9/88d85B2jlHQomJIaVDQl6ofBfURtjYYbjSoZ09t8Fukxe30PKMMpvgjLk4le&#10;F9RoSgf6FeW8ioUwxAzHciWtRvM+DMrF58DFapWSUEaWhY3ZWh6hI12Ry5f+lTl7Ijzgph5hVBMr&#10;PvA+5Mab3q72AdlPS4nUDkSeGEcJprWenkvU+Nv/lHV51MvfAA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a3Hu/QwCAAAcBAAA&#10;DgAAAAAAAAAAAAAAAAAuAgAAZHJzL2Uyb0RvYy54bWxQSwECLQAUAAYACAAAACEAgBRPAtoAAAAD&#10;AQAADwAAAAAAAAAAAAAAAABmBAAAZHJzL2Rvd25yZXYueG1sUEsFBgAAAAAEAAQA8wAAAG0FAAAA&#10;AA==&#10;" filled="f" stroked="f">
              <v:textbox style="mso-fit-shape-to-text:t" inset="0,0,0,15pt">
                <w:txbxContent>
                  <w:p w14:paraId="0E1412BC" w14:textId="331F63B4" w:rsidR="000B134E" w:rsidRPr="00EA55D0" w:rsidRDefault="000B134E" w:rsidP="00E61D43">
                    <w:pPr>
                      <w:spacing w:after="0"/>
                      <w:rPr>
                        <w:rFonts w:ascii="Aptos" w:eastAsia="Aptos" w:hAnsi="Aptos" w:cs="Aptos"/>
                        <w:color w:val="FF0000"/>
                      </w:rPr>
                    </w:pPr>
                    <w:r w:rsidRPr="00EA55D0">
                      <w:rPr>
                        <w:rFonts w:ascii="Aptos" w:eastAsia="Aptos" w:hAnsi="Aptos" w:cs="Aptos"/>
                        <w:color w:val="FF0000"/>
                      </w:rPr>
                      <w:t>OFFICIAL</w:t>
                    </w:r>
                  </w:p>
                </w:txbxContent>
              </v:textbox>
              <w10:wrap anchorx="page" anchory="page"/>
            </v:shape>
          </w:pict>
        </mc:Fallback>
      </mc:AlternateContent>
    </w:r>
    <w:r w:rsidR="00386805" w:rsidRPr="00EA55D0">
      <w:rPr>
        <w:b/>
        <w:bCs/>
        <w:sz w:val="21"/>
        <w:szCs w:val="21"/>
      </w:rPr>
      <w:fldChar w:fldCharType="begin"/>
    </w:r>
    <w:r w:rsidR="00386805" w:rsidRPr="00EA55D0">
      <w:rPr>
        <w:b/>
        <w:bCs/>
        <w:sz w:val="21"/>
        <w:szCs w:val="21"/>
      </w:rPr>
      <w:instrText xml:space="preserve"> PAGE   \* MERGEFORMAT </w:instrText>
    </w:r>
    <w:r w:rsidR="00386805" w:rsidRPr="00EA55D0">
      <w:rPr>
        <w:b/>
        <w:bCs/>
        <w:sz w:val="21"/>
        <w:szCs w:val="21"/>
      </w:rPr>
      <w:fldChar w:fldCharType="separate"/>
    </w:r>
    <w:r w:rsidR="00386805" w:rsidRPr="00EA55D0">
      <w:rPr>
        <w:b/>
        <w:bCs/>
        <w:sz w:val="21"/>
        <w:szCs w:val="21"/>
      </w:rPr>
      <w:t>2</w:t>
    </w:r>
    <w:r w:rsidR="00386805" w:rsidRPr="00EA55D0">
      <w:rPr>
        <w:b/>
        <w:bCs/>
        <w:sz w:val="21"/>
        <w:szCs w:val="21"/>
      </w:rPr>
      <w:fldChar w:fldCharType="end"/>
    </w:r>
    <w:r w:rsidR="00386805" w:rsidRPr="00EA55D0">
      <w:rPr>
        <w:b/>
        <w:bCs/>
        <w:sz w:val="21"/>
        <w:szCs w:val="21"/>
      </w:rPr>
      <w:t xml:space="preserve"> </w:t>
    </w:r>
    <w:r w:rsidR="00386805" w:rsidRPr="00EA55D0">
      <w:rPr>
        <w:color w:val="1E1545" w:themeColor="text1"/>
        <w:sz w:val="21"/>
        <w:szCs w:val="21"/>
      </w:rPr>
      <w:t xml:space="preserve">| </w:t>
    </w:r>
    <w:r w:rsidR="00411185" w:rsidRPr="00EA55D0">
      <w:rPr>
        <w:sz w:val="21"/>
        <w:szCs w:val="21"/>
      </w:rPr>
      <w:t xml:space="preserve">QFR </w:t>
    </w:r>
    <w:r w:rsidR="00357938" w:rsidRPr="00EA55D0">
      <w:rPr>
        <w:sz w:val="21"/>
        <w:szCs w:val="21"/>
      </w:rPr>
      <w:t>Guidance</w:t>
    </w:r>
    <w:r w:rsidR="00411185" w:rsidRPr="00EA55D0">
      <w:rPr>
        <w:sz w:val="21"/>
        <w:szCs w:val="21"/>
      </w:rPr>
      <w:t xml:space="preserve"> and Frequently Asked Questions</w:t>
    </w:r>
    <w:r w:rsidR="00411185" w:rsidRPr="00EA55D0" w:rsidDel="00411185">
      <w:rPr>
        <w:color w:val="1E1545" w:themeColor="text1"/>
        <w:sz w:val="21"/>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07633"/>
      <w:docPartObj>
        <w:docPartGallery w:val="Page Numbers (Bottom of Page)"/>
        <w:docPartUnique/>
      </w:docPartObj>
    </w:sdtPr>
    <w:sdtEndPr>
      <w:rPr>
        <w:noProof/>
      </w:rPr>
    </w:sdtEndPr>
    <w:sdtContent>
      <w:p w14:paraId="20EF5BE9" w14:textId="67FAF0F5" w:rsidR="00D32798" w:rsidRPr="00EA55D0" w:rsidRDefault="00544DAA" w:rsidP="00E2208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E6D5" w14:textId="0EACB133" w:rsidR="00627385" w:rsidRPr="00EA55D0" w:rsidRDefault="00627385" w:rsidP="00627385">
    <w:pPr>
      <w:tabs>
        <w:tab w:val="right" w:pos="9072"/>
      </w:tabs>
    </w:pPr>
    <w:r w:rsidRPr="00EA55D0">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966"/>
    </w:tblGrid>
    <w:tr w:rsidR="00D0690C" w:rsidRPr="00EA55D0" w14:paraId="5B44DE79" w14:textId="77777777" w:rsidTr="005D4A3F">
      <w:trPr>
        <w:cnfStyle w:val="100000000000" w:firstRow="1" w:lastRow="0" w:firstColumn="0" w:lastColumn="0" w:oddVBand="0" w:evenVBand="0" w:oddHBand="0" w:evenHBand="0" w:firstRowFirstColumn="0" w:firstRowLastColumn="0" w:lastRowFirstColumn="0" w:lastRowLastColumn="0"/>
      </w:trPr>
      <w:tc>
        <w:tcPr>
          <w:tcW w:w="704" w:type="dxa"/>
          <w:tcMar>
            <w:top w:w="113" w:type="dxa"/>
            <w:bottom w:w="113" w:type="dxa"/>
          </w:tcMar>
          <w:vAlign w:val="center"/>
        </w:tcPr>
        <w:p w14:paraId="6C5949E1" w14:textId="77777777" w:rsidR="00D0690C" w:rsidRPr="00EA55D0" w:rsidRDefault="000B134E" w:rsidP="00D0690C">
          <w:pPr>
            <w:spacing w:before="0" w:after="0" w:line="240" w:lineRule="auto"/>
          </w:pPr>
          <w:r w:rsidRPr="00EA55D0">
            <w:rPr>
              <w:noProof/>
            </w:rPr>
            <mc:AlternateContent>
              <mc:Choice Requires="wps">
                <w:drawing>
                  <wp:anchor distT="0" distB="0" distL="0" distR="0" simplePos="0" relativeHeight="251658249" behindDoc="0" locked="0" layoutInCell="1" allowOverlap="1" wp14:anchorId="4CC3BCE6" wp14:editId="0C32A7AA">
                    <wp:simplePos x="635" y="635"/>
                    <wp:positionH relativeFrom="page">
                      <wp:align>center</wp:align>
                    </wp:positionH>
                    <wp:positionV relativeFrom="page">
                      <wp:align>bottom</wp:align>
                    </wp:positionV>
                    <wp:extent cx="609600" cy="485775"/>
                    <wp:effectExtent l="0" t="0" r="0" b="0"/>
                    <wp:wrapNone/>
                    <wp:docPr id="209557254"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DAF86E9" w14:textId="77777777" w:rsidR="000B134E" w:rsidRPr="00EA55D0" w:rsidRDefault="000B134E" w:rsidP="00E61D43">
                                <w:pPr>
                                  <w:spacing w:after="0"/>
                                  <w:rPr>
                                    <w:rFonts w:ascii="Aptos" w:eastAsia="Aptos" w:hAnsi="Aptos" w:cs="Aptos"/>
                                    <w:color w:val="FF0000"/>
                                  </w:rPr>
                                </w:pPr>
                                <w:r w:rsidRPr="00EA55D0">
                                  <w:rPr>
                                    <w:rFonts w:ascii="Aptos" w:eastAsia="Aptos" w:hAnsi="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C3BCE6" id="_x0000_t202" coordsize="21600,21600" o:spt="202" path="m,l,21600r21600,l21600,xe">
                    <v:stroke joinstyle="miter"/>
                    <v:path gradientshapeok="t" o:connecttype="rect"/>
                  </v:shapetype>
                  <v:shape id="Text Box 13" o:spid="_x0000_s1029" type="#_x0000_t202" alt="OFFICIAL" style="position:absolute;margin-left:0;margin-top:0;width:48pt;height:38.2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CxD4uGDgIAABwE&#10;AAAOAAAAAAAAAAAAAAAAAC4CAABkcnMvZTJvRG9jLnhtbFBLAQItABQABgAIAAAAIQCAFE8C2gAA&#10;AAMBAAAPAAAAAAAAAAAAAAAAAGgEAABkcnMvZG93bnJldi54bWxQSwUGAAAAAAQABADzAAAAbwUA&#10;AAAA&#10;" filled="f" stroked="f">
                    <v:textbox style="mso-fit-shape-to-text:t" inset="0,0,0,15pt">
                      <w:txbxContent>
                        <w:p w14:paraId="1DAF86E9" w14:textId="77777777" w:rsidR="000B134E" w:rsidRPr="00EA55D0" w:rsidRDefault="000B134E" w:rsidP="00E61D43">
                          <w:pPr>
                            <w:spacing w:after="0"/>
                            <w:rPr>
                              <w:rFonts w:ascii="Aptos" w:eastAsia="Aptos" w:hAnsi="Aptos" w:cs="Aptos"/>
                              <w:color w:val="FF0000"/>
                            </w:rPr>
                          </w:pPr>
                          <w:r w:rsidRPr="00EA55D0">
                            <w:rPr>
                              <w:rFonts w:ascii="Aptos" w:eastAsia="Aptos" w:hAnsi="Aptos" w:cs="Aptos"/>
                              <w:color w:val="FF0000"/>
                            </w:rPr>
                            <w:t>OFFICIAL</w:t>
                          </w:r>
                        </w:p>
                      </w:txbxContent>
                    </v:textbox>
                    <w10:wrap anchorx="page" anchory="page"/>
                  </v:shape>
                </w:pict>
              </mc:Fallback>
            </mc:AlternateContent>
          </w:r>
          <w:r w:rsidR="00D0690C" w:rsidRPr="00EA55D0">
            <w:rPr>
              <w:noProof/>
            </w:rPr>
            <w:drawing>
              <wp:inline distT="0" distB="0" distL="0" distR="0" wp14:anchorId="1E1D1C46" wp14:editId="5DD2752E">
                <wp:extent cx="279400" cy="279400"/>
                <wp:effectExtent l="0" t="0" r="0" b="0"/>
                <wp:docPr id="1456358669" name="Picture 1456358669"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ne icon"/>
                        <pic:cNvPicPr/>
                      </pic:nvPicPr>
                      <pic:blipFill>
                        <a:blip r:embed="rId1">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38742890" w14:textId="40D37153" w:rsidR="00D0690C" w:rsidRPr="00EA55D0" w:rsidRDefault="00D0690C" w:rsidP="00D0690C">
          <w:r w:rsidRPr="00EA55D0">
            <w:t xml:space="preserve">Phone </w:t>
          </w:r>
          <w:r w:rsidRPr="00EA55D0">
            <w:rPr>
              <w:bCs/>
            </w:rPr>
            <w:t xml:space="preserve">1800 200 422 </w:t>
          </w:r>
          <w:r w:rsidRPr="00EA55D0">
            <w:rPr>
              <w:bCs/>
            </w:rPr>
            <w:br/>
          </w:r>
          <w:r w:rsidRPr="00EA55D0">
            <w:t xml:space="preserve">(My Aged Care’s </w:t>
          </w:r>
          <w:r w:rsidR="00D377EC" w:rsidRPr="00EA55D0">
            <w:t>free call</w:t>
          </w:r>
          <w:r w:rsidRPr="00EA55D0">
            <w:t xml:space="preserve"> phone line)</w:t>
          </w:r>
        </w:p>
      </w:tc>
    </w:tr>
    <w:tr w:rsidR="00D0690C" w:rsidRPr="00EA55D0" w14:paraId="22C6825D" w14:textId="77777777" w:rsidTr="005D4A3F">
      <w:tc>
        <w:tcPr>
          <w:tcW w:w="704" w:type="dxa"/>
          <w:tcMar>
            <w:top w:w="113" w:type="dxa"/>
            <w:bottom w:w="113" w:type="dxa"/>
          </w:tcMar>
          <w:vAlign w:val="center"/>
        </w:tcPr>
        <w:p w14:paraId="7C17B0B4" w14:textId="77777777" w:rsidR="00D0690C" w:rsidRPr="00EA55D0" w:rsidRDefault="00D0690C" w:rsidP="00D0690C">
          <w:pPr>
            <w:spacing w:before="0" w:after="0" w:line="240" w:lineRule="auto"/>
          </w:pPr>
          <w:r w:rsidRPr="00EA55D0">
            <w:rPr>
              <w:noProof/>
            </w:rPr>
            <w:drawing>
              <wp:inline distT="0" distB="0" distL="0" distR="0" wp14:anchorId="6DE6580D" wp14:editId="38CCCB9B">
                <wp:extent cx="279400" cy="279400"/>
                <wp:effectExtent l="0" t="0" r="0" b="0"/>
                <wp:docPr id="1793027345" name="Picture 1793027345"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bsite icon"/>
                        <pic:cNvPicPr/>
                      </pic:nvPicPr>
                      <pic:blipFill>
                        <a:blip r:embed="rId2">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33E2E70C" w14:textId="77777777" w:rsidR="00D0690C" w:rsidRPr="00EA55D0" w:rsidRDefault="00D0690C" w:rsidP="00D0690C">
          <w:pPr>
            <w:spacing w:before="0" w:after="0" w:line="240" w:lineRule="auto"/>
          </w:pPr>
          <w:r w:rsidRPr="00EA55D0">
            <w:t xml:space="preserve">Visit </w:t>
          </w:r>
          <w:r w:rsidRPr="00EA55D0">
            <w:rPr>
              <w:b/>
              <w:bCs/>
            </w:rPr>
            <w:t>agedcareengagement.health.gov.au</w:t>
          </w:r>
        </w:p>
      </w:tc>
    </w:tr>
  </w:tbl>
  <w:p w14:paraId="3483FCCF" w14:textId="77777777" w:rsidR="005D4A3F" w:rsidRPr="00EA55D0" w:rsidRDefault="005D4A3F" w:rsidP="005D4A3F">
    <w:r w:rsidRPr="00EA55D0">
      <w:t xml:space="preserve">For translating and interpreting services, call </w:t>
    </w:r>
    <w:r w:rsidRPr="00EA55D0">
      <w:rPr>
        <w:b/>
        <w:bCs/>
      </w:rPr>
      <w:t>131 450</w:t>
    </w:r>
    <w:r w:rsidRPr="00EA55D0">
      <w:t xml:space="preserve"> and </w:t>
    </w:r>
    <w:r w:rsidRPr="00EA55D0">
      <w:br/>
      <w:t xml:space="preserve">ask for My Aged Care on </w:t>
    </w:r>
    <w:r w:rsidRPr="00EA55D0">
      <w:rPr>
        <w:b/>
        <w:bCs/>
      </w:rPr>
      <w:t>1800 200 422</w:t>
    </w:r>
    <w:r w:rsidRPr="00EA55D0">
      <w:t>.</w:t>
    </w:r>
  </w:p>
  <w:p w14:paraId="46864E91" w14:textId="77777777" w:rsidR="00D0690C" w:rsidRPr="00EA55D0" w:rsidRDefault="005D4A3F" w:rsidP="005D4A3F">
    <w:r w:rsidRPr="00EA55D0">
      <w:t xml:space="preserve">To use the National Relay Service, visit </w:t>
    </w:r>
    <w:r w:rsidRPr="00EA55D0">
      <w:rPr>
        <w:b/>
        <w:bCs/>
      </w:rPr>
      <w:t>nrschat.nrscall.gov.au/</w:t>
    </w:r>
    <w:proofErr w:type="spellStart"/>
    <w:r w:rsidRPr="00EA55D0">
      <w:rPr>
        <w:b/>
        <w:bCs/>
      </w:rPr>
      <w:t>nrs</w:t>
    </w:r>
    <w:proofErr w:type="spellEnd"/>
    <w:r w:rsidRPr="00EA55D0">
      <w:t xml:space="preserve"> </w:t>
    </w:r>
    <w:r w:rsidRPr="00EA55D0">
      <w:br/>
      <w:t xml:space="preserve">or call </w:t>
    </w:r>
    <w:r w:rsidRPr="00EA55D0">
      <w:rPr>
        <w:b/>
        <w:bCs/>
      </w:rPr>
      <w:t>1800 555 660</w:t>
    </w:r>
    <w:r w:rsidRPr="00EA55D0">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B43E" w14:textId="5A5BA387" w:rsidR="00D0690C" w:rsidRPr="00EA55D0" w:rsidRDefault="00D0690C" w:rsidP="005D4A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3872" w14:textId="77777777" w:rsidR="009E522F" w:rsidRPr="00EA55D0" w:rsidRDefault="009E522F" w:rsidP="00934368">
      <w:r w:rsidRPr="00EA55D0">
        <w:separator/>
      </w:r>
    </w:p>
    <w:p w14:paraId="4BB42FE0" w14:textId="77777777" w:rsidR="009E522F" w:rsidRPr="00EA55D0" w:rsidRDefault="009E522F" w:rsidP="00934368"/>
  </w:footnote>
  <w:footnote w:type="continuationSeparator" w:id="0">
    <w:p w14:paraId="67A96E05" w14:textId="77777777" w:rsidR="009E522F" w:rsidRPr="00EA55D0" w:rsidRDefault="009E522F" w:rsidP="00934368">
      <w:r w:rsidRPr="00EA55D0">
        <w:continuationSeparator/>
      </w:r>
    </w:p>
    <w:p w14:paraId="69EEA89B" w14:textId="77777777" w:rsidR="009E522F" w:rsidRPr="00EA55D0" w:rsidRDefault="009E522F" w:rsidP="00934368"/>
  </w:footnote>
  <w:footnote w:type="continuationNotice" w:id="1">
    <w:p w14:paraId="0A221D60" w14:textId="77777777" w:rsidR="009E522F" w:rsidRPr="00EA55D0" w:rsidRDefault="009E522F"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5FF3" w14:textId="14068DCC" w:rsidR="00D32798" w:rsidRPr="00EA55D0" w:rsidRDefault="000B134E">
    <w:pPr>
      <w:pStyle w:val="Header"/>
    </w:pPr>
    <w:r w:rsidRPr="00EA55D0">
      <w:rPr>
        <w:noProof/>
      </w:rPr>
      <mc:AlternateContent>
        <mc:Choice Requires="wps">
          <w:drawing>
            <wp:anchor distT="0" distB="0" distL="0" distR="0" simplePos="0" relativeHeight="251658244" behindDoc="0" locked="0" layoutInCell="1" allowOverlap="1" wp14:anchorId="5A7A7824" wp14:editId="6352D3EB">
              <wp:simplePos x="635" y="635"/>
              <wp:positionH relativeFrom="page">
                <wp:align>center</wp:align>
              </wp:positionH>
              <wp:positionV relativeFrom="page">
                <wp:align>top</wp:align>
              </wp:positionV>
              <wp:extent cx="609600" cy="485775"/>
              <wp:effectExtent l="0" t="0" r="0" b="9525"/>
              <wp:wrapNone/>
              <wp:docPr id="2547131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F75F318" w14:textId="3AFBA76D" w:rsidR="000B134E" w:rsidRPr="00EA55D0" w:rsidRDefault="000B134E" w:rsidP="00E61D43">
                          <w:pPr>
                            <w:spacing w:after="0"/>
                            <w:rPr>
                              <w:rFonts w:ascii="Aptos" w:eastAsia="Aptos" w:hAnsi="Aptos" w:cs="Aptos"/>
                              <w:color w:val="FF0000"/>
                            </w:rPr>
                          </w:pPr>
                          <w:r w:rsidRPr="00EA55D0">
                            <w:rPr>
                              <w:rFonts w:ascii="Aptos" w:eastAsia="Aptos" w:hAnsi="Aptos" w:cs="Aptos"/>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7A7824" id="_x0000_t202" coordsize="21600,21600" o:spt="202" path="m,l,21600r21600,l21600,xe">
              <v:stroke joinstyle="miter"/>
              <v:path gradientshapeok="t" o:connecttype="rect"/>
            </v:shapetype>
            <v:shape id="Text Box 2" o:spid="_x0000_s1026" type="#_x0000_t202" alt="OFFICIAL" style="position:absolute;margin-left:0;margin-top:0;width:48pt;height:38.2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filled="f" stroked="f">
              <v:textbox style="mso-fit-shape-to-text:t" inset="0,15pt,0,0">
                <w:txbxContent>
                  <w:p w14:paraId="0F75F318" w14:textId="3AFBA76D" w:rsidR="000B134E" w:rsidRPr="00EA55D0" w:rsidRDefault="000B134E" w:rsidP="00E61D43">
                    <w:pPr>
                      <w:spacing w:after="0"/>
                      <w:rPr>
                        <w:rFonts w:ascii="Aptos" w:eastAsia="Aptos" w:hAnsi="Aptos" w:cs="Aptos"/>
                        <w:color w:val="FF0000"/>
                      </w:rPr>
                    </w:pPr>
                    <w:r w:rsidRPr="00EA55D0">
                      <w:rPr>
                        <w:rFonts w:ascii="Aptos" w:eastAsia="Aptos" w:hAnsi="Aptos" w:cs="Aptos"/>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827D" w14:textId="75F6BCD9" w:rsidR="003B1273" w:rsidRPr="00EA55D0" w:rsidRDefault="001044B1" w:rsidP="006249DC">
    <w:pPr>
      <w:pStyle w:val="Header"/>
      <w:ind w:firstLine="720"/>
      <w:rPr>
        <w:lang w:eastAsia="en-AU"/>
      </w:rPr>
    </w:pPr>
    <w:r w:rsidRPr="00EA55D0">
      <w:rPr>
        <w:noProof/>
        <w:lang w:eastAsia="en-AU"/>
      </w:rPr>
      <w:drawing>
        <wp:anchor distT="0" distB="0" distL="114300" distR="114300" simplePos="0" relativeHeight="251658242" behindDoc="1" locked="0" layoutInCell="1" allowOverlap="1" wp14:anchorId="4AFCF526" wp14:editId="65558945">
          <wp:simplePos x="0" y="0"/>
          <wp:positionH relativeFrom="page">
            <wp:align>left</wp:align>
          </wp:positionH>
          <wp:positionV relativeFrom="page">
            <wp:align>top</wp:align>
          </wp:positionV>
          <wp:extent cx="7570612" cy="10720800"/>
          <wp:effectExtent l="0" t="0" r="0" b="0"/>
          <wp:wrapNone/>
          <wp:docPr id="1204936734" name="Picture 12049367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612" cy="10720800"/>
                  </a:xfrm>
                  <a:prstGeom prst="rect">
                    <a:avLst/>
                  </a:prstGeom>
                </pic:spPr>
              </pic:pic>
            </a:graphicData>
          </a:graphic>
          <wp14:sizeRelH relativeFrom="margin">
            <wp14:pctWidth>0</wp14:pctWidth>
          </wp14:sizeRelH>
          <wp14:sizeRelV relativeFrom="margin">
            <wp14:pctHeight>0</wp14:pctHeight>
          </wp14:sizeRelV>
        </wp:anchor>
      </w:drawing>
    </w:r>
  </w:p>
  <w:p w14:paraId="7F33BFBC" w14:textId="77777777" w:rsidR="00751A23" w:rsidRPr="00EA55D0" w:rsidRDefault="00627385" w:rsidP="00934368">
    <w:pPr>
      <w:pStyle w:val="Header"/>
    </w:pPr>
    <w:r w:rsidRPr="00EA55D0">
      <w:rPr>
        <w:noProof/>
      </w:rPr>
      <mc:AlternateContent>
        <mc:Choice Requires="wps">
          <w:drawing>
            <wp:anchor distT="0" distB="0" distL="114300" distR="114300" simplePos="0" relativeHeight="251658240" behindDoc="1" locked="0" layoutInCell="1" allowOverlap="1" wp14:anchorId="1D800D6F" wp14:editId="54902E58">
              <wp:simplePos x="0" y="0"/>
              <wp:positionH relativeFrom="column">
                <wp:posOffset>-881380</wp:posOffset>
              </wp:positionH>
              <wp:positionV relativeFrom="paragraph">
                <wp:posOffset>3995420</wp:posOffset>
              </wp:positionV>
              <wp:extent cx="7610475" cy="6238875"/>
              <wp:effectExtent l="0" t="0" r="9525" b="9525"/>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0475" cy="62388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8A2022" id="Rectangle 23" o:spid="_x0000_s1026" alt="&quot;&quot;" style="position:absolute;margin-left:-69.4pt;margin-top:314.6pt;width:599.25pt;height:49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RnfAIAAF8FAAAOAAAAZHJzL2Uyb0RvYy54bWysVEtv2zAMvg/YfxB0X+1k6WNBnSJo0WFA&#10;0QZth54VWYoFyKImKXGyXz9Ksp2uK3YYloMiih8/Pkzy8mrfarITziswFZ2clJQIw6FWZlPR78+3&#10;ny4o8YGZmmkwoqIH4enV4uOHy87OxRQa0LVwBEmMn3e2ok0Idl4UnjeiZf4ErDColOBaFlB0m6J2&#10;rEP2VhfTsjwrOnC1dcCF9/h6k5V0kfilFDw8SOlFILqiGFtIp0vnOp7F4pLNN47ZRvE+DPYPUbRM&#10;GXQ6Ut2wwMjWqT+oWsUdeJDhhENbgJSKi5QDZjMp32Tz1DArUi5YHG/HMvn/R8vvd0925bAMnfVz&#10;j9eYxV66Nv5jfGSfinUYiyX2gXB8PD+blLPzU0o46s6mny8uUECe4mhunQ9fBbQkXirq8GukIrHd&#10;nQ8ZOkCiNw9a1bdK6yTEDhDX2pEdw2+33kx78t9Q2kSsgWiVCeNLccwl3cJBi4jT5lFIomqMfpoC&#10;SW12dMI4FyZMsqphtci+T0v8Dd6HsFKiiTAyS/Q/cvcEAzKTDNw5yh4fTUXq0tG4/Ftg2Xi0SJ7B&#10;hNG4VQbcewQas+o9Z/xQpFyaWKU11IeVIw7yjHjLbxV+tjvmw4o5HAocHxz08ICH1NBVFPobJQ24&#10;n++9Rzz2Kmop6XDIKup/bJkTlOhvBrv4y2Q2i1OZhNnp+RQF91qzfq0x2/YasBcmuFIsT9eID3q4&#10;SgftC+6DZfSKKmY4+q4oD24QrkMeftwoXCyXCYaTaFm4M0+WR/JY1diWz/sX5mzfuwHb/h6GgWTz&#10;Ny2csdHSwHIbQKrU38e69vXGKU6N02+cuCZeywl13IuLXwAAAP//AwBQSwMEFAAGAAgAAAAhALvO&#10;7bTjAAAADgEAAA8AAABkcnMvZG93bnJldi54bWxMj8FOwzAQRO9I/IO1lbi1ToJImxCnqhAcuCBR&#10;UMXRiTeJ1Xgd2W4b/h73RG872tHMm2o7m5Gd0XltSUC6SoAhtVZp6gV8f70tN8B8kKTkaAkF/KKH&#10;bX1/V8lS2Qt94nkfehZDyJdSwBDCVHLu2wGN9Cs7IcVfZ52RIUrXc+XkJYabkWdJknMjNcWGQU74&#10;MmB73J+MAOre80Lrj8673cEcXrPup+m5EA+LefcMLOAc/s1wxY/oUEemxp5IeTYKWKaPm8geBORZ&#10;kQG7WpKnYg2siVeepmvgdcVvZ9R/AAAA//8DAFBLAQItABQABgAIAAAAIQC2gziS/gAAAOEBAAAT&#10;AAAAAAAAAAAAAAAAAAAAAABbQ29udGVudF9UeXBlc10ueG1sUEsBAi0AFAAGAAgAAAAhADj9If/W&#10;AAAAlAEAAAsAAAAAAAAAAAAAAAAALwEAAF9yZWxzLy5yZWxzUEsBAi0AFAAGAAgAAAAhADgApGd8&#10;AgAAXwUAAA4AAAAAAAAAAAAAAAAALgIAAGRycy9lMm9Eb2MueG1sUEsBAi0AFAAGAAgAAAAhALvO&#10;7bTjAAAADgEAAA8AAAAAAAAAAAAAAAAA1gQAAGRycy9kb3ducmV2LnhtbFBLBQYAAAAABAAEAPMA&#10;AADmBQAAAAA=&#10;" fillcolor="#f1f2f2 [3214]" stroked="f" strokeweight="2pt"/>
          </w:pict>
        </mc:Fallback>
      </mc:AlternateContent>
    </w:r>
    <w:r w:rsidRPr="00EA55D0">
      <w:rPr>
        <w:noProof/>
      </w:rPr>
      <w:drawing>
        <wp:anchor distT="0" distB="0" distL="114300" distR="114300" simplePos="0" relativeHeight="251658241" behindDoc="1" locked="0" layoutInCell="1" allowOverlap="1" wp14:anchorId="3A4EC9B3" wp14:editId="7B9CA8CC">
          <wp:simplePos x="904875" y="704850"/>
          <wp:positionH relativeFrom="page">
            <wp:align>center</wp:align>
          </wp:positionH>
          <wp:positionV relativeFrom="page">
            <wp:align>top</wp:align>
          </wp:positionV>
          <wp:extent cx="7560000" cy="5043600"/>
          <wp:effectExtent l="0" t="0" r="3175" b="5080"/>
          <wp:wrapNone/>
          <wp:docPr id="924519516" name="Picture 9245195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504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58E1" w14:textId="44F6B852" w:rsidR="00D0690C" w:rsidRPr="00EA55D0" w:rsidRDefault="000B134E">
    <w:pPr>
      <w:pStyle w:val="Header"/>
    </w:pPr>
    <w:r w:rsidRPr="00EA55D0">
      <w:rPr>
        <w:noProof/>
      </w:rPr>
      <mc:AlternateContent>
        <mc:Choice Requires="wps">
          <w:drawing>
            <wp:anchor distT="0" distB="0" distL="0" distR="0" simplePos="0" relativeHeight="251658246" behindDoc="0" locked="0" layoutInCell="1" allowOverlap="1" wp14:anchorId="5AF53970" wp14:editId="64ABF500">
              <wp:simplePos x="635" y="635"/>
              <wp:positionH relativeFrom="page">
                <wp:align>center</wp:align>
              </wp:positionH>
              <wp:positionV relativeFrom="page">
                <wp:align>top</wp:align>
              </wp:positionV>
              <wp:extent cx="609600" cy="485775"/>
              <wp:effectExtent l="0" t="0" r="0" b="9525"/>
              <wp:wrapNone/>
              <wp:docPr id="4629369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6F0D040" w14:textId="4F72080F" w:rsidR="000B134E" w:rsidRPr="00EA55D0" w:rsidRDefault="000B134E" w:rsidP="00E61D43">
                          <w:pPr>
                            <w:spacing w:after="0"/>
                            <w:rPr>
                              <w:rFonts w:ascii="Aptos" w:eastAsia="Aptos" w:hAnsi="Aptos" w:cs="Aptos"/>
                              <w:color w:val="FF0000"/>
                            </w:rPr>
                          </w:pPr>
                          <w:r w:rsidRPr="00EA55D0">
                            <w:rPr>
                              <w:rFonts w:ascii="Aptos" w:eastAsia="Aptos" w:hAnsi="Aptos" w:cs="Aptos"/>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F53970" id="_x0000_t202" coordsize="21600,21600" o:spt="202" path="m,l,21600r21600,l21600,xe">
              <v:stroke joinstyle="miter"/>
              <v:path gradientshapeok="t" o:connecttype="rect"/>
            </v:shapetype>
            <v:shape id="Text Box 7" o:spid="_x0000_s1028" type="#_x0000_t202" alt="OFFICIAL" style="position:absolute;margin-left:0;margin-top:0;width:48pt;height:38.2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gPDQ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aSMb3L55EMN7r3o2GO+gFQhlN8EZYn&#10;M+YFNZrSgX5DOa9jIQwxw7FcScNoPoReufgcuFivUxLKyLKwNTvLI3SkK3L52r0xZwfCA27qCUY1&#10;seId731uvOnt+hiQ/bSUSG1P5MA4SjCtdXguUeO//qes66Ne/QQAAP//AwBQSwMEFAAGAAgAAAAh&#10;AGPnk73ZAAAAAwEAAA8AAABkcnMvZG93bnJldi54bWxMj8FOwzAQRO9I/IO1SNyoE6QESLOpKqQe&#10;eiulcHbjbRKI11HstqFfz8IFLiONZjXztlxMrlcnGkPnGSGdJaCIa287bhB2r6u7R1AhGram90wI&#10;XxRgUV1flaaw/swvdNrGRkkJh8IgtDEOhdahbsmZMPMDsWQHPzoTxY6NtqM5S7nr9X2S5NqZjmWh&#10;NQM9t1R/bo8OocuWPqb0tl59vLvUp5fNOrtsEG9vpuUcVKQp/h3DD76gQyVMe39kG1SPII/EX5Xs&#10;KRe3R3jIM9BVqf+zV98AAAD//wMAUEsBAi0AFAAGAAgAAAAhALaDOJL+AAAA4QEAABMAAAAAAAAA&#10;AAAAAAAAAAAAAFtDb250ZW50X1R5cGVzXS54bWxQSwECLQAUAAYACAAAACEAOP0h/9YAAACUAQAA&#10;CwAAAAAAAAAAAAAAAAAvAQAAX3JlbHMvLnJlbHNQSwECLQAUAAYACAAAACEAQndoDw0CAAAcBAAA&#10;DgAAAAAAAAAAAAAAAAAuAgAAZHJzL2Uyb0RvYy54bWxQSwECLQAUAAYACAAAACEAY+eTvdkAAAAD&#10;AQAADwAAAAAAAAAAAAAAAABnBAAAZHJzL2Rvd25yZXYueG1sUEsFBgAAAAAEAAQA8wAAAG0FAAAA&#10;AA==&#10;" filled="f" stroked="f">
              <v:textbox style="mso-fit-shape-to-text:t" inset="0,15pt,0,0">
                <w:txbxContent>
                  <w:p w14:paraId="36F0D040" w14:textId="4F72080F" w:rsidR="000B134E" w:rsidRPr="00EA55D0" w:rsidRDefault="000B134E" w:rsidP="00E61D43">
                    <w:pPr>
                      <w:spacing w:after="0"/>
                      <w:rPr>
                        <w:rFonts w:ascii="Aptos" w:eastAsia="Aptos" w:hAnsi="Aptos" w:cs="Aptos"/>
                        <w:color w:val="FF0000"/>
                      </w:rPr>
                    </w:pPr>
                    <w:r w:rsidRPr="00EA55D0">
                      <w:rPr>
                        <w:rFonts w:ascii="Aptos" w:eastAsia="Aptos" w:hAnsi="Aptos" w:cs="Aptos"/>
                        <w:color w:val="FF0000"/>
                      </w:rPr>
                      <w:t>OFFICIAL</w:t>
                    </w:r>
                  </w:p>
                </w:txbxContent>
              </v:textbox>
              <w10:wrap anchorx="page" anchory="page"/>
            </v:shape>
          </w:pict>
        </mc:Fallback>
      </mc:AlternateContent>
    </w:r>
    <w:r w:rsidR="00312749" w:rsidRPr="00EA55D0">
      <w:rPr>
        <w:noProof/>
      </w:rPr>
      <mc:AlternateContent>
        <mc:Choice Requires="wps">
          <w:drawing>
            <wp:anchor distT="0" distB="0" distL="114300" distR="114300" simplePos="0" relativeHeight="251658243" behindDoc="1" locked="0" layoutInCell="1" allowOverlap="1" wp14:anchorId="440492F8" wp14:editId="7E870D7B">
              <wp:simplePos x="0" y="0"/>
              <wp:positionH relativeFrom="page">
                <wp:align>center</wp:align>
              </wp:positionH>
              <wp:positionV relativeFrom="page">
                <wp:align>top</wp:align>
              </wp:positionV>
              <wp:extent cx="7560000" cy="10692000"/>
              <wp:effectExtent l="0" t="0" r="0" b="1905"/>
              <wp:wrapNone/>
              <wp:docPr id="171546118" name="Rectangle 171546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BE4FB" id="Rectangle 171546118" o:spid="_x0000_s1026" alt="&quot;&quot;" style="position:absolute;margin-left:0;margin-top:0;width:595.3pt;height:841.9pt;z-index:-251658237;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DHfQIAAGAFAAAOAAAAZHJzL2Uyb0RvYy54bWysVE1v2zAMvQ/YfxB0X20H/ViDOkXQosOA&#10;oi2WDj0rshQbkEWNUuJkv36U/JGuK3YYloMimY+P5BOpq+t9a9hOoW/Alrw4yTlTVkLV2E3Jvz/f&#10;ffrMmQ/CVsKAVSU/KM+vFx8/XHVurmZQg6kUMiKxft65ktchuHmWeVmrVvgTcMqSUQO2ItARN1mF&#10;oiP21mSzPD/POsDKIUjlPX297Y18kfi1VjI8au1VYKbklFtIK6Z1HddscSXmGxSubuSQhviHLFrR&#10;WAo6Ud2KINgWmz+o2kYieNDhREKbgdaNVKkGqqbI31SzqoVTqRYSx7tJJv//aOXDbuWekGTonJ97&#10;2sYq9hrb+E/5sX0S6zCJpfaBSfp4cXae048zSbYiP7+k60h6Zkd/hz58UdCyuCk50nUklcTu3geK&#10;SdAREsN5ME111xiTDrEF1I1BthN0eetNES+LPH5DGRuxFqJXb45fsmMxaRcORkWcsd+UZk1F6c9S&#10;IqnPjkGElMqGojfVolJ97LNU6BB9TCvlkggjs6b4E/dAMCJ7kpG7pxnw0VWlNp2c878l1jtPHiky&#10;2DA5t40FfI/AUFVD5B4/itRLE1VaQ3V4QobQD4l38q6ha7sXPjwJpKmgu6ZJD4+0aANdyWHYcVYD&#10;/nzve8RTs5KVs46mrOT+x1ag4sx8tdTGl8XpaRzLdDg9u5jRAV9b1q8tdtveAPVCQW+Kk2kb8cGM&#10;W43QvtCDsIxRySSspNgllwHHw03op5+eFKmWywSjUXQi3NuVk5E8qhrb8nn/ItANvRuo7x9gnEgx&#10;f9PCPTZ6WlhuA+gm9fdR10FvGuPUOMOTE9+J1+eEOj6Mi18AAAD//wMAUEsDBBQABgAIAAAAIQDj&#10;LvPA3QAAAAcBAAAPAAAAZHJzL2Rvd25yZXYueG1sTI/BTsMwEETvSP0Ha5G4UbtUTUOIUyEEFe2N&#10;Qji78ZJEtdchdtrw93W5wGU1q1nNvM1XozXsiL1vHUmYTQUwpMrplmoJH+8vtykwHxRpZRyhhB/0&#10;sComV7nKtDvRGx53oWYxhHymJDQhdBnnvmrQKj91HVL0vlxvVYhrX3Pdq1MMt4bfCZFwq1qKDY3q&#10;8KnB6rAbrIRhsdw8j5/f63kpyuW2NIvXsO6kvLkeHx+ABRzD3zFc8CM6FJFp7wbSnhkJ8ZHwOy/e&#10;7F4kwPZRJek8BV7k/D9/cQYAAP//AwBQSwECLQAUAAYACAAAACEAtoM4kv4AAADhAQAAEwAAAAAA&#10;AAAAAAAAAAAAAAAAW0NvbnRlbnRfVHlwZXNdLnhtbFBLAQItABQABgAIAAAAIQA4/SH/1gAAAJQB&#10;AAALAAAAAAAAAAAAAAAAAC8BAABfcmVscy8ucmVsc1BLAQItABQABgAIAAAAIQCvWSDHfQIAAGAF&#10;AAAOAAAAAAAAAAAAAAAAAC4CAABkcnMvZTJvRG9jLnhtbFBLAQItABQABgAIAAAAIQDjLvPA3QAA&#10;AAcBAAAPAAAAAAAAAAAAAAAAANcEAABkcnMvZG93bnJldi54bWxQSwUGAAAAAAQABADzAAAA4QUA&#10;AAAA&#10;" fillcolor="#f1f2f2 [3212]" strok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38C3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E15EB"/>
    <w:multiLevelType w:val="hybridMultilevel"/>
    <w:tmpl w:val="2D94F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564F30"/>
    <w:multiLevelType w:val="hybridMultilevel"/>
    <w:tmpl w:val="4878B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4" w15:restartNumberingAfterBreak="0">
    <w:nsid w:val="03C00C97"/>
    <w:multiLevelType w:val="hybridMultilevel"/>
    <w:tmpl w:val="753CF2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78178D"/>
    <w:multiLevelType w:val="multilevel"/>
    <w:tmpl w:val="852EC33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8E30D84"/>
    <w:multiLevelType w:val="hybridMultilevel"/>
    <w:tmpl w:val="6CD49A84"/>
    <w:lvl w:ilvl="0" w:tplc="66C4E4D0">
      <w:start w:val="1"/>
      <w:numFmt w:val="bullet"/>
      <w:lvlText w:val="•"/>
      <w:lvlJc w:val="left"/>
      <w:pPr>
        <w:tabs>
          <w:tab w:val="num" w:pos="720"/>
        </w:tabs>
        <w:ind w:left="720" w:hanging="360"/>
      </w:pPr>
      <w:rPr>
        <w:rFonts w:ascii="Arial" w:hAnsi="Arial" w:hint="default"/>
      </w:rPr>
    </w:lvl>
    <w:lvl w:ilvl="1" w:tplc="838E58F4" w:tentative="1">
      <w:start w:val="1"/>
      <w:numFmt w:val="bullet"/>
      <w:lvlText w:val="•"/>
      <w:lvlJc w:val="left"/>
      <w:pPr>
        <w:tabs>
          <w:tab w:val="num" w:pos="1440"/>
        </w:tabs>
        <w:ind w:left="1440" w:hanging="360"/>
      </w:pPr>
      <w:rPr>
        <w:rFonts w:ascii="Arial" w:hAnsi="Arial" w:hint="default"/>
      </w:rPr>
    </w:lvl>
    <w:lvl w:ilvl="2" w:tplc="0DB888C8" w:tentative="1">
      <w:start w:val="1"/>
      <w:numFmt w:val="bullet"/>
      <w:lvlText w:val="•"/>
      <w:lvlJc w:val="left"/>
      <w:pPr>
        <w:tabs>
          <w:tab w:val="num" w:pos="2160"/>
        </w:tabs>
        <w:ind w:left="2160" w:hanging="360"/>
      </w:pPr>
      <w:rPr>
        <w:rFonts w:ascii="Arial" w:hAnsi="Arial" w:hint="default"/>
      </w:rPr>
    </w:lvl>
    <w:lvl w:ilvl="3" w:tplc="E34448E2" w:tentative="1">
      <w:start w:val="1"/>
      <w:numFmt w:val="bullet"/>
      <w:lvlText w:val="•"/>
      <w:lvlJc w:val="left"/>
      <w:pPr>
        <w:tabs>
          <w:tab w:val="num" w:pos="2880"/>
        </w:tabs>
        <w:ind w:left="2880" w:hanging="360"/>
      </w:pPr>
      <w:rPr>
        <w:rFonts w:ascii="Arial" w:hAnsi="Arial" w:hint="default"/>
      </w:rPr>
    </w:lvl>
    <w:lvl w:ilvl="4" w:tplc="81C61010" w:tentative="1">
      <w:start w:val="1"/>
      <w:numFmt w:val="bullet"/>
      <w:lvlText w:val="•"/>
      <w:lvlJc w:val="left"/>
      <w:pPr>
        <w:tabs>
          <w:tab w:val="num" w:pos="3600"/>
        </w:tabs>
        <w:ind w:left="3600" w:hanging="360"/>
      </w:pPr>
      <w:rPr>
        <w:rFonts w:ascii="Arial" w:hAnsi="Arial" w:hint="default"/>
      </w:rPr>
    </w:lvl>
    <w:lvl w:ilvl="5" w:tplc="A96ABD5A" w:tentative="1">
      <w:start w:val="1"/>
      <w:numFmt w:val="bullet"/>
      <w:lvlText w:val="•"/>
      <w:lvlJc w:val="left"/>
      <w:pPr>
        <w:tabs>
          <w:tab w:val="num" w:pos="4320"/>
        </w:tabs>
        <w:ind w:left="4320" w:hanging="360"/>
      </w:pPr>
      <w:rPr>
        <w:rFonts w:ascii="Arial" w:hAnsi="Arial" w:hint="default"/>
      </w:rPr>
    </w:lvl>
    <w:lvl w:ilvl="6" w:tplc="A05C700C" w:tentative="1">
      <w:start w:val="1"/>
      <w:numFmt w:val="bullet"/>
      <w:lvlText w:val="•"/>
      <w:lvlJc w:val="left"/>
      <w:pPr>
        <w:tabs>
          <w:tab w:val="num" w:pos="5040"/>
        </w:tabs>
        <w:ind w:left="5040" w:hanging="360"/>
      </w:pPr>
      <w:rPr>
        <w:rFonts w:ascii="Arial" w:hAnsi="Arial" w:hint="default"/>
      </w:rPr>
    </w:lvl>
    <w:lvl w:ilvl="7" w:tplc="FC9A34E2" w:tentative="1">
      <w:start w:val="1"/>
      <w:numFmt w:val="bullet"/>
      <w:lvlText w:val="•"/>
      <w:lvlJc w:val="left"/>
      <w:pPr>
        <w:tabs>
          <w:tab w:val="num" w:pos="5760"/>
        </w:tabs>
        <w:ind w:left="5760" w:hanging="360"/>
      </w:pPr>
      <w:rPr>
        <w:rFonts w:ascii="Arial" w:hAnsi="Arial" w:hint="default"/>
      </w:rPr>
    </w:lvl>
    <w:lvl w:ilvl="8" w:tplc="478409F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8E4410C"/>
    <w:multiLevelType w:val="multilevel"/>
    <w:tmpl w:val="13586ED8"/>
    <w:styleLink w:val="Style2"/>
    <w:lvl w:ilvl="0">
      <w:start w:val="1"/>
      <w:numFmt w:val="bullet"/>
      <w:lvlText w:val="l"/>
      <w:lvlJc w:val="left"/>
      <w:pPr>
        <w:ind w:left="644" w:hanging="284"/>
      </w:pPr>
      <w:rPr>
        <w:rFonts w:ascii="Wingdings" w:hAnsi="Wingdings" w:hint="default"/>
        <w:color w:val="auto"/>
      </w:rPr>
    </w:lvl>
    <w:lvl w:ilvl="1">
      <w:start w:val="1"/>
      <w:numFmt w:val="bullet"/>
      <w:lvlText w:val="n"/>
      <w:lvlJc w:val="left"/>
      <w:pPr>
        <w:ind w:left="1080" w:hanging="360"/>
      </w:pPr>
      <w:rPr>
        <w:rFonts w:ascii="Wingdings" w:hAnsi="Wingdings" w:hint="default"/>
        <w:color w:val="auto"/>
        <w:sz w:val="16"/>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0DF778DC"/>
    <w:multiLevelType w:val="hybridMultilevel"/>
    <w:tmpl w:val="BE568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FD3A96"/>
    <w:multiLevelType w:val="hybridMultilevel"/>
    <w:tmpl w:val="B3265E6E"/>
    <w:lvl w:ilvl="0" w:tplc="1F7C54F4">
      <w:start w:val="1"/>
      <w:numFmt w:val="bullet"/>
      <w:lvlText w:val="•"/>
      <w:lvlJc w:val="left"/>
      <w:pPr>
        <w:tabs>
          <w:tab w:val="num" w:pos="720"/>
        </w:tabs>
        <w:ind w:left="720" w:hanging="360"/>
      </w:pPr>
      <w:rPr>
        <w:rFonts w:ascii="Arial" w:hAnsi="Arial" w:hint="default"/>
      </w:rPr>
    </w:lvl>
    <w:lvl w:ilvl="1" w:tplc="9ECEDCD6" w:tentative="1">
      <w:start w:val="1"/>
      <w:numFmt w:val="bullet"/>
      <w:lvlText w:val="•"/>
      <w:lvlJc w:val="left"/>
      <w:pPr>
        <w:tabs>
          <w:tab w:val="num" w:pos="1440"/>
        </w:tabs>
        <w:ind w:left="1440" w:hanging="360"/>
      </w:pPr>
      <w:rPr>
        <w:rFonts w:ascii="Arial" w:hAnsi="Arial" w:hint="default"/>
      </w:rPr>
    </w:lvl>
    <w:lvl w:ilvl="2" w:tplc="ACBC4D54" w:tentative="1">
      <w:start w:val="1"/>
      <w:numFmt w:val="bullet"/>
      <w:lvlText w:val="•"/>
      <w:lvlJc w:val="left"/>
      <w:pPr>
        <w:tabs>
          <w:tab w:val="num" w:pos="2160"/>
        </w:tabs>
        <w:ind w:left="2160" w:hanging="360"/>
      </w:pPr>
      <w:rPr>
        <w:rFonts w:ascii="Arial" w:hAnsi="Arial" w:hint="default"/>
      </w:rPr>
    </w:lvl>
    <w:lvl w:ilvl="3" w:tplc="FAA8A922" w:tentative="1">
      <w:start w:val="1"/>
      <w:numFmt w:val="bullet"/>
      <w:lvlText w:val="•"/>
      <w:lvlJc w:val="left"/>
      <w:pPr>
        <w:tabs>
          <w:tab w:val="num" w:pos="2880"/>
        </w:tabs>
        <w:ind w:left="2880" w:hanging="360"/>
      </w:pPr>
      <w:rPr>
        <w:rFonts w:ascii="Arial" w:hAnsi="Arial" w:hint="default"/>
      </w:rPr>
    </w:lvl>
    <w:lvl w:ilvl="4" w:tplc="1AB884B6" w:tentative="1">
      <w:start w:val="1"/>
      <w:numFmt w:val="bullet"/>
      <w:lvlText w:val="•"/>
      <w:lvlJc w:val="left"/>
      <w:pPr>
        <w:tabs>
          <w:tab w:val="num" w:pos="3600"/>
        </w:tabs>
        <w:ind w:left="3600" w:hanging="360"/>
      </w:pPr>
      <w:rPr>
        <w:rFonts w:ascii="Arial" w:hAnsi="Arial" w:hint="default"/>
      </w:rPr>
    </w:lvl>
    <w:lvl w:ilvl="5" w:tplc="E31423C0" w:tentative="1">
      <w:start w:val="1"/>
      <w:numFmt w:val="bullet"/>
      <w:lvlText w:val="•"/>
      <w:lvlJc w:val="left"/>
      <w:pPr>
        <w:tabs>
          <w:tab w:val="num" w:pos="4320"/>
        </w:tabs>
        <w:ind w:left="4320" w:hanging="360"/>
      </w:pPr>
      <w:rPr>
        <w:rFonts w:ascii="Arial" w:hAnsi="Arial" w:hint="default"/>
      </w:rPr>
    </w:lvl>
    <w:lvl w:ilvl="6" w:tplc="F39AF868" w:tentative="1">
      <w:start w:val="1"/>
      <w:numFmt w:val="bullet"/>
      <w:lvlText w:val="•"/>
      <w:lvlJc w:val="left"/>
      <w:pPr>
        <w:tabs>
          <w:tab w:val="num" w:pos="5040"/>
        </w:tabs>
        <w:ind w:left="5040" w:hanging="360"/>
      </w:pPr>
      <w:rPr>
        <w:rFonts w:ascii="Arial" w:hAnsi="Arial" w:hint="default"/>
      </w:rPr>
    </w:lvl>
    <w:lvl w:ilvl="7" w:tplc="42E4B5B0" w:tentative="1">
      <w:start w:val="1"/>
      <w:numFmt w:val="bullet"/>
      <w:lvlText w:val="•"/>
      <w:lvlJc w:val="left"/>
      <w:pPr>
        <w:tabs>
          <w:tab w:val="num" w:pos="5760"/>
        </w:tabs>
        <w:ind w:left="5760" w:hanging="360"/>
      </w:pPr>
      <w:rPr>
        <w:rFonts w:ascii="Arial" w:hAnsi="Arial" w:hint="default"/>
      </w:rPr>
    </w:lvl>
    <w:lvl w:ilvl="8" w:tplc="B658FD6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14A753D"/>
    <w:multiLevelType w:val="hybridMultilevel"/>
    <w:tmpl w:val="03286788"/>
    <w:lvl w:ilvl="0" w:tplc="237CD5E4">
      <w:start w:val="1"/>
      <w:numFmt w:val="bullet"/>
      <w:lvlText w:val="•"/>
      <w:lvlJc w:val="left"/>
      <w:pPr>
        <w:tabs>
          <w:tab w:val="num" w:pos="720"/>
        </w:tabs>
        <w:ind w:left="720" w:hanging="360"/>
      </w:pPr>
      <w:rPr>
        <w:rFonts w:ascii="Arial" w:hAnsi="Arial" w:hint="default"/>
      </w:rPr>
    </w:lvl>
    <w:lvl w:ilvl="1" w:tplc="4616171C" w:tentative="1">
      <w:start w:val="1"/>
      <w:numFmt w:val="bullet"/>
      <w:lvlText w:val="•"/>
      <w:lvlJc w:val="left"/>
      <w:pPr>
        <w:tabs>
          <w:tab w:val="num" w:pos="1440"/>
        </w:tabs>
        <w:ind w:left="1440" w:hanging="360"/>
      </w:pPr>
      <w:rPr>
        <w:rFonts w:ascii="Arial" w:hAnsi="Arial" w:hint="default"/>
      </w:rPr>
    </w:lvl>
    <w:lvl w:ilvl="2" w:tplc="0EEA99C2" w:tentative="1">
      <w:start w:val="1"/>
      <w:numFmt w:val="bullet"/>
      <w:lvlText w:val="•"/>
      <w:lvlJc w:val="left"/>
      <w:pPr>
        <w:tabs>
          <w:tab w:val="num" w:pos="2160"/>
        </w:tabs>
        <w:ind w:left="2160" w:hanging="360"/>
      </w:pPr>
      <w:rPr>
        <w:rFonts w:ascii="Arial" w:hAnsi="Arial" w:hint="default"/>
      </w:rPr>
    </w:lvl>
    <w:lvl w:ilvl="3" w:tplc="404C1284" w:tentative="1">
      <w:start w:val="1"/>
      <w:numFmt w:val="bullet"/>
      <w:lvlText w:val="•"/>
      <w:lvlJc w:val="left"/>
      <w:pPr>
        <w:tabs>
          <w:tab w:val="num" w:pos="2880"/>
        </w:tabs>
        <w:ind w:left="2880" w:hanging="360"/>
      </w:pPr>
      <w:rPr>
        <w:rFonts w:ascii="Arial" w:hAnsi="Arial" w:hint="default"/>
      </w:rPr>
    </w:lvl>
    <w:lvl w:ilvl="4" w:tplc="B0F401FC" w:tentative="1">
      <w:start w:val="1"/>
      <w:numFmt w:val="bullet"/>
      <w:lvlText w:val="•"/>
      <w:lvlJc w:val="left"/>
      <w:pPr>
        <w:tabs>
          <w:tab w:val="num" w:pos="3600"/>
        </w:tabs>
        <w:ind w:left="3600" w:hanging="360"/>
      </w:pPr>
      <w:rPr>
        <w:rFonts w:ascii="Arial" w:hAnsi="Arial" w:hint="default"/>
      </w:rPr>
    </w:lvl>
    <w:lvl w:ilvl="5" w:tplc="A0460512" w:tentative="1">
      <w:start w:val="1"/>
      <w:numFmt w:val="bullet"/>
      <w:lvlText w:val="•"/>
      <w:lvlJc w:val="left"/>
      <w:pPr>
        <w:tabs>
          <w:tab w:val="num" w:pos="4320"/>
        </w:tabs>
        <w:ind w:left="4320" w:hanging="360"/>
      </w:pPr>
      <w:rPr>
        <w:rFonts w:ascii="Arial" w:hAnsi="Arial" w:hint="default"/>
      </w:rPr>
    </w:lvl>
    <w:lvl w:ilvl="6" w:tplc="C0D091AA" w:tentative="1">
      <w:start w:val="1"/>
      <w:numFmt w:val="bullet"/>
      <w:lvlText w:val="•"/>
      <w:lvlJc w:val="left"/>
      <w:pPr>
        <w:tabs>
          <w:tab w:val="num" w:pos="5040"/>
        </w:tabs>
        <w:ind w:left="5040" w:hanging="360"/>
      </w:pPr>
      <w:rPr>
        <w:rFonts w:ascii="Arial" w:hAnsi="Arial" w:hint="default"/>
      </w:rPr>
    </w:lvl>
    <w:lvl w:ilvl="7" w:tplc="8D28D6E8" w:tentative="1">
      <w:start w:val="1"/>
      <w:numFmt w:val="bullet"/>
      <w:lvlText w:val="•"/>
      <w:lvlJc w:val="left"/>
      <w:pPr>
        <w:tabs>
          <w:tab w:val="num" w:pos="5760"/>
        </w:tabs>
        <w:ind w:left="5760" w:hanging="360"/>
      </w:pPr>
      <w:rPr>
        <w:rFonts w:ascii="Arial" w:hAnsi="Arial" w:hint="default"/>
      </w:rPr>
    </w:lvl>
    <w:lvl w:ilvl="8" w:tplc="2CBA480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201576A"/>
    <w:multiLevelType w:val="hybridMultilevel"/>
    <w:tmpl w:val="AE3A6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D9505C"/>
    <w:multiLevelType w:val="hybridMultilevel"/>
    <w:tmpl w:val="731ED10E"/>
    <w:lvl w:ilvl="0" w:tplc="533CA56A">
      <w:numFmt w:val="bullet"/>
      <w:lvlText w:val=""/>
      <w:lvlJc w:val="left"/>
      <w:pPr>
        <w:ind w:left="720" w:hanging="360"/>
      </w:pPr>
      <w:rPr>
        <w:rFonts w:ascii="Symbol" w:eastAsia="Calibr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2B3895"/>
    <w:multiLevelType w:val="hybridMultilevel"/>
    <w:tmpl w:val="22EAAE90"/>
    <w:lvl w:ilvl="0" w:tplc="41E2E120">
      <w:start w:val="1"/>
      <w:numFmt w:val="decimal"/>
      <w:pStyle w:val="ListNumber"/>
      <w:lvlText w:val="%1."/>
      <w:lvlJc w:val="left"/>
      <w:pPr>
        <w:ind w:left="720" w:hanging="360"/>
      </w:pPr>
      <w:rPr>
        <w:rFonts w:hint="default"/>
        <w:b w:val="0"/>
        <w:i w:val="0"/>
        <w:color w:val="1E1545"/>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8145FC"/>
    <w:multiLevelType w:val="hybridMultilevel"/>
    <w:tmpl w:val="3906F808"/>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5" w15:restartNumberingAfterBreak="0">
    <w:nsid w:val="1C1D34EB"/>
    <w:multiLevelType w:val="hybridMultilevel"/>
    <w:tmpl w:val="CBDA0EC6"/>
    <w:lvl w:ilvl="0" w:tplc="0C090003">
      <w:start w:val="1"/>
      <w:numFmt w:val="bullet"/>
      <w:lvlText w:val="o"/>
      <w:lvlJc w:val="left"/>
      <w:pPr>
        <w:ind w:left="98" w:hanging="360"/>
      </w:pPr>
      <w:rPr>
        <w:rFonts w:ascii="Courier New" w:hAnsi="Courier New" w:cs="Courier New" w:hint="default"/>
      </w:rPr>
    </w:lvl>
    <w:lvl w:ilvl="1" w:tplc="0C090003" w:tentative="1">
      <w:start w:val="1"/>
      <w:numFmt w:val="bullet"/>
      <w:lvlText w:val="o"/>
      <w:lvlJc w:val="left"/>
      <w:pPr>
        <w:ind w:left="818" w:hanging="360"/>
      </w:pPr>
      <w:rPr>
        <w:rFonts w:ascii="Courier New" w:hAnsi="Courier New" w:cs="Courier New" w:hint="default"/>
      </w:rPr>
    </w:lvl>
    <w:lvl w:ilvl="2" w:tplc="0C090005" w:tentative="1">
      <w:start w:val="1"/>
      <w:numFmt w:val="bullet"/>
      <w:lvlText w:val=""/>
      <w:lvlJc w:val="left"/>
      <w:pPr>
        <w:ind w:left="1538" w:hanging="360"/>
      </w:pPr>
      <w:rPr>
        <w:rFonts w:ascii="Wingdings" w:hAnsi="Wingdings" w:hint="default"/>
      </w:rPr>
    </w:lvl>
    <w:lvl w:ilvl="3" w:tplc="0C090001" w:tentative="1">
      <w:start w:val="1"/>
      <w:numFmt w:val="bullet"/>
      <w:lvlText w:val=""/>
      <w:lvlJc w:val="left"/>
      <w:pPr>
        <w:ind w:left="2258" w:hanging="360"/>
      </w:pPr>
      <w:rPr>
        <w:rFonts w:ascii="Symbol" w:hAnsi="Symbol" w:hint="default"/>
      </w:rPr>
    </w:lvl>
    <w:lvl w:ilvl="4" w:tplc="0C090003" w:tentative="1">
      <w:start w:val="1"/>
      <w:numFmt w:val="bullet"/>
      <w:lvlText w:val="o"/>
      <w:lvlJc w:val="left"/>
      <w:pPr>
        <w:ind w:left="2978" w:hanging="360"/>
      </w:pPr>
      <w:rPr>
        <w:rFonts w:ascii="Courier New" w:hAnsi="Courier New" w:cs="Courier New" w:hint="default"/>
      </w:rPr>
    </w:lvl>
    <w:lvl w:ilvl="5" w:tplc="0C090005" w:tentative="1">
      <w:start w:val="1"/>
      <w:numFmt w:val="bullet"/>
      <w:lvlText w:val=""/>
      <w:lvlJc w:val="left"/>
      <w:pPr>
        <w:ind w:left="3698" w:hanging="360"/>
      </w:pPr>
      <w:rPr>
        <w:rFonts w:ascii="Wingdings" w:hAnsi="Wingdings" w:hint="default"/>
      </w:rPr>
    </w:lvl>
    <w:lvl w:ilvl="6" w:tplc="0C090001" w:tentative="1">
      <w:start w:val="1"/>
      <w:numFmt w:val="bullet"/>
      <w:lvlText w:val=""/>
      <w:lvlJc w:val="left"/>
      <w:pPr>
        <w:ind w:left="4418" w:hanging="360"/>
      </w:pPr>
      <w:rPr>
        <w:rFonts w:ascii="Symbol" w:hAnsi="Symbol" w:hint="default"/>
      </w:rPr>
    </w:lvl>
    <w:lvl w:ilvl="7" w:tplc="0C090003" w:tentative="1">
      <w:start w:val="1"/>
      <w:numFmt w:val="bullet"/>
      <w:lvlText w:val="o"/>
      <w:lvlJc w:val="left"/>
      <w:pPr>
        <w:ind w:left="5138" w:hanging="360"/>
      </w:pPr>
      <w:rPr>
        <w:rFonts w:ascii="Courier New" w:hAnsi="Courier New" w:cs="Courier New" w:hint="default"/>
      </w:rPr>
    </w:lvl>
    <w:lvl w:ilvl="8" w:tplc="0C090005" w:tentative="1">
      <w:start w:val="1"/>
      <w:numFmt w:val="bullet"/>
      <w:lvlText w:val=""/>
      <w:lvlJc w:val="left"/>
      <w:pPr>
        <w:ind w:left="5858" w:hanging="360"/>
      </w:pPr>
      <w:rPr>
        <w:rFonts w:ascii="Wingdings" w:hAnsi="Wingdings" w:hint="default"/>
      </w:rPr>
    </w:lvl>
  </w:abstractNum>
  <w:abstractNum w:abstractNumId="16" w15:restartNumberingAfterBreak="0">
    <w:nsid w:val="25C35CE4"/>
    <w:multiLevelType w:val="hybridMultilevel"/>
    <w:tmpl w:val="A4FE1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D53D8"/>
    <w:multiLevelType w:val="hybridMultilevel"/>
    <w:tmpl w:val="AFBC7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9F2E91"/>
    <w:multiLevelType w:val="hybridMultilevel"/>
    <w:tmpl w:val="557E5914"/>
    <w:lvl w:ilvl="0" w:tplc="E6062872">
      <w:start w:val="1"/>
      <w:numFmt w:val="bullet"/>
      <w:lvlText w:val="•"/>
      <w:lvlJc w:val="left"/>
      <w:pPr>
        <w:tabs>
          <w:tab w:val="num" w:pos="720"/>
        </w:tabs>
        <w:ind w:left="720" w:hanging="360"/>
      </w:pPr>
      <w:rPr>
        <w:rFonts w:ascii="Arial" w:hAnsi="Arial" w:hint="default"/>
      </w:rPr>
    </w:lvl>
    <w:lvl w:ilvl="1" w:tplc="21F8838C" w:tentative="1">
      <w:start w:val="1"/>
      <w:numFmt w:val="bullet"/>
      <w:lvlText w:val="•"/>
      <w:lvlJc w:val="left"/>
      <w:pPr>
        <w:tabs>
          <w:tab w:val="num" w:pos="1440"/>
        </w:tabs>
        <w:ind w:left="1440" w:hanging="360"/>
      </w:pPr>
      <w:rPr>
        <w:rFonts w:ascii="Arial" w:hAnsi="Arial" w:hint="default"/>
      </w:rPr>
    </w:lvl>
    <w:lvl w:ilvl="2" w:tplc="F28A4A6E" w:tentative="1">
      <w:start w:val="1"/>
      <w:numFmt w:val="bullet"/>
      <w:lvlText w:val="•"/>
      <w:lvlJc w:val="left"/>
      <w:pPr>
        <w:tabs>
          <w:tab w:val="num" w:pos="2160"/>
        </w:tabs>
        <w:ind w:left="2160" w:hanging="360"/>
      </w:pPr>
      <w:rPr>
        <w:rFonts w:ascii="Arial" w:hAnsi="Arial" w:hint="default"/>
      </w:rPr>
    </w:lvl>
    <w:lvl w:ilvl="3" w:tplc="EBDCE29E" w:tentative="1">
      <w:start w:val="1"/>
      <w:numFmt w:val="bullet"/>
      <w:lvlText w:val="•"/>
      <w:lvlJc w:val="left"/>
      <w:pPr>
        <w:tabs>
          <w:tab w:val="num" w:pos="2880"/>
        </w:tabs>
        <w:ind w:left="2880" w:hanging="360"/>
      </w:pPr>
      <w:rPr>
        <w:rFonts w:ascii="Arial" w:hAnsi="Arial" w:hint="default"/>
      </w:rPr>
    </w:lvl>
    <w:lvl w:ilvl="4" w:tplc="6CE2AE6A" w:tentative="1">
      <w:start w:val="1"/>
      <w:numFmt w:val="bullet"/>
      <w:lvlText w:val="•"/>
      <w:lvlJc w:val="left"/>
      <w:pPr>
        <w:tabs>
          <w:tab w:val="num" w:pos="3600"/>
        </w:tabs>
        <w:ind w:left="3600" w:hanging="360"/>
      </w:pPr>
      <w:rPr>
        <w:rFonts w:ascii="Arial" w:hAnsi="Arial" w:hint="default"/>
      </w:rPr>
    </w:lvl>
    <w:lvl w:ilvl="5" w:tplc="99AE0FEA" w:tentative="1">
      <w:start w:val="1"/>
      <w:numFmt w:val="bullet"/>
      <w:lvlText w:val="•"/>
      <w:lvlJc w:val="left"/>
      <w:pPr>
        <w:tabs>
          <w:tab w:val="num" w:pos="4320"/>
        </w:tabs>
        <w:ind w:left="4320" w:hanging="360"/>
      </w:pPr>
      <w:rPr>
        <w:rFonts w:ascii="Arial" w:hAnsi="Arial" w:hint="default"/>
      </w:rPr>
    </w:lvl>
    <w:lvl w:ilvl="6" w:tplc="E2FEDB06" w:tentative="1">
      <w:start w:val="1"/>
      <w:numFmt w:val="bullet"/>
      <w:lvlText w:val="•"/>
      <w:lvlJc w:val="left"/>
      <w:pPr>
        <w:tabs>
          <w:tab w:val="num" w:pos="5040"/>
        </w:tabs>
        <w:ind w:left="5040" w:hanging="360"/>
      </w:pPr>
      <w:rPr>
        <w:rFonts w:ascii="Arial" w:hAnsi="Arial" w:hint="default"/>
      </w:rPr>
    </w:lvl>
    <w:lvl w:ilvl="7" w:tplc="25AA441E" w:tentative="1">
      <w:start w:val="1"/>
      <w:numFmt w:val="bullet"/>
      <w:lvlText w:val="•"/>
      <w:lvlJc w:val="left"/>
      <w:pPr>
        <w:tabs>
          <w:tab w:val="num" w:pos="5760"/>
        </w:tabs>
        <w:ind w:left="5760" w:hanging="360"/>
      </w:pPr>
      <w:rPr>
        <w:rFonts w:ascii="Arial" w:hAnsi="Arial" w:hint="default"/>
      </w:rPr>
    </w:lvl>
    <w:lvl w:ilvl="8" w:tplc="974833D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AB05506"/>
    <w:multiLevelType w:val="hybridMultilevel"/>
    <w:tmpl w:val="318C2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D86514"/>
    <w:multiLevelType w:val="hybridMultilevel"/>
    <w:tmpl w:val="FFFFFFFF"/>
    <w:lvl w:ilvl="0" w:tplc="94B4339E">
      <w:start w:val="1"/>
      <w:numFmt w:val="bullet"/>
      <w:lvlText w:val=""/>
      <w:lvlJc w:val="left"/>
      <w:pPr>
        <w:ind w:left="720" w:hanging="360"/>
      </w:pPr>
      <w:rPr>
        <w:rFonts w:ascii="Symbol" w:hAnsi="Symbol" w:hint="default"/>
      </w:rPr>
    </w:lvl>
    <w:lvl w:ilvl="1" w:tplc="949A4374">
      <w:start w:val="1"/>
      <w:numFmt w:val="bullet"/>
      <w:lvlText w:val="o"/>
      <w:lvlJc w:val="left"/>
      <w:pPr>
        <w:ind w:left="1440" w:hanging="360"/>
      </w:pPr>
      <w:rPr>
        <w:rFonts w:ascii="Courier New" w:hAnsi="Courier New" w:hint="default"/>
      </w:rPr>
    </w:lvl>
    <w:lvl w:ilvl="2" w:tplc="20EE9ABA">
      <w:start w:val="1"/>
      <w:numFmt w:val="bullet"/>
      <w:lvlText w:val=""/>
      <w:lvlJc w:val="left"/>
      <w:pPr>
        <w:ind w:left="2160" w:hanging="360"/>
      </w:pPr>
      <w:rPr>
        <w:rFonts w:ascii="Wingdings" w:hAnsi="Wingdings" w:hint="default"/>
      </w:rPr>
    </w:lvl>
    <w:lvl w:ilvl="3" w:tplc="59AEE418">
      <w:start w:val="1"/>
      <w:numFmt w:val="bullet"/>
      <w:lvlText w:val=""/>
      <w:lvlJc w:val="left"/>
      <w:pPr>
        <w:ind w:left="2880" w:hanging="360"/>
      </w:pPr>
      <w:rPr>
        <w:rFonts w:ascii="Symbol" w:hAnsi="Symbol" w:hint="default"/>
      </w:rPr>
    </w:lvl>
    <w:lvl w:ilvl="4" w:tplc="0DDADCA4">
      <w:start w:val="1"/>
      <w:numFmt w:val="bullet"/>
      <w:lvlText w:val="o"/>
      <w:lvlJc w:val="left"/>
      <w:pPr>
        <w:ind w:left="3600" w:hanging="360"/>
      </w:pPr>
      <w:rPr>
        <w:rFonts w:ascii="Courier New" w:hAnsi="Courier New" w:hint="default"/>
      </w:rPr>
    </w:lvl>
    <w:lvl w:ilvl="5" w:tplc="4454E0A2">
      <w:start w:val="1"/>
      <w:numFmt w:val="bullet"/>
      <w:lvlText w:val=""/>
      <w:lvlJc w:val="left"/>
      <w:pPr>
        <w:ind w:left="4320" w:hanging="360"/>
      </w:pPr>
      <w:rPr>
        <w:rFonts w:ascii="Wingdings" w:hAnsi="Wingdings" w:hint="default"/>
      </w:rPr>
    </w:lvl>
    <w:lvl w:ilvl="6" w:tplc="33A484DE">
      <w:start w:val="1"/>
      <w:numFmt w:val="bullet"/>
      <w:lvlText w:val=""/>
      <w:lvlJc w:val="left"/>
      <w:pPr>
        <w:ind w:left="5040" w:hanging="360"/>
      </w:pPr>
      <w:rPr>
        <w:rFonts w:ascii="Symbol" w:hAnsi="Symbol" w:hint="default"/>
      </w:rPr>
    </w:lvl>
    <w:lvl w:ilvl="7" w:tplc="B55ADD58">
      <w:start w:val="1"/>
      <w:numFmt w:val="bullet"/>
      <w:lvlText w:val="o"/>
      <w:lvlJc w:val="left"/>
      <w:pPr>
        <w:ind w:left="5760" w:hanging="360"/>
      </w:pPr>
      <w:rPr>
        <w:rFonts w:ascii="Courier New" w:hAnsi="Courier New" w:hint="default"/>
      </w:rPr>
    </w:lvl>
    <w:lvl w:ilvl="8" w:tplc="FF24A6E2">
      <w:start w:val="1"/>
      <w:numFmt w:val="bullet"/>
      <w:lvlText w:val=""/>
      <w:lvlJc w:val="left"/>
      <w:pPr>
        <w:ind w:left="6480" w:hanging="360"/>
      </w:pPr>
      <w:rPr>
        <w:rFonts w:ascii="Wingdings" w:hAnsi="Wingdings" w:hint="default"/>
      </w:rPr>
    </w:lvl>
  </w:abstractNum>
  <w:abstractNum w:abstractNumId="21" w15:restartNumberingAfterBreak="0">
    <w:nsid w:val="3285617D"/>
    <w:multiLevelType w:val="hybridMultilevel"/>
    <w:tmpl w:val="A19456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34052AA"/>
    <w:multiLevelType w:val="multilevel"/>
    <w:tmpl w:val="13586ED8"/>
    <w:styleLink w:val="CurrentList1"/>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34486764"/>
    <w:multiLevelType w:val="hybridMultilevel"/>
    <w:tmpl w:val="D4EAA938"/>
    <w:lvl w:ilvl="0" w:tplc="2A64A0D6">
      <w:start w:val="7"/>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CD50FD"/>
    <w:multiLevelType w:val="hybridMultilevel"/>
    <w:tmpl w:val="2EC6E5F4"/>
    <w:lvl w:ilvl="0" w:tplc="0C090001">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362C6271"/>
    <w:multiLevelType w:val="hybridMultilevel"/>
    <w:tmpl w:val="CB168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784450"/>
    <w:multiLevelType w:val="hybridMultilevel"/>
    <w:tmpl w:val="D6589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8584E90"/>
    <w:multiLevelType w:val="hybridMultilevel"/>
    <w:tmpl w:val="23F021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E20374"/>
    <w:multiLevelType w:val="hybridMultilevel"/>
    <w:tmpl w:val="71C04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5CF6914"/>
    <w:multiLevelType w:val="hybridMultilevel"/>
    <w:tmpl w:val="C0B0A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AD28C6"/>
    <w:multiLevelType w:val="hybridMultilevel"/>
    <w:tmpl w:val="F6A6E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F4503E"/>
    <w:multiLevelType w:val="hybridMultilevel"/>
    <w:tmpl w:val="2062C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33" w15:restartNumberingAfterBreak="0">
    <w:nsid w:val="4E682ACC"/>
    <w:multiLevelType w:val="hybridMultilevel"/>
    <w:tmpl w:val="3A32D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F7805A1"/>
    <w:multiLevelType w:val="hybridMultilevel"/>
    <w:tmpl w:val="24588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A51409"/>
    <w:multiLevelType w:val="hybridMultilevel"/>
    <w:tmpl w:val="998AE5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6" w15:restartNumberingAfterBreak="0">
    <w:nsid w:val="51E0409D"/>
    <w:multiLevelType w:val="hybridMultilevel"/>
    <w:tmpl w:val="AD6C80B6"/>
    <w:lvl w:ilvl="0" w:tplc="235CE0CC">
      <w:start w:val="1"/>
      <w:numFmt w:val="lowerLetter"/>
      <w:pStyle w:val="ListNumber3"/>
      <w:lvlText w:val="(%1)"/>
      <w:lvlJc w:val="left"/>
      <w:pPr>
        <w:ind w:left="587" w:hanging="360"/>
      </w:pPr>
      <w:rPr>
        <w:rFonts w:ascii="Arial" w:hAnsi="Arial" w:cs="Arial" w:hint="default"/>
        <w:b w:val="0"/>
        <w:bCs w:val="0"/>
        <w:i w:val="0"/>
        <w:iCs w:val="0"/>
        <w:color w:val="1E1545"/>
        <w:spacing w:val="0"/>
        <w:w w:val="100"/>
        <w:sz w:val="24"/>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58920B8"/>
    <w:multiLevelType w:val="hybridMultilevel"/>
    <w:tmpl w:val="CC78D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74078E7"/>
    <w:multiLevelType w:val="hybridMultilevel"/>
    <w:tmpl w:val="05CE0766"/>
    <w:lvl w:ilvl="0" w:tplc="C4020892">
      <w:start w:val="1"/>
      <w:numFmt w:val="bullet"/>
      <w:pStyle w:val="TABLEbulletpoin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89A585C"/>
    <w:multiLevelType w:val="hybridMultilevel"/>
    <w:tmpl w:val="5778F2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A4D034D"/>
    <w:multiLevelType w:val="hybridMultilevel"/>
    <w:tmpl w:val="0F16F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D541D49"/>
    <w:multiLevelType w:val="hybridMultilevel"/>
    <w:tmpl w:val="6916E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5717935"/>
    <w:multiLevelType w:val="hybridMultilevel"/>
    <w:tmpl w:val="5A8AD2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68A05F1"/>
    <w:multiLevelType w:val="hybridMultilevel"/>
    <w:tmpl w:val="0B66C556"/>
    <w:lvl w:ilvl="0" w:tplc="0C090001">
      <w:start w:val="1"/>
      <w:numFmt w:val="bullet"/>
      <w:lvlText w:val=""/>
      <w:lvlJc w:val="left"/>
      <w:pPr>
        <w:ind w:left="1068" w:hanging="360"/>
      </w:pPr>
      <w:rPr>
        <w:rFonts w:ascii="Symbol" w:hAnsi="Symbol" w:hint="default"/>
      </w:rPr>
    </w:lvl>
    <w:lvl w:ilvl="1" w:tplc="EA382094">
      <w:start w:val="1"/>
      <w:numFmt w:val="bullet"/>
      <w:pStyle w:val="List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6F22426"/>
    <w:multiLevelType w:val="hybridMultilevel"/>
    <w:tmpl w:val="F18066BC"/>
    <w:lvl w:ilvl="0" w:tplc="D53CFE1E">
      <w:start w:val="1"/>
      <w:numFmt w:val="bullet"/>
      <w:lvlText w:val="•"/>
      <w:lvlJc w:val="left"/>
      <w:pPr>
        <w:tabs>
          <w:tab w:val="num" w:pos="720"/>
        </w:tabs>
        <w:ind w:left="720" w:hanging="360"/>
      </w:pPr>
      <w:rPr>
        <w:rFonts w:ascii="Arial" w:hAnsi="Arial" w:hint="default"/>
      </w:rPr>
    </w:lvl>
    <w:lvl w:ilvl="1" w:tplc="86F2923E" w:tentative="1">
      <w:start w:val="1"/>
      <w:numFmt w:val="bullet"/>
      <w:lvlText w:val="•"/>
      <w:lvlJc w:val="left"/>
      <w:pPr>
        <w:tabs>
          <w:tab w:val="num" w:pos="1440"/>
        </w:tabs>
        <w:ind w:left="1440" w:hanging="360"/>
      </w:pPr>
      <w:rPr>
        <w:rFonts w:ascii="Arial" w:hAnsi="Arial" w:hint="default"/>
      </w:rPr>
    </w:lvl>
    <w:lvl w:ilvl="2" w:tplc="E82A34C8" w:tentative="1">
      <w:start w:val="1"/>
      <w:numFmt w:val="bullet"/>
      <w:lvlText w:val="•"/>
      <w:lvlJc w:val="left"/>
      <w:pPr>
        <w:tabs>
          <w:tab w:val="num" w:pos="2160"/>
        </w:tabs>
        <w:ind w:left="2160" w:hanging="360"/>
      </w:pPr>
      <w:rPr>
        <w:rFonts w:ascii="Arial" w:hAnsi="Arial" w:hint="default"/>
      </w:rPr>
    </w:lvl>
    <w:lvl w:ilvl="3" w:tplc="4AB6A4B4" w:tentative="1">
      <w:start w:val="1"/>
      <w:numFmt w:val="bullet"/>
      <w:lvlText w:val="•"/>
      <w:lvlJc w:val="left"/>
      <w:pPr>
        <w:tabs>
          <w:tab w:val="num" w:pos="2880"/>
        </w:tabs>
        <w:ind w:left="2880" w:hanging="360"/>
      </w:pPr>
      <w:rPr>
        <w:rFonts w:ascii="Arial" w:hAnsi="Arial" w:hint="default"/>
      </w:rPr>
    </w:lvl>
    <w:lvl w:ilvl="4" w:tplc="0C48695A" w:tentative="1">
      <w:start w:val="1"/>
      <w:numFmt w:val="bullet"/>
      <w:lvlText w:val="•"/>
      <w:lvlJc w:val="left"/>
      <w:pPr>
        <w:tabs>
          <w:tab w:val="num" w:pos="3600"/>
        </w:tabs>
        <w:ind w:left="3600" w:hanging="360"/>
      </w:pPr>
      <w:rPr>
        <w:rFonts w:ascii="Arial" w:hAnsi="Arial" w:hint="default"/>
      </w:rPr>
    </w:lvl>
    <w:lvl w:ilvl="5" w:tplc="FBD6094A" w:tentative="1">
      <w:start w:val="1"/>
      <w:numFmt w:val="bullet"/>
      <w:lvlText w:val="•"/>
      <w:lvlJc w:val="left"/>
      <w:pPr>
        <w:tabs>
          <w:tab w:val="num" w:pos="4320"/>
        </w:tabs>
        <w:ind w:left="4320" w:hanging="360"/>
      </w:pPr>
      <w:rPr>
        <w:rFonts w:ascii="Arial" w:hAnsi="Arial" w:hint="default"/>
      </w:rPr>
    </w:lvl>
    <w:lvl w:ilvl="6" w:tplc="A928E15A" w:tentative="1">
      <w:start w:val="1"/>
      <w:numFmt w:val="bullet"/>
      <w:lvlText w:val="•"/>
      <w:lvlJc w:val="left"/>
      <w:pPr>
        <w:tabs>
          <w:tab w:val="num" w:pos="5040"/>
        </w:tabs>
        <w:ind w:left="5040" w:hanging="360"/>
      </w:pPr>
      <w:rPr>
        <w:rFonts w:ascii="Arial" w:hAnsi="Arial" w:hint="default"/>
      </w:rPr>
    </w:lvl>
    <w:lvl w:ilvl="7" w:tplc="CBA624C6" w:tentative="1">
      <w:start w:val="1"/>
      <w:numFmt w:val="bullet"/>
      <w:lvlText w:val="•"/>
      <w:lvlJc w:val="left"/>
      <w:pPr>
        <w:tabs>
          <w:tab w:val="num" w:pos="5760"/>
        </w:tabs>
        <w:ind w:left="5760" w:hanging="360"/>
      </w:pPr>
      <w:rPr>
        <w:rFonts w:ascii="Arial" w:hAnsi="Arial" w:hint="default"/>
      </w:rPr>
    </w:lvl>
    <w:lvl w:ilvl="8" w:tplc="2048EEF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79F17B8"/>
    <w:multiLevelType w:val="hybridMultilevel"/>
    <w:tmpl w:val="25C8B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887BA1"/>
    <w:multiLevelType w:val="hybridMultilevel"/>
    <w:tmpl w:val="64D82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CF8287E"/>
    <w:multiLevelType w:val="hybridMultilevel"/>
    <w:tmpl w:val="FE2A36DA"/>
    <w:lvl w:ilvl="0" w:tplc="0C09000F">
      <w:start w:val="1"/>
      <w:numFmt w:val="bullet"/>
      <w:pStyle w:val="Tablelist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8" w15:restartNumberingAfterBreak="0">
    <w:nsid w:val="748F604D"/>
    <w:multiLevelType w:val="hybridMultilevel"/>
    <w:tmpl w:val="87CE6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7402D85"/>
    <w:multiLevelType w:val="hybridMultilevel"/>
    <w:tmpl w:val="06C06E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99767F9"/>
    <w:multiLevelType w:val="hybridMultilevel"/>
    <w:tmpl w:val="F7EA5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B3B5FFE"/>
    <w:multiLevelType w:val="hybridMultilevel"/>
    <w:tmpl w:val="BECC26B2"/>
    <w:lvl w:ilvl="0" w:tplc="F91E75BC">
      <w:start w:val="1"/>
      <w:numFmt w:val="bullet"/>
      <w:lvlText w:val="•"/>
      <w:lvlJc w:val="left"/>
      <w:pPr>
        <w:tabs>
          <w:tab w:val="num" w:pos="720"/>
        </w:tabs>
        <w:ind w:left="720" w:hanging="360"/>
      </w:pPr>
      <w:rPr>
        <w:rFonts w:ascii="Arial" w:hAnsi="Arial" w:hint="default"/>
      </w:rPr>
    </w:lvl>
    <w:lvl w:ilvl="1" w:tplc="40B85C8E" w:tentative="1">
      <w:start w:val="1"/>
      <w:numFmt w:val="bullet"/>
      <w:lvlText w:val="•"/>
      <w:lvlJc w:val="left"/>
      <w:pPr>
        <w:tabs>
          <w:tab w:val="num" w:pos="1440"/>
        </w:tabs>
        <w:ind w:left="1440" w:hanging="360"/>
      </w:pPr>
      <w:rPr>
        <w:rFonts w:ascii="Arial" w:hAnsi="Arial" w:hint="default"/>
      </w:rPr>
    </w:lvl>
    <w:lvl w:ilvl="2" w:tplc="471ECF56" w:tentative="1">
      <w:start w:val="1"/>
      <w:numFmt w:val="bullet"/>
      <w:lvlText w:val="•"/>
      <w:lvlJc w:val="left"/>
      <w:pPr>
        <w:tabs>
          <w:tab w:val="num" w:pos="2160"/>
        </w:tabs>
        <w:ind w:left="2160" w:hanging="360"/>
      </w:pPr>
      <w:rPr>
        <w:rFonts w:ascii="Arial" w:hAnsi="Arial" w:hint="default"/>
      </w:rPr>
    </w:lvl>
    <w:lvl w:ilvl="3" w:tplc="91644ED4" w:tentative="1">
      <w:start w:val="1"/>
      <w:numFmt w:val="bullet"/>
      <w:lvlText w:val="•"/>
      <w:lvlJc w:val="left"/>
      <w:pPr>
        <w:tabs>
          <w:tab w:val="num" w:pos="2880"/>
        </w:tabs>
        <w:ind w:left="2880" w:hanging="360"/>
      </w:pPr>
      <w:rPr>
        <w:rFonts w:ascii="Arial" w:hAnsi="Arial" w:hint="default"/>
      </w:rPr>
    </w:lvl>
    <w:lvl w:ilvl="4" w:tplc="8B70C754" w:tentative="1">
      <w:start w:val="1"/>
      <w:numFmt w:val="bullet"/>
      <w:lvlText w:val="•"/>
      <w:lvlJc w:val="left"/>
      <w:pPr>
        <w:tabs>
          <w:tab w:val="num" w:pos="3600"/>
        </w:tabs>
        <w:ind w:left="3600" w:hanging="360"/>
      </w:pPr>
      <w:rPr>
        <w:rFonts w:ascii="Arial" w:hAnsi="Arial" w:hint="default"/>
      </w:rPr>
    </w:lvl>
    <w:lvl w:ilvl="5" w:tplc="701A27DE" w:tentative="1">
      <w:start w:val="1"/>
      <w:numFmt w:val="bullet"/>
      <w:lvlText w:val="•"/>
      <w:lvlJc w:val="left"/>
      <w:pPr>
        <w:tabs>
          <w:tab w:val="num" w:pos="4320"/>
        </w:tabs>
        <w:ind w:left="4320" w:hanging="360"/>
      </w:pPr>
      <w:rPr>
        <w:rFonts w:ascii="Arial" w:hAnsi="Arial" w:hint="default"/>
      </w:rPr>
    </w:lvl>
    <w:lvl w:ilvl="6" w:tplc="C570D7C4" w:tentative="1">
      <w:start w:val="1"/>
      <w:numFmt w:val="bullet"/>
      <w:lvlText w:val="•"/>
      <w:lvlJc w:val="left"/>
      <w:pPr>
        <w:tabs>
          <w:tab w:val="num" w:pos="5040"/>
        </w:tabs>
        <w:ind w:left="5040" w:hanging="360"/>
      </w:pPr>
      <w:rPr>
        <w:rFonts w:ascii="Arial" w:hAnsi="Arial" w:hint="default"/>
      </w:rPr>
    </w:lvl>
    <w:lvl w:ilvl="7" w:tplc="2B8E72A2" w:tentative="1">
      <w:start w:val="1"/>
      <w:numFmt w:val="bullet"/>
      <w:lvlText w:val="•"/>
      <w:lvlJc w:val="left"/>
      <w:pPr>
        <w:tabs>
          <w:tab w:val="num" w:pos="5760"/>
        </w:tabs>
        <w:ind w:left="5760" w:hanging="360"/>
      </w:pPr>
      <w:rPr>
        <w:rFonts w:ascii="Arial" w:hAnsi="Arial" w:hint="default"/>
      </w:rPr>
    </w:lvl>
    <w:lvl w:ilvl="8" w:tplc="50A2DE58"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C0C3804"/>
    <w:multiLevelType w:val="hybridMultilevel"/>
    <w:tmpl w:val="4B3E1462"/>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53" w15:restartNumberingAfterBreak="0">
    <w:nsid w:val="7D9061DB"/>
    <w:multiLevelType w:val="hybridMultilevel"/>
    <w:tmpl w:val="D00ABCFE"/>
    <w:lvl w:ilvl="0" w:tplc="EEA6F378">
      <w:start w:val="1"/>
      <w:numFmt w:val="bullet"/>
      <w:lvlText w:val="•"/>
      <w:lvlJc w:val="left"/>
      <w:pPr>
        <w:tabs>
          <w:tab w:val="num" w:pos="720"/>
        </w:tabs>
        <w:ind w:left="720" w:hanging="360"/>
      </w:pPr>
      <w:rPr>
        <w:rFonts w:ascii="Arial" w:hAnsi="Arial" w:hint="default"/>
      </w:rPr>
    </w:lvl>
    <w:lvl w:ilvl="1" w:tplc="03D660F6" w:tentative="1">
      <w:start w:val="1"/>
      <w:numFmt w:val="bullet"/>
      <w:lvlText w:val="•"/>
      <w:lvlJc w:val="left"/>
      <w:pPr>
        <w:tabs>
          <w:tab w:val="num" w:pos="1440"/>
        </w:tabs>
        <w:ind w:left="1440" w:hanging="360"/>
      </w:pPr>
      <w:rPr>
        <w:rFonts w:ascii="Arial" w:hAnsi="Arial" w:hint="default"/>
      </w:rPr>
    </w:lvl>
    <w:lvl w:ilvl="2" w:tplc="20A6D162" w:tentative="1">
      <w:start w:val="1"/>
      <w:numFmt w:val="bullet"/>
      <w:lvlText w:val="•"/>
      <w:lvlJc w:val="left"/>
      <w:pPr>
        <w:tabs>
          <w:tab w:val="num" w:pos="2160"/>
        </w:tabs>
        <w:ind w:left="2160" w:hanging="360"/>
      </w:pPr>
      <w:rPr>
        <w:rFonts w:ascii="Arial" w:hAnsi="Arial" w:hint="default"/>
      </w:rPr>
    </w:lvl>
    <w:lvl w:ilvl="3" w:tplc="5C0464C2" w:tentative="1">
      <w:start w:val="1"/>
      <w:numFmt w:val="bullet"/>
      <w:lvlText w:val="•"/>
      <w:lvlJc w:val="left"/>
      <w:pPr>
        <w:tabs>
          <w:tab w:val="num" w:pos="2880"/>
        </w:tabs>
        <w:ind w:left="2880" w:hanging="360"/>
      </w:pPr>
      <w:rPr>
        <w:rFonts w:ascii="Arial" w:hAnsi="Arial" w:hint="default"/>
      </w:rPr>
    </w:lvl>
    <w:lvl w:ilvl="4" w:tplc="CA0249D4" w:tentative="1">
      <w:start w:val="1"/>
      <w:numFmt w:val="bullet"/>
      <w:lvlText w:val="•"/>
      <w:lvlJc w:val="left"/>
      <w:pPr>
        <w:tabs>
          <w:tab w:val="num" w:pos="3600"/>
        </w:tabs>
        <w:ind w:left="3600" w:hanging="360"/>
      </w:pPr>
      <w:rPr>
        <w:rFonts w:ascii="Arial" w:hAnsi="Arial" w:hint="default"/>
      </w:rPr>
    </w:lvl>
    <w:lvl w:ilvl="5" w:tplc="A0F2135E" w:tentative="1">
      <w:start w:val="1"/>
      <w:numFmt w:val="bullet"/>
      <w:lvlText w:val="•"/>
      <w:lvlJc w:val="left"/>
      <w:pPr>
        <w:tabs>
          <w:tab w:val="num" w:pos="4320"/>
        </w:tabs>
        <w:ind w:left="4320" w:hanging="360"/>
      </w:pPr>
      <w:rPr>
        <w:rFonts w:ascii="Arial" w:hAnsi="Arial" w:hint="default"/>
      </w:rPr>
    </w:lvl>
    <w:lvl w:ilvl="6" w:tplc="6CD6AE94" w:tentative="1">
      <w:start w:val="1"/>
      <w:numFmt w:val="bullet"/>
      <w:lvlText w:val="•"/>
      <w:lvlJc w:val="left"/>
      <w:pPr>
        <w:tabs>
          <w:tab w:val="num" w:pos="5040"/>
        </w:tabs>
        <w:ind w:left="5040" w:hanging="360"/>
      </w:pPr>
      <w:rPr>
        <w:rFonts w:ascii="Arial" w:hAnsi="Arial" w:hint="default"/>
      </w:rPr>
    </w:lvl>
    <w:lvl w:ilvl="7" w:tplc="13D8A5BA" w:tentative="1">
      <w:start w:val="1"/>
      <w:numFmt w:val="bullet"/>
      <w:lvlText w:val="•"/>
      <w:lvlJc w:val="left"/>
      <w:pPr>
        <w:tabs>
          <w:tab w:val="num" w:pos="5760"/>
        </w:tabs>
        <w:ind w:left="5760" w:hanging="360"/>
      </w:pPr>
      <w:rPr>
        <w:rFonts w:ascii="Arial" w:hAnsi="Arial" w:hint="default"/>
      </w:rPr>
    </w:lvl>
    <w:lvl w:ilvl="8" w:tplc="3C585D02"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E391716"/>
    <w:multiLevelType w:val="hybridMultilevel"/>
    <w:tmpl w:val="DDBC3032"/>
    <w:lvl w:ilvl="0" w:tplc="0C09000F">
      <w:start w:val="1"/>
      <w:numFmt w:val="bullet"/>
      <w:lvlText w:val="o"/>
      <w:lvlJc w:val="left"/>
      <w:pPr>
        <w:ind w:left="1004" w:hanging="360"/>
      </w:pPr>
      <w:rPr>
        <w:rFonts w:ascii="Courier New" w:hAnsi="Courier New" w:cs="Courier New" w:hint="default"/>
      </w:rPr>
    </w:lvl>
    <w:lvl w:ilvl="1" w:tplc="0C090019">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abstractNum w:abstractNumId="55" w15:restartNumberingAfterBreak="0">
    <w:nsid w:val="7EF7299F"/>
    <w:multiLevelType w:val="hybridMultilevel"/>
    <w:tmpl w:val="DC9E1A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95209321">
    <w:abstractNumId w:val="20"/>
  </w:num>
  <w:num w:numId="2" w16cid:durableId="728571613">
    <w:abstractNumId w:val="24"/>
  </w:num>
  <w:num w:numId="3" w16cid:durableId="1110583271">
    <w:abstractNumId w:val="54"/>
  </w:num>
  <w:num w:numId="4" w16cid:durableId="1955208067">
    <w:abstractNumId w:val="36"/>
  </w:num>
  <w:num w:numId="5" w16cid:durableId="1245342364">
    <w:abstractNumId w:val="47"/>
  </w:num>
  <w:num w:numId="6" w16cid:durableId="1191726581">
    <w:abstractNumId w:val="3"/>
  </w:num>
  <w:num w:numId="7" w16cid:durableId="69696735">
    <w:abstractNumId w:val="32"/>
  </w:num>
  <w:num w:numId="8" w16cid:durableId="500856995">
    <w:abstractNumId w:val="38"/>
  </w:num>
  <w:num w:numId="9" w16cid:durableId="81340307">
    <w:abstractNumId w:val="7"/>
  </w:num>
  <w:num w:numId="10" w16cid:durableId="172378174">
    <w:abstractNumId w:val="22"/>
  </w:num>
  <w:num w:numId="11" w16cid:durableId="220487679">
    <w:abstractNumId w:val="0"/>
  </w:num>
  <w:num w:numId="12" w16cid:durableId="2110810773">
    <w:abstractNumId w:val="15"/>
  </w:num>
  <w:num w:numId="13" w16cid:durableId="33846884">
    <w:abstractNumId w:val="21"/>
  </w:num>
  <w:num w:numId="14" w16cid:durableId="1110079280">
    <w:abstractNumId w:val="27"/>
  </w:num>
  <w:num w:numId="15" w16cid:durableId="494884351">
    <w:abstractNumId w:val="55"/>
  </w:num>
  <w:num w:numId="16" w16cid:durableId="1019508837">
    <w:abstractNumId w:val="4"/>
  </w:num>
  <w:num w:numId="17" w16cid:durableId="1353725165">
    <w:abstractNumId w:val="12"/>
  </w:num>
  <w:num w:numId="18" w16cid:durableId="1266497585">
    <w:abstractNumId w:val="50"/>
  </w:num>
  <w:num w:numId="19" w16cid:durableId="835148890">
    <w:abstractNumId w:val="25"/>
  </w:num>
  <w:num w:numId="20" w16cid:durableId="1123964141">
    <w:abstractNumId w:val="33"/>
  </w:num>
  <w:num w:numId="21" w16cid:durableId="1679623440">
    <w:abstractNumId w:val="48"/>
  </w:num>
  <w:num w:numId="22" w16cid:durableId="998465336">
    <w:abstractNumId w:val="17"/>
  </w:num>
  <w:num w:numId="23" w16cid:durableId="755397137">
    <w:abstractNumId w:val="31"/>
  </w:num>
  <w:num w:numId="24" w16cid:durableId="81533581">
    <w:abstractNumId w:val="30"/>
  </w:num>
  <w:num w:numId="25" w16cid:durableId="634213449">
    <w:abstractNumId w:val="19"/>
  </w:num>
  <w:num w:numId="26" w16cid:durableId="388501953">
    <w:abstractNumId w:val="37"/>
  </w:num>
  <w:num w:numId="27" w16cid:durableId="1110201953">
    <w:abstractNumId w:val="14"/>
  </w:num>
  <w:num w:numId="28" w16cid:durableId="1859393436">
    <w:abstractNumId w:val="49"/>
  </w:num>
  <w:num w:numId="29" w16cid:durableId="1380516589">
    <w:abstractNumId w:val="40"/>
  </w:num>
  <w:num w:numId="30" w16cid:durableId="1709718561">
    <w:abstractNumId w:val="46"/>
  </w:num>
  <w:num w:numId="31" w16cid:durableId="1297099093">
    <w:abstractNumId w:val="42"/>
  </w:num>
  <w:num w:numId="32" w16cid:durableId="2020767554">
    <w:abstractNumId w:val="45"/>
  </w:num>
  <w:num w:numId="33" w16cid:durableId="610822442">
    <w:abstractNumId w:val="34"/>
  </w:num>
  <w:num w:numId="34" w16cid:durableId="1762556428">
    <w:abstractNumId w:val="1"/>
  </w:num>
  <w:num w:numId="35" w16cid:durableId="1488395473">
    <w:abstractNumId w:val="16"/>
  </w:num>
  <w:num w:numId="36" w16cid:durableId="504975191">
    <w:abstractNumId w:val="11"/>
  </w:num>
  <w:num w:numId="37" w16cid:durableId="1896431678">
    <w:abstractNumId w:val="29"/>
  </w:num>
  <w:num w:numId="38" w16cid:durableId="1163937274">
    <w:abstractNumId w:val="35"/>
  </w:num>
  <w:num w:numId="39" w16cid:durableId="950094175">
    <w:abstractNumId w:val="2"/>
  </w:num>
  <w:num w:numId="40" w16cid:durableId="1793161518">
    <w:abstractNumId w:val="9"/>
  </w:num>
  <w:num w:numId="41" w16cid:durableId="351688492">
    <w:abstractNumId w:val="10"/>
  </w:num>
  <w:num w:numId="42" w16cid:durableId="1163619804">
    <w:abstractNumId w:val="18"/>
  </w:num>
  <w:num w:numId="43" w16cid:durableId="981737094">
    <w:abstractNumId w:val="51"/>
  </w:num>
  <w:num w:numId="44" w16cid:durableId="1156730194">
    <w:abstractNumId w:val="53"/>
  </w:num>
  <w:num w:numId="45" w16cid:durableId="1818959676">
    <w:abstractNumId w:val="44"/>
  </w:num>
  <w:num w:numId="46" w16cid:durableId="1310864673">
    <w:abstractNumId w:val="43"/>
  </w:num>
  <w:num w:numId="47" w16cid:durableId="163204001">
    <w:abstractNumId w:val="23"/>
  </w:num>
  <w:num w:numId="48" w16cid:durableId="1983079332">
    <w:abstractNumId w:val="41"/>
  </w:num>
  <w:num w:numId="49" w16cid:durableId="2146312518">
    <w:abstractNumId w:val="28"/>
  </w:num>
  <w:num w:numId="50" w16cid:durableId="1927111220">
    <w:abstractNumId w:val="26"/>
  </w:num>
  <w:num w:numId="51" w16cid:durableId="1582445455">
    <w:abstractNumId w:val="0"/>
  </w:num>
  <w:num w:numId="52" w16cid:durableId="1921987791">
    <w:abstractNumId w:val="39"/>
  </w:num>
  <w:num w:numId="53" w16cid:durableId="1784642134">
    <w:abstractNumId w:val="8"/>
  </w:num>
  <w:num w:numId="54" w16cid:durableId="1714575657">
    <w:abstractNumId w:val="6"/>
  </w:num>
  <w:num w:numId="55" w16cid:durableId="99615249">
    <w:abstractNumId w:val="52"/>
  </w:num>
  <w:num w:numId="56" w16cid:durableId="1959070677">
    <w:abstractNumId w:val="13"/>
  </w:num>
  <w:num w:numId="57" w16cid:durableId="1174799599">
    <w:abstractNumId w:val="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formatting="1" w:enforcement="0"/>
  <w:defaultTabStop w:val="272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B1"/>
    <w:rsid w:val="000001EF"/>
    <w:rsid w:val="00000CC5"/>
    <w:rsid w:val="000016E2"/>
    <w:rsid w:val="00001F41"/>
    <w:rsid w:val="0000269B"/>
    <w:rsid w:val="00003222"/>
    <w:rsid w:val="000035BB"/>
    <w:rsid w:val="00003743"/>
    <w:rsid w:val="00003890"/>
    <w:rsid w:val="0000390D"/>
    <w:rsid w:val="00003A5C"/>
    <w:rsid w:val="00003C1D"/>
    <w:rsid w:val="000047B4"/>
    <w:rsid w:val="000050C3"/>
    <w:rsid w:val="000051EF"/>
    <w:rsid w:val="000055E3"/>
    <w:rsid w:val="00005712"/>
    <w:rsid w:val="000065A7"/>
    <w:rsid w:val="00006676"/>
    <w:rsid w:val="000069C9"/>
    <w:rsid w:val="00006BC4"/>
    <w:rsid w:val="000073C7"/>
    <w:rsid w:val="00007BBE"/>
    <w:rsid w:val="00007C56"/>
    <w:rsid w:val="00007FD8"/>
    <w:rsid w:val="00010778"/>
    <w:rsid w:val="00010849"/>
    <w:rsid w:val="00010BFC"/>
    <w:rsid w:val="00010CAF"/>
    <w:rsid w:val="000117F8"/>
    <w:rsid w:val="00011B0F"/>
    <w:rsid w:val="000124DE"/>
    <w:rsid w:val="00012C87"/>
    <w:rsid w:val="0001341E"/>
    <w:rsid w:val="000135AA"/>
    <w:rsid w:val="00013901"/>
    <w:rsid w:val="00013983"/>
    <w:rsid w:val="00015516"/>
    <w:rsid w:val="0001555A"/>
    <w:rsid w:val="00015825"/>
    <w:rsid w:val="00015F12"/>
    <w:rsid w:val="000167CB"/>
    <w:rsid w:val="00016832"/>
    <w:rsid w:val="00017442"/>
    <w:rsid w:val="00017EC5"/>
    <w:rsid w:val="00020183"/>
    <w:rsid w:val="000206EF"/>
    <w:rsid w:val="00020998"/>
    <w:rsid w:val="00020EC5"/>
    <w:rsid w:val="0002136D"/>
    <w:rsid w:val="0002174A"/>
    <w:rsid w:val="00021A2B"/>
    <w:rsid w:val="0002270E"/>
    <w:rsid w:val="000234AD"/>
    <w:rsid w:val="000238A9"/>
    <w:rsid w:val="0002399B"/>
    <w:rsid w:val="00024944"/>
    <w:rsid w:val="0002565D"/>
    <w:rsid w:val="00026139"/>
    <w:rsid w:val="000267A5"/>
    <w:rsid w:val="00026964"/>
    <w:rsid w:val="00026E9B"/>
    <w:rsid w:val="00026F8F"/>
    <w:rsid w:val="00027071"/>
    <w:rsid w:val="00027295"/>
    <w:rsid w:val="00027409"/>
    <w:rsid w:val="0002750D"/>
    <w:rsid w:val="00027601"/>
    <w:rsid w:val="00030469"/>
    <w:rsid w:val="00030786"/>
    <w:rsid w:val="00030815"/>
    <w:rsid w:val="00030A96"/>
    <w:rsid w:val="00031D02"/>
    <w:rsid w:val="000324A4"/>
    <w:rsid w:val="00032922"/>
    <w:rsid w:val="00032A9B"/>
    <w:rsid w:val="00033321"/>
    <w:rsid w:val="000338E5"/>
    <w:rsid w:val="00033ECC"/>
    <w:rsid w:val="0003422F"/>
    <w:rsid w:val="000344FE"/>
    <w:rsid w:val="00034954"/>
    <w:rsid w:val="00034C1E"/>
    <w:rsid w:val="00034FF5"/>
    <w:rsid w:val="00035506"/>
    <w:rsid w:val="000356AA"/>
    <w:rsid w:val="000356D9"/>
    <w:rsid w:val="00035864"/>
    <w:rsid w:val="00035EEC"/>
    <w:rsid w:val="00036754"/>
    <w:rsid w:val="0003774A"/>
    <w:rsid w:val="00037B93"/>
    <w:rsid w:val="00040019"/>
    <w:rsid w:val="00040774"/>
    <w:rsid w:val="00040B94"/>
    <w:rsid w:val="000419E8"/>
    <w:rsid w:val="00041A1C"/>
    <w:rsid w:val="00041C69"/>
    <w:rsid w:val="00042B64"/>
    <w:rsid w:val="00043D9D"/>
    <w:rsid w:val="00043FF3"/>
    <w:rsid w:val="000448C5"/>
    <w:rsid w:val="000455BF"/>
    <w:rsid w:val="00046353"/>
    <w:rsid w:val="000468A0"/>
    <w:rsid w:val="00046FF0"/>
    <w:rsid w:val="0004712C"/>
    <w:rsid w:val="000500DE"/>
    <w:rsid w:val="00050176"/>
    <w:rsid w:val="0005070C"/>
    <w:rsid w:val="00050CBE"/>
    <w:rsid w:val="0005143F"/>
    <w:rsid w:val="00052883"/>
    <w:rsid w:val="000528E3"/>
    <w:rsid w:val="00052EF0"/>
    <w:rsid w:val="00052F31"/>
    <w:rsid w:val="000530EB"/>
    <w:rsid w:val="000534EE"/>
    <w:rsid w:val="00053833"/>
    <w:rsid w:val="00053A4A"/>
    <w:rsid w:val="00053F4D"/>
    <w:rsid w:val="000550F9"/>
    <w:rsid w:val="000555B7"/>
    <w:rsid w:val="00055A81"/>
    <w:rsid w:val="00057444"/>
    <w:rsid w:val="0005790B"/>
    <w:rsid w:val="00057B78"/>
    <w:rsid w:val="00057D4A"/>
    <w:rsid w:val="00060034"/>
    <w:rsid w:val="000604F5"/>
    <w:rsid w:val="000612A2"/>
    <w:rsid w:val="00061DD6"/>
    <w:rsid w:val="00061EE9"/>
    <w:rsid w:val="00062327"/>
    <w:rsid w:val="00062656"/>
    <w:rsid w:val="00062952"/>
    <w:rsid w:val="00062AED"/>
    <w:rsid w:val="00062B65"/>
    <w:rsid w:val="0006333D"/>
    <w:rsid w:val="00063548"/>
    <w:rsid w:val="00064FA1"/>
    <w:rsid w:val="00066565"/>
    <w:rsid w:val="0006686A"/>
    <w:rsid w:val="000673DA"/>
    <w:rsid w:val="00067456"/>
    <w:rsid w:val="000701F8"/>
    <w:rsid w:val="00070316"/>
    <w:rsid w:val="0007074A"/>
    <w:rsid w:val="00071506"/>
    <w:rsid w:val="0007154F"/>
    <w:rsid w:val="00071A3F"/>
    <w:rsid w:val="00072394"/>
    <w:rsid w:val="00072875"/>
    <w:rsid w:val="0007301A"/>
    <w:rsid w:val="0007320D"/>
    <w:rsid w:val="00073829"/>
    <w:rsid w:val="00073B82"/>
    <w:rsid w:val="00073C50"/>
    <w:rsid w:val="00073D65"/>
    <w:rsid w:val="0007527B"/>
    <w:rsid w:val="000753A2"/>
    <w:rsid w:val="000753EE"/>
    <w:rsid w:val="000755DB"/>
    <w:rsid w:val="000755F3"/>
    <w:rsid w:val="000763D2"/>
    <w:rsid w:val="0007657F"/>
    <w:rsid w:val="00077F8A"/>
    <w:rsid w:val="0008126D"/>
    <w:rsid w:val="000813C0"/>
    <w:rsid w:val="00081848"/>
    <w:rsid w:val="000818ED"/>
    <w:rsid w:val="00081AB1"/>
    <w:rsid w:val="00081C19"/>
    <w:rsid w:val="00081D0F"/>
    <w:rsid w:val="000821BF"/>
    <w:rsid w:val="00082D02"/>
    <w:rsid w:val="00082DC8"/>
    <w:rsid w:val="00082E2A"/>
    <w:rsid w:val="00083892"/>
    <w:rsid w:val="00083EAD"/>
    <w:rsid w:val="0008422F"/>
    <w:rsid w:val="0008426C"/>
    <w:rsid w:val="00084620"/>
    <w:rsid w:val="00085432"/>
    <w:rsid w:val="000854CD"/>
    <w:rsid w:val="00085515"/>
    <w:rsid w:val="0008556B"/>
    <w:rsid w:val="00085697"/>
    <w:rsid w:val="000859C9"/>
    <w:rsid w:val="00085AEF"/>
    <w:rsid w:val="00085BA7"/>
    <w:rsid w:val="00085F04"/>
    <w:rsid w:val="000864F4"/>
    <w:rsid w:val="00087065"/>
    <w:rsid w:val="00090316"/>
    <w:rsid w:val="0009069B"/>
    <w:rsid w:val="00090DEA"/>
    <w:rsid w:val="00093981"/>
    <w:rsid w:val="00093A0C"/>
    <w:rsid w:val="00093CD9"/>
    <w:rsid w:val="00093CE1"/>
    <w:rsid w:val="00094254"/>
    <w:rsid w:val="00094C28"/>
    <w:rsid w:val="00095441"/>
    <w:rsid w:val="000957AB"/>
    <w:rsid w:val="000959DC"/>
    <w:rsid w:val="00095DA6"/>
    <w:rsid w:val="0009604A"/>
    <w:rsid w:val="00096233"/>
    <w:rsid w:val="000962AF"/>
    <w:rsid w:val="00096DC6"/>
    <w:rsid w:val="000A08D4"/>
    <w:rsid w:val="000A14C6"/>
    <w:rsid w:val="000A1A26"/>
    <w:rsid w:val="000A2700"/>
    <w:rsid w:val="000A27B5"/>
    <w:rsid w:val="000A3773"/>
    <w:rsid w:val="000A3BE9"/>
    <w:rsid w:val="000A4E5F"/>
    <w:rsid w:val="000A50C4"/>
    <w:rsid w:val="000A51E7"/>
    <w:rsid w:val="000A5546"/>
    <w:rsid w:val="000A5D3E"/>
    <w:rsid w:val="000A6692"/>
    <w:rsid w:val="000A6AE1"/>
    <w:rsid w:val="000A728D"/>
    <w:rsid w:val="000A7345"/>
    <w:rsid w:val="000A73EB"/>
    <w:rsid w:val="000A745C"/>
    <w:rsid w:val="000A7804"/>
    <w:rsid w:val="000B0275"/>
    <w:rsid w:val="000B067A"/>
    <w:rsid w:val="000B0965"/>
    <w:rsid w:val="000B0A7A"/>
    <w:rsid w:val="000B0C1F"/>
    <w:rsid w:val="000B134E"/>
    <w:rsid w:val="000B1540"/>
    <w:rsid w:val="000B16F1"/>
    <w:rsid w:val="000B1DF8"/>
    <w:rsid w:val="000B2B8F"/>
    <w:rsid w:val="000B2D9A"/>
    <w:rsid w:val="000B2E29"/>
    <w:rsid w:val="000B33FD"/>
    <w:rsid w:val="000B346A"/>
    <w:rsid w:val="000B37ED"/>
    <w:rsid w:val="000B400A"/>
    <w:rsid w:val="000B4099"/>
    <w:rsid w:val="000B446C"/>
    <w:rsid w:val="000B4ABA"/>
    <w:rsid w:val="000B4DAA"/>
    <w:rsid w:val="000B4F36"/>
    <w:rsid w:val="000B515B"/>
    <w:rsid w:val="000B5A9B"/>
    <w:rsid w:val="000B5AF1"/>
    <w:rsid w:val="000B6103"/>
    <w:rsid w:val="000B6761"/>
    <w:rsid w:val="000B6B9E"/>
    <w:rsid w:val="000B7045"/>
    <w:rsid w:val="000B752A"/>
    <w:rsid w:val="000B7AE0"/>
    <w:rsid w:val="000B7C1D"/>
    <w:rsid w:val="000B7EF3"/>
    <w:rsid w:val="000C01F9"/>
    <w:rsid w:val="000C09BE"/>
    <w:rsid w:val="000C133B"/>
    <w:rsid w:val="000C13ED"/>
    <w:rsid w:val="000C16CF"/>
    <w:rsid w:val="000C337A"/>
    <w:rsid w:val="000C3C8A"/>
    <w:rsid w:val="000C41F7"/>
    <w:rsid w:val="000C4320"/>
    <w:rsid w:val="000C4481"/>
    <w:rsid w:val="000C481D"/>
    <w:rsid w:val="000C4B16"/>
    <w:rsid w:val="000C4FD3"/>
    <w:rsid w:val="000C502B"/>
    <w:rsid w:val="000C50C3"/>
    <w:rsid w:val="000C5355"/>
    <w:rsid w:val="000C5676"/>
    <w:rsid w:val="000C59D5"/>
    <w:rsid w:val="000C5B72"/>
    <w:rsid w:val="000C61D1"/>
    <w:rsid w:val="000C65BF"/>
    <w:rsid w:val="000C698D"/>
    <w:rsid w:val="000C6C41"/>
    <w:rsid w:val="000C706B"/>
    <w:rsid w:val="000C709C"/>
    <w:rsid w:val="000D0514"/>
    <w:rsid w:val="000D13A1"/>
    <w:rsid w:val="000D13F0"/>
    <w:rsid w:val="000D15AB"/>
    <w:rsid w:val="000D1BC1"/>
    <w:rsid w:val="000D2117"/>
    <w:rsid w:val="000D21F6"/>
    <w:rsid w:val="000D27B0"/>
    <w:rsid w:val="000D27F6"/>
    <w:rsid w:val="000D2DF7"/>
    <w:rsid w:val="000D322A"/>
    <w:rsid w:val="000D33A6"/>
    <w:rsid w:val="000D35A1"/>
    <w:rsid w:val="000D3A82"/>
    <w:rsid w:val="000D404D"/>
    <w:rsid w:val="000D411F"/>
    <w:rsid w:val="000D42C3"/>
    <w:rsid w:val="000D4500"/>
    <w:rsid w:val="000D480A"/>
    <w:rsid w:val="000D49D2"/>
    <w:rsid w:val="000D4C4F"/>
    <w:rsid w:val="000D52C3"/>
    <w:rsid w:val="000D58E2"/>
    <w:rsid w:val="000D5A8F"/>
    <w:rsid w:val="000D7584"/>
    <w:rsid w:val="000D7607"/>
    <w:rsid w:val="000D76D1"/>
    <w:rsid w:val="000D78D9"/>
    <w:rsid w:val="000D7AEA"/>
    <w:rsid w:val="000E01A9"/>
    <w:rsid w:val="000E0A79"/>
    <w:rsid w:val="000E14E3"/>
    <w:rsid w:val="000E1583"/>
    <w:rsid w:val="000E2178"/>
    <w:rsid w:val="000E219C"/>
    <w:rsid w:val="000E2238"/>
    <w:rsid w:val="000E22FA"/>
    <w:rsid w:val="000E27D3"/>
    <w:rsid w:val="000E283F"/>
    <w:rsid w:val="000E2A24"/>
    <w:rsid w:val="000E2AD2"/>
    <w:rsid w:val="000E2C66"/>
    <w:rsid w:val="000E445E"/>
    <w:rsid w:val="000E4C9D"/>
    <w:rsid w:val="000E5757"/>
    <w:rsid w:val="000E5C2E"/>
    <w:rsid w:val="000E61AC"/>
    <w:rsid w:val="000E6851"/>
    <w:rsid w:val="000E69B8"/>
    <w:rsid w:val="000E6B43"/>
    <w:rsid w:val="000E6E7D"/>
    <w:rsid w:val="000E720D"/>
    <w:rsid w:val="000E74E7"/>
    <w:rsid w:val="000E7763"/>
    <w:rsid w:val="000F0158"/>
    <w:rsid w:val="000F05F2"/>
    <w:rsid w:val="000F123C"/>
    <w:rsid w:val="000F16DB"/>
    <w:rsid w:val="000F1713"/>
    <w:rsid w:val="000F1823"/>
    <w:rsid w:val="000F1859"/>
    <w:rsid w:val="000F18C1"/>
    <w:rsid w:val="000F196B"/>
    <w:rsid w:val="000F207F"/>
    <w:rsid w:val="000F2133"/>
    <w:rsid w:val="000F2225"/>
    <w:rsid w:val="000F2712"/>
    <w:rsid w:val="000F2D2B"/>
    <w:rsid w:val="000F2FED"/>
    <w:rsid w:val="000F38B4"/>
    <w:rsid w:val="000F3EC0"/>
    <w:rsid w:val="000F3F6F"/>
    <w:rsid w:val="000F55BB"/>
    <w:rsid w:val="000F608B"/>
    <w:rsid w:val="000F65FA"/>
    <w:rsid w:val="000F6685"/>
    <w:rsid w:val="000F671A"/>
    <w:rsid w:val="000F6939"/>
    <w:rsid w:val="000F71BC"/>
    <w:rsid w:val="000F7A14"/>
    <w:rsid w:val="000F7C5B"/>
    <w:rsid w:val="00100EB0"/>
    <w:rsid w:val="00100ED1"/>
    <w:rsid w:val="0010107D"/>
    <w:rsid w:val="00101396"/>
    <w:rsid w:val="00101599"/>
    <w:rsid w:val="00102A7B"/>
    <w:rsid w:val="00102F93"/>
    <w:rsid w:val="001030A8"/>
    <w:rsid w:val="00103809"/>
    <w:rsid w:val="00103EE7"/>
    <w:rsid w:val="0010406E"/>
    <w:rsid w:val="00104320"/>
    <w:rsid w:val="001044B1"/>
    <w:rsid w:val="00104CF0"/>
    <w:rsid w:val="00105DCE"/>
    <w:rsid w:val="0010616D"/>
    <w:rsid w:val="001062C9"/>
    <w:rsid w:val="0010647E"/>
    <w:rsid w:val="00106ED5"/>
    <w:rsid w:val="001075AF"/>
    <w:rsid w:val="00107B01"/>
    <w:rsid w:val="00107BB2"/>
    <w:rsid w:val="00107BC7"/>
    <w:rsid w:val="00107DA1"/>
    <w:rsid w:val="00110478"/>
    <w:rsid w:val="00111245"/>
    <w:rsid w:val="0011128E"/>
    <w:rsid w:val="00111805"/>
    <w:rsid w:val="0011242D"/>
    <w:rsid w:val="00112C4F"/>
    <w:rsid w:val="00113261"/>
    <w:rsid w:val="0011392D"/>
    <w:rsid w:val="00113CFB"/>
    <w:rsid w:val="00113D23"/>
    <w:rsid w:val="001145B8"/>
    <w:rsid w:val="00114961"/>
    <w:rsid w:val="00114C3F"/>
    <w:rsid w:val="00114F1A"/>
    <w:rsid w:val="001150E5"/>
    <w:rsid w:val="00115295"/>
    <w:rsid w:val="001152A4"/>
    <w:rsid w:val="00115847"/>
    <w:rsid w:val="00116604"/>
    <w:rsid w:val="00116982"/>
    <w:rsid w:val="00116DF3"/>
    <w:rsid w:val="0011711B"/>
    <w:rsid w:val="00117ADF"/>
    <w:rsid w:val="00117D1F"/>
    <w:rsid w:val="00117F8A"/>
    <w:rsid w:val="00120008"/>
    <w:rsid w:val="00120448"/>
    <w:rsid w:val="00120D14"/>
    <w:rsid w:val="0012118E"/>
    <w:rsid w:val="00121598"/>
    <w:rsid w:val="001219C8"/>
    <w:rsid w:val="00121AB5"/>
    <w:rsid w:val="00121B9B"/>
    <w:rsid w:val="00121EBF"/>
    <w:rsid w:val="0012212C"/>
    <w:rsid w:val="001221F0"/>
    <w:rsid w:val="00122235"/>
    <w:rsid w:val="00122687"/>
    <w:rsid w:val="001226A1"/>
    <w:rsid w:val="00122ADC"/>
    <w:rsid w:val="0012388C"/>
    <w:rsid w:val="00123FBF"/>
    <w:rsid w:val="00124F04"/>
    <w:rsid w:val="001251C5"/>
    <w:rsid w:val="00125518"/>
    <w:rsid w:val="001256B2"/>
    <w:rsid w:val="00125B74"/>
    <w:rsid w:val="00125E0B"/>
    <w:rsid w:val="001263D0"/>
    <w:rsid w:val="00126F46"/>
    <w:rsid w:val="001273E1"/>
    <w:rsid w:val="0013016D"/>
    <w:rsid w:val="001306E2"/>
    <w:rsid w:val="00130804"/>
    <w:rsid w:val="00130F59"/>
    <w:rsid w:val="00131678"/>
    <w:rsid w:val="001322A3"/>
    <w:rsid w:val="0013250A"/>
    <w:rsid w:val="0013260A"/>
    <w:rsid w:val="00132664"/>
    <w:rsid w:val="00132B91"/>
    <w:rsid w:val="00133012"/>
    <w:rsid w:val="00133267"/>
    <w:rsid w:val="00133EA4"/>
    <w:rsid w:val="00133EC0"/>
    <w:rsid w:val="0013422B"/>
    <w:rsid w:val="00134301"/>
    <w:rsid w:val="0013465A"/>
    <w:rsid w:val="001353A1"/>
    <w:rsid w:val="00135561"/>
    <w:rsid w:val="00135603"/>
    <w:rsid w:val="00135805"/>
    <w:rsid w:val="0013665B"/>
    <w:rsid w:val="001366C8"/>
    <w:rsid w:val="001377CF"/>
    <w:rsid w:val="00137E1E"/>
    <w:rsid w:val="00137E2F"/>
    <w:rsid w:val="00140555"/>
    <w:rsid w:val="00140758"/>
    <w:rsid w:val="001408EE"/>
    <w:rsid w:val="00140AA2"/>
    <w:rsid w:val="00141174"/>
    <w:rsid w:val="001413BB"/>
    <w:rsid w:val="00141754"/>
    <w:rsid w:val="00141935"/>
    <w:rsid w:val="00141CE5"/>
    <w:rsid w:val="00142A35"/>
    <w:rsid w:val="0014310E"/>
    <w:rsid w:val="00143922"/>
    <w:rsid w:val="00143BFE"/>
    <w:rsid w:val="00144908"/>
    <w:rsid w:val="00144C84"/>
    <w:rsid w:val="00144D5D"/>
    <w:rsid w:val="00146AA4"/>
    <w:rsid w:val="00146E95"/>
    <w:rsid w:val="0015025B"/>
    <w:rsid w:val="00150751"/>
    <w:rsid w:val="001507E9"/>
    <w:rsid w:val="001509B5"/>
    <w:rsid w:val="00151252"/>
    <w:rsid w:val="00151416"/>
    <w:rsid w:val="001519B9"/>
    <w:rsid w:val="00151ADC"/>
    <w:rsid w:val="00151E1E"/>
    <w:rsid w:val="00152082"/>
    <w:rsid w:val="00152FC4"/>
    <w:rsid w:val="001533BD"/>
    <w:rsid w:val="0015395A"/>
    <w:rsid w:val="00154953"/>
    <w:rsid w:val="00155232"/>
    <w:rsid w:val="00155469"/>
    <w:rsid w:val="00156359"/>
    <w:rsid w:val="001567C7"/>
    <w:rsid w:val="00156FEB"/>
    <w:rsid w:val="001571C7"/>
    <w:rsid w:val="00157BD4"/>
    <w:rsid w:val="00157C9F"/>
    <w:rsid w:val="00157FCF"/>
    <w:rsid w:val="0016029A"/>
    <w:rsid w:val="001605B2"/>
    <w:rsid w:val="00160880"/>
    <w:rsid w:val="00161094"/>
    <w:rsid w:val="001610D4"/>
    <w:rsid w:val="00161451"/>
    <w:rsid w:val="00162E34"/>
    <w:rsid w:val="001632E1"/>
    <w:rsid w:val="00163457"/>
    <w:rsid w:val="00163787"/>
    <w:rsid w:val="00163A17"/>
    <w:rsid w:val="00164A9E"/>
    <w:rsid w:val="00164AF4"/>
    <w:rsid w:val="0016592B"/>
    <w:rsid w:val="00165B42"/>
    <w:rsid w:val="0016678D"/>
    <w:rsid w:val="00166B50"/>
    <w:rsid w:val="00166D17"/>
    <w:rsid w:val="00167412"/>
    <w:rsid w:val="00167A75"/>
    <w:rsid w:val="00170A7C"/>
    <w:rsid w:val="00170B94"/>
    <w:rsid w:val="001711A3"/>
    <w:rsid w:val="00171644"/>
    <w:rsid w:val="00171659"/>
    <w:rsid w:val="0017231C"/>
    <w:rsid w:val="00172A55"/>
    <w:rsid w:val="001735BE"/>
    <w:rsid w:val="00173E26"/>
    <w:rsid w:val="00174000"/>
    <w:rsid w:val="00174811"/>
    <w:rsid w:val="00174DB0"/>
    <w:rsid w:val="001751C7"/>
    <w:rsid w:val="00175590"/>
    <w:rsid w:val="001758BC"/>
    <w:rsid w:val="001758CD"/>
    <w:rsid w:val="0017648C"/>
    <w:rsid w:val="001764B3"/>
    <w:rsid w:val="0017665C"/>
    <w:rsid w:val="00176CBA"/>
    <w:rsid w:val="00176D5D"/>
    <w:rsid w:val="00177398"/>
    <w:rsid w:val="00177AD2"/>
    <w:rsid w:val="001809EE"/>
    <w:rsid w:val="0018116B"/>
    <w:rsid w:val="001815A8"/>
    <w:rsid w:val="00181CE7"/>
    <w:rsid w:val="001828D1"/>
    <w:rsid w:val="00182AE9"/>
    <w:rsid w:val="00182F74"/>
    <w:rsid w:val="00184075"/>
    <w:rsid w:val="001840FA"/>
    <w:rsid w:val="00184559"/>
    <w:rsid w:val="0018474D"/>
    <w:rsid w:val="00184BBF"/>
    <w:rsid w:val="00184CE5"/>
    <w:rsid w:val="00185177"/>
    <w:rsid w:val="001858AF"/>
    <w:rsid w:val="001858FF"/>
    <w:rsid w:val="00186AE8"/>
    <w:rsid w:val="00186C95"/>
    <w:rsid w:val="00186E38"/>
    <w:rsid w:val="00187355"/>
    <w:rsid w:val="00190079"/>
    <w:rsid w:val="0019066F"/>
    <w:rsid w:val="00190A6C"/>
    <w:rsid w:val="001911B9"/>
    <w:rsid w:val="0019180F"/>
    <w:rsid w:val="001918E5"/>
    <w:rsid w:val="00191BAC"/>
    <w:rsid w:val="001929CD"/>
    <w:rsid w:val="00192CA6"/>
    <w:rsid w:val="00192EFF"/>
    <w:rsid w:val="001936E8"/>
    <w:rsid w:val="0019380D"/>
    <w:rsid w:val="001944DF"/>
    <w:rsid w:val="00194E25"/>
    <w:rsid w:val="00194F4B"/>
    <w:rsid w:val="00195BCC"/>
    <w:rsid w:val="0019622E"/>
    <w:rsid w:val="001966A7"/>
    <w:rsid w:val="001968A6"/>
    <w:rsid w:val="001968BB"/>
    <w:rsid w:val="00197004"/>
    <w:rsid w:val="001978EA"/>
    <w:rsid w:val="00197DF5"/>
    <w:rsid w:val="0019CD5D"/>
    <w:rsid w:val="001A0975"/>
    <w:rsid w:val="001A1103"/>
    <w:rsid w:val="001A16A3"/>
    <w:rsid w:val="001A1B76"/>
    <w:rsid w:val="001A2B12"/>
    <w:rsid w:val="001A2EA6"/>
    <w:rsid w:val="001A3592"/>
    <w:rsid w:val="001A396A"/>
    <w:rsid w:val="001A3ACB"/>
    <w:rsid w:val="001A443A"/>
    <w:rsid w:val="001A4627"/>
    <w:rsid w:val="001A4979"/>
    <w:rsid w:val="001A4B57"/>
    <w:rsid w:val="001A60F9"/>
    <w:rsid w:val="001A6728"/>
    <w:rsid w:val="001A67C7"/>
    <w:rsid w:val="001A681A"/>
    <w:rsid w:val="001A6D73"/>
    <w:rsid w:val="001A6F26"/>
    <w:rsid w:val="001A7337"/>
    <w:rsid w:val="001A7F6D"/>
    <w:rsid w:val="001B0009"/>
    <w:rsid w:val="001B011B"/>
    <w:rsid w:val="001B0179"/>
    <w:rsid w:val="001B04C4"/>
    <w:rsid w:val="001B05A6"/>
    <w:rsid w:val="001B0D04"/>
    <w:rsid w:val="001B0DEE"/>
    <w:rsid w:val="001B1129"/>
    <w:rsid w:val="001B11BC"/>
    <w:rsid w:val="001B15D3"/>
    <w:rsid w:val="001B1D0A"/>
    <w:rsid w:val="001B2112"/>
    <w:rsid w:val="001B2DBA"/>
    <w:rsid w:val="001B3443"/>
    <w:rsid w:val="001B3EBC"/>
    <w:rsid w:val="001B3F83"/>
    <w:rsid w:val="001B5041"/>
    <w:rsid w:val="001B53FA"/>
    <w:rsid w:val="001B5673"/>
    <w:rsid w:val="001B5F18"/>
    <w:rsid w:val="001B65F6"/>
    <w:rsid w:val="001B689D"/>
    <w:rsid w:val="001B75E6"/>
    <w:rsid w:val="001C0286"/>
    <w:rsid w:val="001C0326"/>
    <w:rsid w:val="001C1676"/>
    <w:rsid w:val="001C1784"/>
    <w:rsid w:val="001C192F"/>
    <w:rsid w:val="001C232D"/>
    <w:rsid w:val="001C2827"/>
    <w:rsid w:val="001C2896"/>
    <w:rsid w:val="001C367A"/>
    <w:rsid w:val="001C378C"/>
    <w:rsid w:val="001C3C42"/>
    <w:rsid w:val="001C4109"/>
    <w:rsid w:val="001C43D6"/>
    <w:rsid w:val="001C5201"/>
    <w:rsid w:val="001C5441"/>
    <w:rsid w:val="001C576F"/>
    <w:rsid w:val="001C637E"/>
    <w:rsid w:val="001C6453"/>
    <w:rsid w:val="001C6C5C"/>
    <w:rsid w:val="001C6DBC"/>
    <w:rsid w:val="001C7834"/>
    <w:rsid w:val="001C7874"/>
    <w:rsid w:val="001C7DEB"/>
    <w:rsid w:val="001D0AAD"/>
    <w:rsid w:val="001D0B1C"/>
    <w:rsid w:val="001D0DAF"/>
    <w:rsid w:val="001D1B4C"/>
    <w:rsid w:val="001D2115"/>
    <w:rsid w:val="001D25EF"/>
    <w:rsid w:val="001D2C84"/>
    <w:rsid w:val="001D306E"/>
    <w:rsid w:val="001D34A1"/>
    <w:rsid w:val="001D48EB"/>
    <w:rsid w:val="001D5578"/>
    <w:rsid w:val="001D5681"/>
    <w:rsid w:val="001D62B9"/>
    <w:rsid w:val="001D6341"/>
    <w:rsid w:val="001D6DCA"/>
    <w:rsid w:val="001D7869"/>
    <w:rsid w:val="001E057D"/>
    <w:rsid w:val="001E07EC"/>
    <w:rsid w:val="001E08D5"/>
    <w:rsid w:val="001E100B"/>
    <w:rsid w:val="001E23A9"/>
    <w:rsid w:val="001E2A7F"/>
    <w:rsid w:val="001E2C76"/>
    <w:rsid w:val="001E2EA1"/>
    <w:rsid w:val="001E3950"/>
    <w:rsid w:val="001E39BF"/>
    <w:rsid w:val="001E3A63"/>
    <w:rsid w:val="001E3B8E"/>
    <w:rsid w:val="001E4A25"/>
    <w:rsid w:val="001E4C76"/>
    <w:rsid w:val="001E508F"/>
    <w:rsid w:val="001E592E"/>
    <w:rsid w:val="001E5D2C"/>
    <w:rsid w:val="001E64B9"/>
    <w:rsid w:val="001E6E9F"/>
    <w:rsid w:val="001E6F19"/>
    <w:rsid w:val="001E769F"/>
    <w:rsid w:val="001E78DE"/>
    <w:rsid w:val="001E7D1C"/>
    <w:rsid w:val="001F0B9C"/>
    <w:rsid w:val="001F1196"/>
    <w:rsid w:val="001F1C05"/>
    <w:rsid w:val="001F1E0D"/>
    <w:rsid w:val="001F2346"/>
    <w:rsid w:val="001F2F78"/>
    <w:rsid w:val="001F3392"/>
    <w:rsid w:val="001F351D"/>
    <w:rsid w:val="001F3B30"/>
    <w:rsid w:val="001F3E67"/>
    <w:rsid w:val="001F5680"/>
    <w:rsid w:val="001F6300"/>
    <w:rsid w:val="001F68D8"/>
    <w:rsid w:val="001F6C30"/>
    <w:rsid w:val="001F6DA7"/>
    <w:rsid w:val="001F6F6C"/>
    <w:rsid w:val="001F7BAE"/>
    <w:rsid w:val="001F7DFD"/>
    <w:rsid w:val="00200BEA"/>
    <w:rsid w:val="00200D49"/>
    <w:rsid w:val="00200F2D"/>
    <w:rsid w:val="0020144A"/>
    <w:rsid w:val="002016E0"/>
    <w:rsid w:val="00201F2B"/>
    <w:rsid w:val="0020226F"/>
    <w:rsid w:val="002026CD"/>
    <w:rsid w:val="00202B20"/>
    <w:rsid w:val="002033FC"/>
    <w:rsid w:val="00203529"/>
    <w:rsid w:val="00203650"/>
    <w:rsid w:val="00203B1C"/>
    <w:rsid w:val="0020446F"/>
    <w:rsid w:val="002044BB"/>
    <w:rsid w:val="002045B3"/>
    <w:rsid w:val="0020469B"/>
    <w:rsid w:val="00204903"/>
    <w:rsid w:val="00204B0A"/>
    <w:rsid w:val="00204D54"/>
    <w:rsid w:val="002055C4"/>
    <w:rsid w:val="002059AE"/>
    <w:rsid w:val="002065D6"/>
    <w:rsid w:val="00207068"/>
    <w:rsid w:val="002070AD"/>
    <w:rsid w:val="00207A60"/>
    <w:rsid w:val="00207B86"/>
    <w:rsid w:val="00207C6C"/>
    <w:rsid w:val="00207CAC"/>
    <w:rsid w:val="00207CC0"/>
    <w:rsid w:val="00207EF7"/>
    <w:rsid w:val="002107E1"/>
    <w:rsid w:val="00210B09"/>
    <w:rsid w:val="00210BC0"/>
    <w:rsid w:val="00210C9E"/>
    <w:rsid w:val="00210DB8"/>
    <w:rsid w:val="00211157"/>
    <w:rsid w:val="00211222"/>
    <w:rsid w:val="0021162B"/>
    <w:rsid w:val="00211644"/>
    <w:rsid w:val="002116E9"/>
    <w:rsid w:val="00211840"/>
    <w:rsid w:val="00211847"/>
    <w:rsid w:val="00211B4E"/>
    <w:rsid w:val="00211DCB"/>
    <w:rsid w:val="00212557"/>
    <w:rsid w:val="00212623"/>
    <w:rsid w:val="002127EE"/>
    <w:rsid w:val="00212BB9"/>
    <w:rsid w:val="00212DF8"/>
    <w:rsid w:val="00212F6F"/>
    <w:rsid w:val="00212F8F"/>
    <w:rsid w:val="00213D02"/>
    <w:rsid w:val="002149EC"/>
    <w:rsid w:val="00214C05"/>
    <w:rsid w:val="0021500E"/>
    <w:rsid w:val="00215DDB"/>
    <w:rsid w:val="00215F6D"/>
    <w:rsid w:val="00216307"/>
    <w:rsid w:val="002163A6"/>
    <w:rsid w:val="002166A8"/>
    <w:rsid w:val="00216A30"/>
    <w:rsid w:val="00216AE6"/>
    <w:rsid w:val="00216B63"/>
    <w:rsid w:val="00216C26"/>
    <w:rsid w:val="00217C67"/>
    <w:rsid w:val="00217EE3"/>
    <w:rsid w:val="002200E2"/>
    <w:rsid w:val="002207D3"/>
    <w:rsid w:val="00220831"/>
    <w:rsid w:val="00220A1A"/>
    <w:rsid w:val="00220E5F"/>
    <w:rsid w:val="00220ECA"/>
    <w:rsid w:val="002211B0"/>
    <w:rsid w:val="002211C6"/>
    <w:rsid w:val="002212B5"/>
    <w:rsid w:val="002213F8"/>
    <w:rsid w:val="00221638"/>
    <w:rsid w:val="002216A7"/>
    <w:rsid w:val="00221754"/>
    <w:rsid w:val="00221871"/>
    <w:rsid w:val="00221D4F"/>
    <w:rsid w:val="002220A6"/>
    <w:rsid w:val="002229A6"/>
    <w:rsid w:val="0022335D"/>
    <w:rsid w:val="002238C1"/>
    <w:rsid w:val="00223DAD"/>
    <w:rsid w:val="00224109"/>
    <w:rsid w:val="00224165"/>
    <w:rsid w:val="00224353"/>
    <w:rsid w:val="00224610"/>
    <w:rsid w:val="00224ABB"/>
    <w:rsid w:val="00225813"/>
    <w:rsid w:val="00225A05"/>
    <w:rsid w:val="00225EAE"/>
    <w:rsid w:val="00225F45"/>
    <w:rsid w:val="00226045"/>
    <w:rsid w:val="00226668"/>
    <w:rsid w:val="00226815"/>
    <w:rsid w:val="00226937"/>
    <w:rsid w:val="00230C49"/>
    <w:rsid w:val="00230F96"/>
    <w:rsid w:val="0023102D"/>
    <w:rsid w:val="00231349"/>
    <w:rsid w:val="002320EC"/>
    <w:rsid w:val="002324ED"/>
    <w:rsid w:val="00232977"/>
    <w:rsid w:val="00232F54"/>
    <w:rsid w:val="00233498"/>
    <w:rsid w:val="002336E2"/>
    <w:rsid w:val="00233809"/>
    <w:rsid w:val="00233823"/>
    <w:rsid w:val="00233934"/>
    <w:rsid w:val="00233FC8"/>
    <w:rsid w:val="002356DF"/>
    <w:rsid w:val="002358E8"/>
    <w:rsid w:val="00235B9F"/>
    <w:rsid w:val="00235BE0"/>
    <w:rsid w:val="00235DA5"/>
    <w:rsid w:val="0023631E"/>
    <w:rsid w:val="00236574"/>
    <w:rsid w:val="00237855"/>
    <w:rsid w:val="00237933"/>
    <w:rsid w:val="002379AD"/>
    <w:rsid w:val="00237BE1"/>
    <w:rsid w:val="00240046"/>
    <w:rsid w:val="00240052"/>
    <w:rsid w:val="002401A9"/>
    <w:rsid w:val="0024076C"/>
    <w:rsid w:val="00240C84"/>
    <w:rsid w:val="00240E2F"/>
    <w:rsid w:val="002414BA"/>
    <w:rsid w:val="0024178D"/>
    <w:rsid w:val="002417FC"/>
    <w:rsid w:val="00241F5D"/>
    <w:rsid w:val="0024285D"/>
    <w:rsid w:val="002430F3"/>
    <w:rsid w:val="00243EC8"/>
    <w:rsid w:val="00244208"/>
    <w:rsid w:val="00244303"/>
    <w:rsid w:val="00244966"/>
    <w:rsid w:val="00244F4D"/>
    <w:rsid w:val="002456E8"/>
    <w:rsid w:val="0024577F"/>
    <w:rsid w:val="00245A3B"/>
    <w:rsid w:val="00245F3F"/>
    <w:rsid w:val="0024674B"/>
    <w:rsid w:val="0024797F"/>
    <w:rsid w:val="002479F4"/>
    <w:rsid w:val="00250723"/>
    <w:rsid w:val="00250A05"/>
    <w:rsid w:val="00250FFE"/>
    <w:rsid w:val="00251087"/>
    <w:rsid w:val="0025119E"/>
    <w:rsid w:val="00251269"/>
    <w:rsid w:val="00251442"/>
    <w:rsid w:val="0025166E"/>
    <w:rsid w:val="00251A47"/>
    <w:rsid w:val="00251AC3"/>
    <w:rsid w:val="00252C69"/>
    <w:rsid w:val="0025315C"/>
    <w:rsid w:val="00253444"/>
    <w:rsid w:val="002535C0"/>
    <w:rsid w:val="00253753"/>
    <w:rsid w:val="00253773"/>
    <w:rsid w:val="00253CF7"/>
    <w:rsid w:val="00253DC6"/>
    <w:rsid w:val="00254D82"/>
    <w:rsid w:val="00255CF8"/>
    <w:rsid w:val="00255F95"/>
    <w:rsid w:val="002560A4"/>
    <w:rsid w:val="0025628E"/>
    <w:rsid w:val="00256510"/>
    <w:rsid w:val="00256E78"/>
    <w:rsid w:val="00256F4A"/>
    <w:rsid w:val="002577CA"/>
    <w:rsid w:val="002579FE"/>
    <w:rsid w:val="00257D3B"/>
    <w:rsid w:val="002601E0"/>
    <w:rsid w:val="0026071C"/>
    <w:rsid w:val="00261C2B"/>
    <w:rsid w:val="00261F8E"/>
    <w:rsid w:val="00261FC3"/>
    <w:rsid w:val="002625EB"/>
    <w:rsid w:val="002625F2"/>
    <w:rsid w:val="002626D9"/>
    <w:rsid w:val="0026311C"/>
    <w:rsid w:val="00264472"/>
    <w:rsid w:val="0026459C"/>
    <w:rsid w:val="00264A06"/>
    <w:rsid w:val="00264A11"/>
    <w:rsid w:val="00265B25"/>
    <w:rsid w:val="00265F1F"/>
    <w:rsid w:val="002663E1"/>
    <w:rsid w:val="0026668C"/>
    <w:rsid w:val="002667CC"/>
    <w:rsid w:val="002667D0"/>
    <w:rsid w:val="00266AC1"/>
    <w:rsid w:val="0026745D"/>
    <w:rsid w:val="00267D23"/>
    <w:rsid w:val="00270674"/>
    <w:rsid w:val="00270C0B"/>
    <w:rsid w:val="00271095"/>
    <w:rsid w:val="0027178C"/>
    <w:rsid w:val="002719FA"/>
    <w:rsid w:val="00271D9E"/>
    <w:rsid w:val="002723FD"/>
    <w:rsid w:val="00272474"/>
    <w:rsid w:val="00272668"/>
    <w:rsid w:val="00272A6A"/>
    <w:rsid w:val="00272F7F"/>
    <w:rsid w:val="0027330B"/>
    <w:rsid w:val="0027367F"/>
    <w:rsid w:val="00273896"/>
    <w:rsid w:val="00273914"/>
    <w:rsid w:val="00273BE8"/>
    <w:rsid w:val="00273C99"/>
    <w:rsid w:val="00274ABF"/>
    <w:rsid w:val="00274E7B"/>
    <w:rsid w:val="002751E6"/>
    <w:rsid w:val="0027588B"/>
    <w:rsid w:val="00275C75"/>
    <w:rsid w:val="00275E77"/>
    <w:rsid w:val="0027787B"/>
    <w:rsid w:val="00277AAA"/>
    <w:rsid w:val="00277C77"/>
    <w:rsid w:val="00277C8D"/>
    <w:rsid w:val="00277E2C"/>
    <w:rsid w:val="0028006B"/>
    <w:rsid w:val="002803AD"/>
    <w:rsid w:val="00280529"/>
    <w:rsid w:val="00280923"/>
    <w:rsid w:val="0028126A"/>
    <w:rsid w:val="00282052"/>
    <w:rsid w:val="0028228C"/>
    <w:rsid w:val="00282310"/>
    <w:rsid w:val="002826AD"/>
    <w:rsid w:val="00282994"/>
    <w:rsid w:val="002836C3"/>
    <w:rsid w:val="002837E6"/>
    <w:rsid w:val="00284039"/>
    <w:rsid w:val="002841B4"/>
    <w:rsid w:val="0028519E"/>
    <w:rsid w:val="002851BA"/>
    <w:rsid w:val="002856A5"/>
    <w:rsid w:val="00286047"/>
    <w:rsid w:val="00286319"/>
    <w:rsid w:val="002864F5"/>
    <w:rsid w:val="00286A41"/>
    <w:rsid w:val="002872ED"/>
    <w:rsid w:val="00287324"/>
    <w:rsid w:val="002876DE"/>
    <w:rsid w:val="00287D31"/>
    <w:rsid w:val="00290397"/>
    <w:rsid w:val="002905C2"/>
    <w:rsid w:val="00291194"/>
    <w:rsid w:val="002916EE"/>
    <w:rsid w:val="00291964"/>
    <w:rsid w:val="00292493"/>
    <w:rsid w:val="002927E5"/>
    <w:rsid w:val="00292E78"/>
    <w:rsid w:val="00293286"/>
    <w:rsid w:val="0029383A"/>
    <w:rsid w:val="0029432B"/>
    <w:rsid w:val="0029469B"/>
    <w:rsid w:val="0029469F"/>
    <w:rsid w:val="002948D2"/>
    <w:rsid w:val="00295AF2"/>
    <w:rsid w:val="00295C91"/>
    <w:rsid w:val="0029622B"/>
    <w:rsid w:val="00296700"/>
    <w:rsid w:val="00296A06"/>
    <w:rsid w:val="00297151"/>
    <w:rsid w:val="0029727B"/>
    <w:rsid w:val="00297465"/>
    <w:rsid w:val="00297E33"/>
    <w:rsid w:val="002A0165"/>
    <w:rsid w:val="002A03CB"/>
    <w:rsid w:val="002A06F1"/>
    <w:rsid w:val="002A08C5"/>
    <w:rsid w:val="002A0910"/>
    <w:rsid w:val="002A0D57"/>
    <w:rsid w:val="002A1084"/>
    <w:rsid w:val="002A19E1"/>
    <w:rsid w:val="002A1C27"/>
    <w:rsid w:val="002A253A"/>
    <w:rsid w:val="002A28D2"/>
    <w:rsid w:val="002A2B3F"/>
    <w:rsid w:val="002A355B"/>
    <w:rsid w:val="002A42D7"/>
    <w:rsid w:val="002A4A95"/>
    <w:rsid w:val="002A4A9B"/>
    <w:rsid w:val="002A4CA1"/>
    <w:rsid w:val="002A5507"/>
    <w:rsid w:val="002A61BB"/>
    <w:rsid w:val="002A6214"/>
    <w:rsid w:val="002A6742"/>
    <w:rsid w:val="002A67AB"/>
    <w:rsid w:val="002A6A53"/>
    <w:rsid w:val="002A737B"/>
    <w:rsid w:val="002A7505"/>
    <w:rsid w:val="002B0515"/>
    <w:rsid w:val="002B0ADE"/>
    <w:rsid w:val="002B0BE6"/>
    <w:rsid w:val="002B1D8B"/>
    <w:rsid w:val="002B20E6"/>
    <w:rsid w:val="002B2175"/>
    <w:rsid w:val="002B3415"/>
    <w:rsid w:val="002B363D"/>
    <w:rsid w:val="002B3E78"/>
    <w:rsid w:val="002B40D9"/>
    <w:rsid w:val="002B42A3"/>
    <w:rsid w:val="002B525E"/>
    <w:rsid w:val="002B58A9"/>
    <w:rsid w:val="002B58FE"/>
    <w:rsid w:val="002B5BBC"/>
    <w:rsid w:val="002B5C39"/>
    <w:rsid w:val="002B5D4E"/>
    <w:rsid w:val="002B6727"/>
    <w:rsid w:val="002B6D41"/>
    <w:rsid w:val="002B73A8"/>
    <w:rsid w:val="002B762F"/>
    <w:rsid w:val="002B79B1"/>
    <w:rsid w:val="002B7E99"/>
    <w:rsid w:val="002C0161"/>
    <w:rsid w:val="002C0391"/>
    <w:rsid w:val="002C079B"/>
    <w:rsid w:val="002C0C74"/>
    <w:rsid w:val="002C0CDD"/>
    <w:rsid w:val="002C13D1"/>
    <w:rsid w:val="002C21CC"/>
    <w:rsid w:val="002C2207"/>
    <w:rsid w:val="002C2462"/>
    <w:rsid w:val="002C2BB0"/>
    <w:rsid w:val="002C33DA"/>
    <w:rsid w:val="002C3C72"/>
    <w:rsid w:val="002C3D54"/>
    <w:rsid w:val="002C5B37"/>
    <w:rsid w:val="002C7186"/>
    <w:rsid w:val="002C71AF"/>
    <w:rsid w:val="002C73A2"/>
    <w:rsid w:val="002D0D97"/>
    <w:rsid w:val="002D143A"/>
    <w:rsid w:val="002D146C"/>
    <w:rsid w:val="002D1985"/>
    <w:rsid w:val="002D1B31"/>
    <w:rsid w:val="002D1C54"/>
    <w:rsid w:val="002D1D52"/>
    <w:rsid w:val="002D23CC"/>
    <w:rsid w:val="002D2511"/>
    <w:rsid w:val="002D3C91"/>
    <w:rsid w:val="002D3EFE"/>
    <w:rsid w:val="002D41D4"/>
    <w:rsid w:val="002D4F11"/>
    <w:rsid w:val="002D510A"/>
    <w:rsid w:val="002D57CD"/>
    <w:rsid w:val="002D5BD5"/>
    <w:rsid w:val="002D6525"/>
    <w:rsid w:val="002D6759"/>
    <w:rsid w:val="002D68E9"/>
    <w:rsid w:val="002D6958"/>
    <w:rsid w:val="002D73FF"/>
    <w:rsid w:val="002D7446"/>
    <w:rsid w:val="002D78C0"/>
    <w:rsid w:val="002D79F2"/>
    <w:rsid w:val="002E00BF"/>
    <w:rsid w:val="002E0B4A"/>
    <w:rsid w:val="002E1759"/>
    <w:rsid w:val="002E17CD"/>
    <w:rsid w:val="002E1978"/>
    <w:rsid w:val="002E1A1D"/>
    <w:rsid w:val="002E1DD5"/>
    <w:rsid w:val="002E1EE2"/>
    <w:rsid w:val="002E1F3F"/>
    <w:rsid w:val="002E1F53"/>
    <w:rsid w:val="002E3237"/>
    <w:rsid w:val="002E334B"/>
    <w:rsid w:val="002E39D4"/>
    <w:rsid w:val="002E3B11"/>
    <w:rsid w:val="002E3F77"/>
    <w:rsid w:val="002E4081"/>
    <w:rsid w:val="002E4216"/>
    <w:rsid w:val="002E4231"/>
    <w:rsid w:val="002E4D47"/>
    <w:rsid w:val="002E4F9E"/>
    <w:rsid w:val="002E5527"/>
    <w:rsid w:val="002E5B78"/>
    <w:rsid w:val="002E5EE7"/>
    <w:rsid w:val="002E68A7"/>
    <w:rsid w:val="002E6FFA"/>
    <w:rsid w:val="002E7313"/>
    <w:rsid w:val="002E7C99"/>
    <w:rsid w:val="002E7D12"/>
    <w:rsid w:val="002E7FE4"/>
    <w:rsid w:val="002F0124"/>
    <w:rsid w:val="002F07DC"/>
    <w:rsid w:val="002F148B"/>
    <w:rsid w:val="002F250A"/>
    <w:rsid w:val="002F299F"/>
    <w:rsid w:val="002F2BC3"/>
    <w:rsid w:val="002F3AE3"/>
    <w:rsid w:val="002F403E"/>
    <w:rsid w:val="002F41AA"/>
    <w:rsid w:val="002F53AB"/>
    <w:rsid w:val="002F5929"/>
    <w:rsid w:val="002F5B16"/>
    <w:rsid w:val="002F666A"/>
    <w:rsid w:val="002F6E48"/>
    <w:rsid w:val="002F745A"/>
    <w:rsid w:val="002F7BA5"/>
    <w:rsid w:val="00300193"/>
    <w:rsid w:val="00300298"/>
    <w:rsid w:val="00300A6A"/>
    <w:rsid w:val="00300C19"/>
    <w:rsid w:val="00300C99"/>
    <w:rsid w:val="00301136"/>
    <w:rsid w:val="00301144"/>
    <w:rsid w:val="0030124F"/>
    <w:rsid w:val="00301730"/>
    <w:rsid w:val="003018E7"/>
    <w:rsid w:val="0030229C"/>
    <w:rsid w:val="00302547"/>
    <w:rsid w:val="00302A8F"/>
    <w:rsid w:val="00302E7B"/>
    <w:rsid w:val="00303159"/>
    <w:rsid w:val="0030349A"/>
    <w:rsid w:val="00303968"/>
    <w:rsid w:val="00303D0E"/>
    <w:rsid w:val="00303E23"/>
    <w:rsid w:val="003042EB"/>
    <w:rsid w:val="0030464B"/>
    <w:rsid w:val="003048AD"/>
    <w:rsid w:val="003057CD"/>
    <w:rsid w:val="003070F2"/>
    <w:rsid w:val="0030786C"/>
    <w:rsid w:val="00307A40"/>
    <w:rsid w:val="00307E0E"/>
    <w:rsid w:val="00307F1C"/>
    <w:rsid w:val="0031053D"/>
    <w:rsid w:val="00310E8C"/>
    <w:rsid w:val="00310EBF"/>
    <w:rsid w:val="0031137F"/>
    <w:rsid w:val="00311BE5"/>
    <w:rsid w:val="00311D54"/>
    <w:rsid w:val="00312704"/>
    <w:rsid w:val="00312749"/>
    <w:rsid w:val="00312DD4"/>
    <w:rsid w:val="00313171"/>
    <w:rsid w:val="00313C8F"/>
    <w:rsid w:val="00313D73"/>
    <w:rsid w:val="00313F71"/>
    <w:rsid w:val="00314B5D"/>
    <w:rsid w:val="00314CB0"/>
    <w:rsid w:val="00314EB5"/>
    <w:rsid w:val="003160A3"/>
    <w:rsid w:val="00316761"/>
    <w:rsid w:val="00317707"/>
    <w:rsid w:val="003211A9"/>
    <w:rsid w:val="00321818"/>
    <w:rsid w:val="00321966"/>
    <w:rsid w:val="00321ACB"/>
    <w:rsid w:val="00321E2C"/>
    <w:rsid w:val="00322243"/>
    <w:rsid w:val="00322B43"/>
    <w:rsid w:val="003233B1"/>
    <w:rsid w:val="003233DE"/>
    <w:rsid w:val="003237C9"/>
    <w:rsid w:val="0032466B"/>
    <w:rsid w:val="003247FD"/>
    <w:rsid w:val="00325458"/>
    <w:rsid w:val="00325763"/>
    <w:rsid w:val="00326017"/>
    <w:rsid w:val="00326DF4"/>
    <w:rsid w:val="00327497"/>
    <w:rsid w:val="00327B44"/>
    <w:rsid w:val="00327C95"/>
    <w:rsid w:val="003308EF"/>
    <w:rsid w:val="0033168C"/>
    <w:rsid w:val="003316B5"/>
    <w:rsid w:val="00331752"/>
    <w:rsid w:val="00331815"/>
    <w:rsid w:val="003330EB"/>
    <w:rsid w:val="003339CE"/>
    <w:rsid w:val="003341EA"/>
    <w:rsid w:val="003344A2"/>
    <w:rsid w:val="003346AF"/>
    <w:rsid w:val="00334CAF"/>
    <w:rsid w:val="00335372"/>
    <w:rsid w:val="00335676"/>
    <w:rsid w:val="003356E4"/>
    <w:rsid w:val="00335D0A"/>
    <w:rsid w:val="0033607E"/>
    <w:rsid w:val="0033626A"/>
    <w:rsid w:val="00336605"/>
    <w:rsid w:val="0033741F"/>
    <w:rsid w:val="00340E12"/>
    <w:rsid w:val="003415FD"/>
    <w:rsid w:val="00341A1B"/>
    <w:rsid w:val="00341F62"/>
    <w:rsid w:val="003421DF"/>
    <w:rsid w:val="003424C0"/>
    <w:rsid w:val="003428FB"/>
    <w:rsid w:val="0034292B"/>
    <w:rsid w:val="003429F0"/>
    <w:rsid w:val="00342A8A"/>
    <w:rsid w:val="00342DF6"/>
    <w:rsid w:val="00342F23"/>
    <w:rsid w:val="003432E6"/>
    <w:rsid w:val="00343661"/>
    <w:rsid w:val="0034368F"/>
    <w:rsid w:val="00343A0D"/>
    <w:rsid w:val="0034417D"/>
    <w:rsid w:val="0034548E"/>
    <w:rsid w:val="00345939"/>
    <w:rsid w:val="0034631A"/>
    <w:rsid w:val="00346C4E"/>
    <w:rsid w:val="00347292"/>
    <w:rsid w:val="0034762C"/>
    <w:rsid w:val="003504C8"/>
    <w:rsid w:val="003505DF"/>
    <w:rsid w:val="0035097A"/>
    <w:rsid w:val="00350F7D"/>
    <w:rsid w:val="00351165"/>
    <w:rsid w:val="003514FD"/>
    <w:rsid w:val="00351D58"/>
    <w:rsid w:val="00351FBA"/>
    <w:rsid w:val="00351FF6"/>
    <w:rsid w:val="00352374"/>
    <w:rsid w:val="0035247E"/>
    <w:rsid w:val="003525F9"/>
    <w:rsid w:val="00352AC6"/>
    <w:rsid w:val="00352EF9"/>
    <w:rsid w:val="003539D1"/>
    <w:rsid w:val="003540A4"/>
    <w:rsid w:val="0035460B"/>
    <w:rsid w:val="00355655"/>
    <w:rsid w:val="0035630F"/>
    <w:rsid w:val="00356797"/>
    <w:rsid w:val="00356964"/>
    <w:rsid w:val="003571A6"/>
    <w:rsid w:val="00357938"/>
    <w:rsid w:val="0035793D"/>
    <w:rsid w:val="00357FE3"/>
    <w:rsid w:val="003603B5"/>
    <w:rsid w:val="00360750"/>
    <w:rsid w:val="00360E4E"/>
    <w:rsid w:val="0036106B"/>
    <w:rsid w:val="0036178A"/>
    <w:rsid w:val="003625CB"/>
    <w:rsid w:val="00362AEC"/>
    <w:rsid w:val="00362FFA"/>
    <w:rsid w:val="003631FA"/>
    <w:rsid w:val="00363C09"/>
    <w:rsid w:val="003641F5"/>
    <w:rsid w:val="00364293"/>
    <w:rsid w:val="003646D4"/>
    <w:rsid w:val="00364758"/>
    <w:rsid w:val="00364848"/>
    <w:rsid w:val="00364893"/>
    <w:rsid w:val="00365343"/>
    <w:rsid w:val="003654FD"/>
    <w:rsid w:val="003665D5"/>
    <w:rsid w:val="00367109"/>
    <w:rsid w:val="0037021C"/>
    <w:rsid w:val="00370AAA"/>
    <w:rsid w:val="00370B04"/>
    <w:rsid w:val="00371684"/>
    <w:rsid w:val="00371DBF"/>
    <w:rsid w:val="00371E2D"/>
    <w:rsid w:val="00373B76"/>
    <w:rsid w:val="00374A56"/>
    <w:rsid w:val="003751AE"/>
    <w:rsid w:val="003752A1"/>
    <w:rsid w:val="003755AC"/>
    <w:rsid w:val="00375BE2"/>
    <w:rsid w:val="00375CC9"/>
    <w:rsid w:val="00375D9D"/>
    <w:rsid w:val="00375F77"/>
    <w:rsid w:val="003761E1"/>
    <w:rsid w:val="0037733D"/>
    <w:rsid w:val="0037764F"/>
    <w:rsid w:val="0037790D"/>
    <w:rsid w:val="00377A78"/>
    <w:rsid w:val="00380665"/>
    <w:rsid w:val="00381166"/>
    <w:rsid w:val="003813C4"/>
    <w:rsid w:val="003819A6"/>
    <w:rsid w:val="00381BBE"/>
    <w:rsid w:val="00381EA0"/>
    <w:rsid w:val="00382098"/>
    <w:rsid w:val="00382903"/>
    <w:rsid w:val="0038300D"/>
    <w:rsid w:val="0038340D"/>
    <w:rsid w:val="00384400"/>
    <w:rsid w:val="003846FF"/>
    <w:rsid w:val="003847F5"/>
    <w:rsid w:val="00384A07"/>
    <w:rsid w:val="00384DAE"/>
    <w:rsid w:val="0038547E"/>
    <w:rsid w:val="00385684"/>
    <w:rsid w:val="00385AD4"/>
    <w:rsid w:val="0038602C"/>
    <w:rsid w:val="00386805"/>
    <w:rsid w:val="003870B6"/>
    <w:rsid w:val="0038781D"/>
    <w:rsid w:val="003878A4"/>
    <w:rsid w:val="00387924"/>
    <w:rsid w:val="003879EB"/>
    <w:rsid w:val="00387A12"/>
    <w:rsid w:val="00387BCD"/>
    <w:rsid w:val="00387F94"/>
    <w:rsid w:val="0039006C"/>
    <w:rsid w:val="0039010A"/>
    <w:rsid w:val="003905E0"/>
    <w:rsid w:val="00392EF3"/>
    <w:rsid w:val="00392FC2"/>
    <w:rsid w:val="00393578"/>
    <w:rsid w:val="0039384D"/>
    <w:rsid w:val="003938E2"/>
    <w:rsid w:val="00393D3F"/>
    <w:rsid w:val="00393D88"/>
    <w:rsid w:val="00394074"/>
    <w:rsid w:val="003942AF"/>
    <w:rsid w:val="003942FD"/>
    <w:rsid w:val="00394E48"/>
    <w:rsid w:val="0039534C"/>
    <w:rsid w:val="003959C0"/>
    <w:rsid w:val="00395C23"/>
    <w:rsid w:val="00395C40"/>
    <w:rsid w:val="003962FD"/>
    <w:rsid w:val="00396791"/>
    <w:rsid w:val="00396D27"/>
    <w:rsid w:val="003971E3"/>
    <w:rsid w:val="0039735D"/>
    <w:rsid w:val="00397638"/>
    <w:rsid w:val="003978F8"/>
    <w:rsid w:val="003A0395"/>
    <w:rsid w:val="003A0BFF"/>
    <w:rsid w:val="003A126C"/>
    <w:rsid w:val="003A178B"/>
    <w:rsid w:val="003A1CBA"/>
    <w:rsid w:val="003A2236"/>
    <w:rsid w:val="003A224B"/>
    <w:rsid w:val="003A2E4F"/>
    <w:rsid w:val="003A3263"/>
    <w:rsid w:val="003A361D"/>
    <w:rsid w:val="003A3B54"/>
    <w:rsid w:val="003A3C3C"/>
    <w:rsid w:val="003A3F3B"/>
    <w:rsid w:val="003A4117"/>
    <w:rsid w:val="003A4438"/>
    <w:rsid w:val="003A4C46"/>
    <w:rsid w:val="003A5013"/>
    <w:rsid w:val="003A5078"/>
    <w:rsid w:val="003A50BC"/>
    <w:rsid w:val="003A5AED"/>
    <w:rsid w:val="003A62AE"/>
    <w:rsid w:val="003A62DD"/>
    <w:rsid w:val="003A679B"/>
    <w:rsid w:val="003A67B7"/>
    <w:rsid w:val="003A775A"/>
    <w:rsid w:val="003A7FE3"/>
    <w:rsid w:val="003B063C"/>
    <w:rsid w:val="003B09DD"/>
    <w:rsid w:val="003B0BD9"/>
    <w:rsid w:val="003B0DAB"/>
    <w:rsid w:val="003B0E8F"/>
    <w:rsid w:val="003B10A7"/>
    <w:rsid w:val="003B1273"/>
    <w:rsid w:val="003B1356"/>
    <w:rsid w:val="003B1452"/>
    <w:rsid w:val="003B1543"/>
    <w:rsid w:val="003B16EB"/>
    <w:rsid w:val="003B213A"/>
    <w:rsid w:val="003B2A39"/>
    <w:rsid w:val="003B2A75"/>
    <w:rsid w:val="003B2F27"/>
    <w:rsid w:val="003B3050"/>
    <w:rsid w:val="003B36C7"/>
    <w:rsid w:val="003B3A5A"/>
    <w:rsid w:val="003B3EB5"/>
    <w:rsid w:val="003B43AD"/>
    <w:rsid w:val="003B47B2"/>
    <w:rsid w:val="003B4BA4"/>
    <w:rsid w:val="003B4C5D"/>
    <w:rsid w:val="003B4CD4"/>
    <w:rsid w:val="003B54D8"/>
    <w:rsid w:val="003B59B3"/>
    <w:rsid w:val="003B5A84"/>
    <w:rsid w:val="003B5B01"/>
    <w:rsid w:val="003B5EA5"/>
    <w:rsid w:val="003B66AB"/>
    <w:rsid w:val="003B67C1"/>
    <w:rsid w:val="003B6FB7"/>
    <w:rsid w:val="003B7365"/>
    <w:rsid w:val="003B7502"/>
    <w:rsid w:val="003B75EC"/>
    <w:rsid w:val="003C0477"/>
    <w:rsid w:val="003C0FEC"/>
    <w:rsid w:val="003C136F"/>
    <w:rsid w:val="003C15B8"/>
    <w:rsid w:val="003C1654"/>
    <w:rsid w:val="003C19A5"/>
    <w:rsid w:val="003C25A5"/>
    <w:rsid w:val="003C2AC8"/>
    <w:rsid w:val="003C4042"/>
    <w:rsid w:val="003C405B"/>
    <w:rsid w:val="003C413F"/>
    <w:rsid w:val="003C455A"/>
    <w:rsid w:val="003C46A6"/>
    <w:rsid w:val="003C4710"/>
    <w:rsid w:val="003C4DA1"/>
    <w:rsid w:val="003C6061"/>
    <w:rsid w:val="003C6D8C"/>
    <w:rsid w:val="003C709A"/>
    <w:rsid w:val="003D086F"/>
    <w:rsid w:val="003D08D2"/>
    <w:rsid w:val="003D17F9"/>
    <w:rsid w:val="003D1A89"/>
    <w:rsid w:val="003D2D88"/>
    <w:rsid w:val="003D2DED"/>
    <w:rsid w:val="003D2FEF"/>
    <w:rsid w:val="003D3585"/>
    <w:rsid w:val="003D3AAF"/>
    <w:rsid w:val="003D3F35"/>
    <w:rsid w:val="003D3F45"/>
    <w:rsid w:val="003D41EA"/>
    <w:rsid w:val="003D4850"/>
    <w:rsid w:val="003D4C58"/>
    <w:rsid w:val="003D535A"/>
    <w:rsid w:val="003D65B6"/>
    <w:rsid w:val="003D65EB"/>
    <w:rsid w:val="003D6AE6"/>
    <w:rsid w:val="003D7067"/>
    <w:rsid w:val="003D7345"/>
    <w:rsid w:val="003D7619"/>
    <w:rsid w:val="003E0DBD"/>
    <w:rsid w:val="003E19D8"/>
    <w:rsid w:val="003E2200"/>
    <w:rsid w:val="003E234E"/>
    <w:rsid w:val="003E235C"/>
    <w:rsid w:val="003E30E0"/>
    <w:rsid w:val="003E3132"/>
    <w:rsid w:val="003E3C07"/>
    <w:rsid w:val="003E48D9"/>
    <w:rsid w:val="003E4BB2"/>
    <w:rsid w:val="003E4F26"/>
    <w:rsid w:val="003E4FA3"/>
    <w:rsid w:val="003E5265"/>
    <w:rsid w:val="003E53CA"/>
    <w:rsid w:val="003E54BC"/>
    <w:rsid w:val="003E56DD"/>
    <w:rsid w:val="003E572A"/>
    <w:rsid w:val="003E57CA"/>
    <w:rsid w:val="003E5841"/>
    <w:rsid w:val="003E5B6C"/>
    <w:rsid w:val="003E5D25"/>
    <w:rsid w:val="003E65BD"/>
    <w:rsid w:val="003E69ED"/>
    <w:rsid w:val="003E6B9E"/>
    <w:rsid w:val="003E721F"/>
    <w:rsid w:val="003E7336"/>
    <w:rsid w:val="003E75BC"/>
    <w:rsid w:val="003E7FBE"/>
    <w:rsid w:val="003F0955"/>
    <w:rsid w:val="003F1367"/>
    <w:rsid w:val="003F1C81"/>
    <w:rsid w:val="003F25C1"/>
    <w:rsid w:val="003F2646"/>
    <w:rsid w:val="003F2877"/>
    <w:rsid w:val="003F3350"/>
    <w:rsid w:val="003F3380"/>
    <w:rsid w:val="003F3E10"/>
    <w:rsid w:val="003F4114"/>
    <w:rsid w:val="003F43F7"/>
    <w:rsid w:val="003F4918"/>
    <w:rsid w:val="003F4A16"/>
    <w:rsid w:val="003F50B3"/>
    <w:rsid w:val="003F5E19"/>
    <w:rsid w:val="003F609B"/>
    <w:rsid w:val="003F6159"/>
    <w:rsid w:val="003F6718"/>
    <w:rsid w:val="003F695F"/>
    <w:rsid w:val="003F6D1B"/>
    <w:rsid w:val="003F6FE1"/>
    <w:rsid w:val="003F7B86"/>
    <w:rsid w:val="003F7E61"/>
    <w:rsid w:val="004001BB"/>
    <w:rsid w:val="00400545"/>
    <w:rsid w:val="00400CA6"/>
    <w:rsid w:val="00400E92"/>
    <w:rsid w:val="00400F00"/>
    <w:rsid w:val="004013B7"/>
    <w:rsid w:val="00402479"/>
    <w:rsid w:val="00402744"/>
    <w:rsid w:val="00402A08"/>
    <w:rsid w:val="00402AC1"/>
    <w:rsid w:val="00403112"/>
    <w:rsid w:val="004037BB"/>
    <w:rsid w:val="00403D44"/>
    <w:rsid w:val="004040E5"/>
    <w:rsid w:val="00404642"/>
    <w:rsid w:val="004048EE"/>
    <w:rsid w:val="00404F8B"/>
    <w:rsid w:val="00405142"/>
    <w:rsid w:val="00405256"/>
    <w:rsid w:val="00405312"/>
    <w:rsid w:val="004056EB"/>
    <w:rsid w:val="00406D39"/>
    <w:rsid w:val="00406F1F"/>
    <w:rsid w:val="00410031"/>
    <w:rsid w:val="00410813"/>
    <w:rsid w:val="00410FB1"/>
    <w:rsid w:val="00411185"/>
    <w:rsid w:val="004115A2"/>
    <w:rsid w:val="0041243D"/>
    <w:rsid w:val="00412C3C"/>
    <w:rsid w:val="00414632"/>
    <w:rsid w:val="004147C8"/>
    <w:rsid w:val="00414AB5"/>
    <w:rsid w:val="00414B1A"/>
    <w:rsid w:val="00414B23"/>
    <w:rsid w:val="00414C13"/>
    <w:rsid w:val="004151FF"/>
    <w:rsid w:val="004154B9"/>
    <w:rsid w:val="00415747"/>
    <w:rsid w:val="00415C81"/>
    <w:rsid w:val="0041663B"/>
    <w:rsid w:val="00416731"/>
    <w:rsid w:val="00416732"/>
    <w:rsid w:val="00416A90"/>
    <w:rsid w:val="00416B5E"/>
    <w:rsid w:val="00416BA3"/>
    <w:rsid w:val="00416C32"/>
    <w:rsid w:val="00416E6E"/>
    <w:rsid w:val="004177BC"/>
    <w:rsid w:val="00420097"/>
    <w:rsid w:val="00420768"/>
    <w:rsid w:val="00420818"/>
    <w:rsid w:val="00420E0C"/>
    <w:rsid w:val="00421487"/>
    <w:rsid w:val="004215B0"/>
    <w:rsid w:val="0042224A"/>
    <w:rsid w:val="004222CB"/>
    <w:rsid w:val="00422712"/>
    <w:rsid w:val="00422A38"/>
    <w:rsid w:val="00423073"/>
    <w:rsid w:val="00423454"/>
    <w:rsid w:val="004237BD"/>
    <w:rsid w:val="00423C3C"/>
    <w:rsid w:val="00423DED"/>
    <w:rsid w:val="00425062"/>
    <w:rsid w:val="00425144"/>
    <w:rsid w:val="00425F32"/>
    <w:rsid w:val="00425FF0"/>
    <w:rsid w:val="004267C1"/>
    <w:rsid w:val="00426821"/>
    <w:rsid w:val="00426C89"/>
    <w:rsid w:val="00426CA9"/>
    <w:rsid w:val="0042760D"/>
    <w:rsid w:val="004277EC"/>
    <w:rsid w:val="00427FDF"/>
    <w:rsid w:val="0043038B"/>
    <w:rsid w:val="00430C22"/>
    <w:rsid w:val="004319D3"/>
    <w:rsid w:val="00431B4F"/>
    <w:rsid w:val="00432190"/>
    <w:rsid w:val="00432378"/>
    <w:rsid w:val="00432602"/>
    <w:rsid w:val="00432AAE"/>
    <w:rsid w:val="00433215"/>
    <w:rsid w:val="004332FE"/>
    <w:rsid w:val="00433FE3"/>
    <w:rsid w:val="004347A5"/>
    <w:rsid w:val="0043498C"/>
    <w:rsid w:val="00434A80"/>
    <w:rsid w:val="00434BC8"/>
    <w:rsid w:val="00435056"/>
    <w:rsid w:val="00435988"/>
    <w:rsid w:val="00435B77"/>
    <w:rsid w:val="00435E90"/>
    <w:rsid w:val="00436289"/>
    <w:rsid w:val="004373AE"/>
    <w:rsid w:val="00437F90"/>
    <w:rsid w:val="00437FDB"/>
    <w:rsid w:val="0044014C"/>
    <w:rsid w:val="00440AB5"/>
    <w:rsid w:val="00440D65"/>
    <w:rsid w:val="00441508"/>
    <w:rsid w:val="00441D2E"/>
    <w:rsid w:val="00441D71"/>
    <w:rsid w:val="0044320A"/>
    <w:rsid w:val="004435E6"/>
    <w:rsid w:val="00444501"/>
    <w:rsid w:val="00445419"/>
    <w:rsid w:val="00445859"/>
    <w:rsid w:val="00445BBB"/>
    <w:rsid w:val="00445BF4"/>
    <w:rsid w:val="00446272"/>
    <w:rsid w:val="00446899"/>
    <w:rsid w:val="004471A8"/>
    <w:rsid w:val="0044720D"/>
    <w:rsid w:val="004477D8"/>
    <w:rsid w:val="00447869"/>
    <w:rsid w:val="00447BE6"/>
    <w:rsid w:val="00447E31"/>
    <w:rsid w:val="004500F2"/>
    <w:rsid w:val="004503B0"/>
    <w:rsid w:val="00450B89"/>
    <w:rsid w:val="00451023"/>
    <w:rsid w:val="004511A0"/>
    <w:rsid w:val="004518DA"/>
    <w:rsid w:val="00451CFF"/>
    <w:rsid w:val="004524E3"/>
    <w:rsid w:val="0045279B"/>
    <w:rsid w:val="00452FAD"/>
    <w:rsid w:val="00453923"/>
    <w:rsid w:val="00454B9B"/>
    <w:rsid w:val="00455013"/>
    <w:rsid w:val="004550DC"/>
    <w:rsid w:val="0045585C"/>
    <w:rsid w:val="00456A01"/>
    <w:rsid w:val="00456B12"/>
    <w:rsid w:val="00456C40"/>
    <w:rsid w:val="00456C91"/>
    <w:rsid w:val="00456D6B"/>
    <w:rsid w:val="00457381"/>
    <w:rsid w:val="0045746F"/>
    <w:rsid w:val="00457747"/>
    <w:rsid w:val="00457858"/>
    <w:rsid w:val="0046020F"/>
    <w:rsid w:val="004606EA"/>
    <w:rsid w:val="00460B0B"/>
    <w:rsid w:val="00461023"/>
    <w:rsid w:val="004614B2"/>
    <w:rsid w:val="004614F6"/>
    <w:rsid w:val="00461759"/>
    <w:rsid w:val="00461AF5"/>
    <w:rsid w:val="00462FAC"/>
    <w:rsid w:val="00463497"/>
    <w:rsid w:val="00463646"/>
    <w:rsid w:val="00463E63"/>
    <w:rsid w:val="00464631"/>
    <w:rsid w:val="00464B79"/>
    <w:rsid w:val="00464CB1"/>
    <w:rsid w:val="00465006"/>
    <w:rsid w:val="00465249"/>
    <w:rsid w:val="0046549A"/>
    <w:rsid w:val="0046555D"/>
    <w:rsid w:val="00465CD0"/>
    <w:rsid w:val="00465F8F"/>
    <w:rsid w:val="004669ED"/>
    <w:rsid w:val="00466FAC"/>
    <w:rsid w:val="00467BBF"/>
    <w:rsid w:val="00467F69"/>
    <w:rsid w:val="00470624"/>
    <w:rsid w:val="00470754"/>
    <w:rsid w:val="00470C7F"/>
    <w:rsid w:val="00470EBC"/>
    <w:rsid w:val="0047124A"/>
    <w:rsid w:val="0047187B"/>
    <w:rsid w:val="00471B35"/>
    <w:rsid w:val="00471B43"/>
    <w:rsid w:val="00472362"/>
    <w:rsid w:val="00472FC9"/>
    <w:rsid w:val="00473FCC"/>
    <w:rsid w:val="00474D4B"/>
    <w:rsid w:val="00475F53"/>
    <w:rsid w:val="004764D2"/>
    <w:rsid w:val="0047652F"/>
    <w:rsid w:val="00477120"/>
    <w:rsid w:val="00477F86"/>
    <w:rsid w:val="00480907"/>
    <w:rsid w:val="0048223B"/>
    <w:rsid w:val="00482A0A"/>
    <w:rsid w:val="00482AAD"/>
    <w:rsid w:val="00482D52"/>
    <w:rsid w:val="00482D7F"/>
    <w:rsid w:val="0048395F"/>
    <w:rsid w:val="0048489A"/>
    <w:rsid w:val="00485ADB"/>
    <w:rsid w:val="00485B1C"/>
    <w:rsid w:val="004867E2"/>
    <w:rsid w:val="0048761D"/>
    <w:rsid w:val="00487680"/>
    <w:rsid w:val="0049052F"/>
    <w:rsid w:val="00490B67"/>
    <w:rsid w:val="00491126"/>
    <w:rsid w:val="00491A59"/>
    <w:rsid w:val="00491E83"/>
    <w:rsid w:val="004929A9"/>
    <w:rsid w:val="004934B2"/>
    <w:rsid w:val="004938FE"/>
    <w:rsid w:val="004955C1"/>
    <w:rsid w:val="00495EF7"/>
    <w:rsid w:val="0049671A"/>
    <w:rsid w:val="00496879"/>
    <w:rsid w:val="004971FD"/>
    <w:rsid w:val="0049723B"/>
    <w:rsid w:val="0049738E"/>
    <w:rsid w:val="004977F1"/>
    <w:rsid w:val="0049787A"/>
    <w:rsid w:val="00497A7E"/>
    <w:rsid w:val="00497B53"/>
    <w:rsid w:val="00497BA1"/>
    <w:rsid w:val="004A05FD"/>
    <w:rsid w:val="004A17CD"/>
    <w:rsid w:val="004A2135"/>
    <w:rsid w:val="004A23C7"/>
    <w:rsid w:val="004A2CC5"/>
    <w:rsid w:val="004A2F53"/>
    <w:rsid w:val="004A3053"/>
    <w:rsid w:val="004A3654"/>
    <w:rsid w:val="004A3BDF"/>
    <w:rsid w:val="004A44DF"/>
    <w:rsid w:val="004A5849"/>
    <w:rsid w:val="004A597A"/>
    <w:rsid w:val="004A59BF"/>
    <w:rsid w:val="004A5A05"/>
    <w:rsid w:val="004A5A2E"/>
    <w:rsid w:val="004A6127"/>
    <w:rsid w:val="004A6ABF"/>
    <w:rsid w:val="004A6CE8"/>
    <w:rsid w:val="004A6DF9"/>
    <w:rsid w:val="004A6E3B"/>
    <w:rsid w:val="004A7790"/>
    <w:rsid w:val="004B0273"/>
    <w:rsid w:val="004B03E0"/>
    <w:rsid w:val="004B17F9"/>
    <w:rsid w:val="004B1B4B"/>
    <w:rsid w:val="004B2B99"/>
    <w:rsid w:val="004B2E23"/>
    <w:rsid w:val="004B38C6"/>
    <w:rsid w:val="004B3913"/>
    <w:rsid w:val="004B3C55"/>
    <w:rsid w:val="004B3E5B"/>
    <w:rsid w:val="004B45FD"/>
    <w:rsid w:val="004B4EDD"/>
    <w:rsid w:val="004B500B"/>
    <w:rsid w:val="004B5471"/>
    <w:rsid w:val="004B589A"/>
    <w:rsid w:val="004B5E00"/>
    <w:rsid w:val="004B62E3"/>
    <w:rsid w:val="004B709D"/>
    <w:rsid w:val="004B7136"/>
    <w:rsid w:val="004B7237"/>
    <w:rsid w:val="004B75D7"/>
    <w:rsid w:val="004B7E75"/>
    <w:rsid w:val="004C00AF"/>
    <w:rsid w:val="004C0691"/>
    <w:rsid w:val="004C07F5"/>
    <w:rsid w:val="004C08AD"/>
    <w:rsid w:val="004C15FB"/>
    <w:rsid w:val="004C179D"/>
    <w:rsid w:val="004C184D"/>
    <w:rsid w:val="004C28D3"/>
    <w:rsid w:val="004C2FEC"/>
    <w:rsid w:val="004C312B"/>
    <w:rsid w:val="004C32E9"/>
    <w:rsid w:val="004C359E"/>
    <w:rsid w:val="004C4103"/>
    <w:rsid w:val="004C48B3"/>
    <w:rsid w:val="004C4E48"/>
    <w:rsid w:val="004C4F4A"/>
    <w:rsid w:val="004C53F5"/>
    <w:rsid w:val="004C5C0C"/>
    <w:rsid w:val="004C6BCF"/>
    <w:rsid w:val="004C6C8E"/>
    <w:rsid w:val="004C7146"/>
    <w:rsid w:val="004C7B5C"/>
    <w:rsid w:val="004C7ED0"/>
    <w:rsid w:val="004D028A"/>
    <w:rsid w:val="004D04D3"/>
    <w:rsid w:val="004D0787"/>
    <w:rsid w:val="004D0E7A"/>
    <w:rsid w:val="004D11E9"/>
    <w:rsid w:val="004D12B4"/>
    <w:rsid w:val="004D192A"/>
    <w:rsid w:val="004D22AB"/>
    <w:rsid w:val="004D2DB9"/>
    <w:rsid w:val="004D3A73"/>
    <w:rsid w:val="004D4E8A"/>
    <w:rsid w:val="004D5674"/>
    <w:rsid w:val="004D570B"/>
    <w:rsid w:val="004D58BF"/>
    <w:rsid w:val="004D60ED"/>
    <w:rsid w:val="004D68C1"/>
    <w:rsid w:val="004D69D0"/>
    <w:rsid w:val="004D6BE9"/>
    <w:rsid w:val="004D740B"/>
    <w:rsid w:val="004E01D5"/>
    <w:rsid w:val="004E0231"/>
    <w:rsid w:val="004E163A"/>
    <w:rsid w:val="004E17C5"/>
    <w:rsid w:val="004E2459"/>
    <w:rsid w:val="004E2790"/>
    <w:rsid w:val="004E2921"/>
    <w:rsid w:val="004E2A50"/>
    <w:rsid w:val="004E2FAB"/>
    <w:rsid w:val="004E2FC6"/>
    <w:rsid w:val="004E2FEF"/>
    <w:rsid w:val="004E30BF"/>
    <w:rsid w:val="004E3893"/>
    <w:rsid w:val="004E4335"/>
    <w:rsid w:val="004E43D4"/>
    <w:rsid w:val="004E454E"/>
    <w:rsid w:val="004E4911"/>
    <w:rsid w:val="004E494C"/>
    <w:rsid w:val="004E4D77"/>
    <w:rsid w:val="004E4E33"/>
    <w:rsid w:val="004E5ACF"/>
    <w:rsid w:val="004E6011"/>
    <w:rsid w:val="004E62D0"/>
    <w:rsid w:val="004E62E4"/>
    <w:rsid w:val="004E6D8C"/>
    <w:rsid w:val="004E736C"/>
    <w:rsid w:val="004E7B53"/>
    <w:rsid w:val="004E7FD8"/>
    <w:rsid w:val="004F0515"/>
    <w:rsid w:val="004F0721"/>
    <w:rsid w:val="004F075D"/>
    <w:rsid w:val="004F0CBE"/>
    <w:rsid w:val="004F1262"/>
    <w:rsid w:val="004F13EE"/>
    <w:rsid w:val="004F1581"/>
    <w:rsid w:val="004F1746"/>
    <w:rsid w:val="004F19E4"/>
    <w:rsid w:val="004F2022"/>
    <w:rsid w:val="004F30C0"/>
    <w:rsid w:val="004F3265"/>
    <w:rsid w:val="004F352E"/>
    <w:rsid w:val="004F389D"/>
    <w:rsid w:val="004F53A6"/>
    <w:rsid w:val="004F56E5"/>
    <w:rsid w:val="004F5D57"/>
    <w:rsid w:val="004F5DF6"/>
    <w:rsid w:val="004F5E95"/>
    <w:rsid w:val="004F6257"/>
    <w:rsid w:val="004F64B0"/>
    <w:rsid w:val="004F6F10"/>
    <w:rsid w:val="004F70CE"/>
    <w:rsid w:val="004F75AF"/>
    <w:rsid w:val="004F76D4"/>
    <w:rsid w:val="004F77B1"/>
    <w:rsid w:val="004F77BA"/>
    <w:rsid w:val="004F7BEC"/>
    <w:rsid w:val="004F7BEE"/>
    <w:rsid w:val="004F7C05"/>
    <w:rsid w:val="004F7F35"/>
    <w:rsid w:val="00500027"/>
    <w:rsid w:val="00500128"/>
    <w:rsid w:val="00500758"/>
    <w:rsid w:val="005008B7"/>
    <w:rsid w:val="00501C94"/>
    <w:rsid w:val="00501EFF"/>
    <w:rsid w:val="005023A3"/>
    <w:rsid w:val="00502586"/>
    <w:rsid w:val="00502BC0"/>
    <w:rsid w:val="00502F4F"/>
    <w:rsid w:val="00503066"/>
    <w:rsid w:val="00503185"/>
    <w:rsid w:val="00503C51"/>
    <w:rsid w:val="005047B7"/>
    <w:rsid w:val="005047DD"/>
    <w:rsid w:val="0050496A"/>
    <w:rsid w:val="005049E6"/>
    <w:rsid w:val="00504A0A"/>
    <w:rsid w:val="00504C0C"/>
    <w:rsid w:val="00504CD5"/>
    <w:rsid w:val="00504FA0"/>
    <w:rsid w:val="00505259"/>
    <w:rsid w:val="005058B5"/>
    <w:rsid w:val="00506432"/>
    <w:rsid w:val="00506455"/>
    <w:rsid w:val="00506D27"/>
    <w:rsid w:val="00510333"/>
    <w:rsid w:val="00510513"/>
    <w:rsid w:val="005108D9"/>
    <w:rsid w:val="00510C52"/>
    <w:rsid w:val="00510F6A"/>
    <w:rsid w:val="005118A1"/>
    <w:rsid w:val="005119BF"/>
    <w:rsid w:val="005121B6"/>
    <w:rsid w:val="005123BB"/>
    <w:rsid w:val="0051242B"/>
    <w:rsid w:val="00513C00"/>
    <w:rsid w:val="00513CB1"/>
    <w:rsid w:val="00513D86"/>
    <w:rsid w:val="00513D89"/>
    <w:rsid w:val="0051423C"/>
    <w:rsid w:val="005144FF"/>
    <w:rsid w:val="00514948"/>
    <w:rsid w:val="00514BC4"/>
    <w:rsid w:val="00514BF7"/>
    <w:rsid w:val="00514CBD"/>
    <w:rsid w:val="0051537D"/>
    <w:rsid w:val="0051553B"/>
    <w:rsid w:val="00515C79"/>
    <w:rsid w:val="00516125"/>
    <w:rsid w:val="00516B51"/>
    <w:rsid w:val="00516FAA"/>
    <w:rsid w:val="00517158"/>
    <w:rsid w:val="00517873"/>
    <w:rsid w:val="00517CA7"/>
    <w:rsid w:val="00517D64"/>
    <w:rsid w:val="0052051D"/>
    <w:rsid w:val="00520B3F"/>
    <w:rsid w:val="00520D8E"/>
    <w:rsid w:val="00520EED"/>
    <w:rsid w:val="00521086"/>
    <w:rsid w:val="00521A9E"/>
    <w:rsid w:val="00521B7D"/>
    <w:rsid w:val="005220A9"/>
    <w:rsid w:val="005228C8"/>
    <w:rsid w:val="00522E78"/>
    <w:rsid w:val="005235D8"/>
    <w:rsid w:val="00523FF7"/>
    <w:rsid w:val="00524569"/>
    <w:rsid w:val="005245B4"/>
    <w:rsid w:val="00524D47"/>
    <w:rsid w:val="00525705"/>
    <w:rsid w:val="005273B7"/>
    <w:rsid w:val="005274C5"/>
    <w:rsid w:val="00527A0B"/>
    <w:rsid w:val="0053038C"/>
    <w:rsid w:val="00530961"/>
    <w:rsid w:val="005311C6"/>
    <w:rsid w:val="00532406"/>
    <w:rsid w:val="00532F27"/>
    <w:rsid w:val="0053339F"/>
    <w:rsid w:val="00533C87"/>
    <w:rsid w:val="00534D0C"/>
    <w:rsid w:val="00535B54"/>
    <w:rsid w:val="00535F9A"/>
    <w:rsid w:val="00536172"/>
    <w:rsid w:val="005361E1"/>
    <w:rsid w:val="005364A2"/>
    <w:rsid w:val="00536806"/>
    <w:rsid w:val="005374A1"/>
    <w:rsid w:val="0053751E"/>
    <w:rsid w:val="00537B42"/>
    <w:rsid w:val="00537B89"/>
    <w:rsid w:val="00537CBF"/>
    <w:rsid w:val="00537F90"/>
    <w:rsid w:val="0054022F"/>
    <w:rsid w:val="00541629"/>
    <w:rsid w:val="00541633"/>
    <w:rsid w:val="00541A1C"/>
    <w:rsid w:val="00541AEF"/>
    <w:rsid w:val="005426CC"/>
    <w:rsid w:val="00542756"/>
    <w:rsid w:val="00542D80"/>
    <w:rsid w:val="0054303A"/>
    <w:rsid w:val="00543199"/>
    <w:rsid w:val="005439D4"/>
    <w:rsid w:val="00543BB3"/>
    <w:rsid w:val="00543D19"/>
    <w:rsid w:val="00544016"/>
    <w:rsid w:val="00544109"/>
    <w:rsid w:val="00544870"/>
    <w:rsid w:val="00544DAA"/>
    <w:rsid w:val="00545976"/>
    <w:rsid w:val="00545EE6"/>
    <w:rsid w:val="005462C7"/>
    <w:rsid w:val="00546AAB"/>
    <w:rsid w:val="00546DB9"/>
    <w:rsid w:val="005470DB"/>
    <w:rsid w:val="005476EA"/>
    <w:rsid w:val="005478FE"/>
    <w:rsid w:val="005507B8"/>
    <w:rsid w:val="005515E3"/>
    <w:rsid w:val="00552A31"/>
    <w:rsid w:val="0055367B"/>
    <w:rsid w:val="00553872"/>
    <w:rsid w:val="00554120"/>
    <w:rsid w:val="00554904"/>
    <w:rsid w:val="00554F84"/>
    <w:rsid w:val="00555026"/>
    <w:rsid w:val="005550E7"/>
    <w:rsid w:val="00555289"/>
    <w:rsid w:val="00555771"/>
    <w:rsid w:val="005557E0"/>
    <w:rsid w:val="005564FB"/>
    <w:rsid w:val="005569EE"/>
    <w:rsid w:val="00557008"/>
    <w:rsid w:val="005572C7"/>
    <w:rsid w:val="00557343"/>
    <w:rsid w:val="005574D7"/>
    <w:rsid w:val="00557F1F"/>
    <w:rsid w:val="00560057"/>
    <w:rsid w:val="00560339"/>
    <w:rsid w:val="005604FD"/>
    <w:rsid w:val="005606D0"/>
    <w:rsid w:val="00560FB4"/>
    <w:rsid w:val="00561158"/>
    <w:rsid w:val="00561B82"/>
    <w:rsid w:val="00561F4F"/>
    <w:rsid w:val="005623A7"/>
    <w:rsid w:val="0056246F"/>
    <w:rsid w:val="00562906"/>
    <w:rsid w:val="00562C08"/>
    <w:rsid w:val="00562E8A"/>
    <w:rsid w:val="00563144"/>
    <w:rsid w:val="00564540"/>
    <w:rsid w:val="005645A1"/>
    <w:rsid w:val="00564811"/>
    <w:rsid w:val="00564A42"/>
    <w:rsid w:val="005650ED"/>
    <w:rsid w:val="00566639"/>
    <w:rsid w:val="00566B86"/>
    <w:rsid w:val="00566E8C"/>
    <w:rsid w:val="0056724F"/>
    <w:rsid w:val="005700B9"/>
    <w:rsid w:val="0057103E"/>
    <w:rsid w:val="00571688"/>
    <w:rsid w:val="00571E27"/>
    <w:rsid w:val="0057235A"/>
    <w:rsid w:val="00572C9F"/>
    <w:rsid w:val="005735BD"/>
    <w:rsid w:val="00573C22"/>
    <w:rsid w:val="00574F16"/>
    <w:rsid w:val="00575754"/>
    <w:rsid w:val="00575EB6"/>
    <w:rsid w:val="00575F35"/>
    <w:rsid w:val="00575FEF"/>
    <w:rsid w:val="00576029"/>
    <w:rsid w:val="00576B79"/>
    <w:rsid w:val="00576BC4"/>
    <w:rsid w:val="00577082"/>
    <w:rsid w:val="0057724B"/>
    <w:rsid w:val="00577251"/>
    <w:rsid w:val="005777A3"/>
    <w:rsid w:val="00577F38"/>
    <w:rsid w:val="00580558"/>
    <w:rsid w:val="0058080C"/>
    <w:rsid w:val="005809DB"/>
    <w:rsid w:val="00580B0B"/>
    <w:rsid w:val="00580E2D"/>
    <w:rsid w:val="005812A1"/>
    <w:rsid w:val="00581C4D"/>
    <w:rsid w:val="0058242F"/>
    <w:rsid w:val="005827DE"/>
    <w:rsid w:val="0058286D"/>
    <w:rsid w:val="00582F9A"/>
    <w:rsid w:val="005830A3"/>
    <w:rsid w:val="005831FB"/>
    <w:rsid w:val="00583DF4"/>
    <w:rsid w:val="00583E9F"/>
    <w:rsid w:val="00584061"/>
    <w:rsid w:val="00585247"/>
    <w:rsid w:val="00586114"/>
    <w:rsid w:val="00586459"/>
    <w:rsid w:val="00586787"/>
    <w:rsid w:val="00586B5E"/>
    <w:rsid w:val="00586BCA"/>
    <w:rsid w:val="005878A9"/>
    <w:rsid w:val="0059056F"/>
    <w:rsid w:val="005909FA"/>
    <w:rsid w:val="00590E05"/>
    <w:rsid w:val="00591686"/>
    <w:rsid w:val="00591831"/>
    <w:rsid w:val="00591D10"/>
    <w:rsid w:val="00591D82"/>
    <w:rsid w:val="00591E20"/>
    <w:rsid w:val="00591F95"/>
    <w:rsid w:val="0059210F"/>
    <w:rsid w:val="00592795"/>
    <w:rsid w:val="00592C2C"/>
    <w:rsid w:val="00594992"/>
    <w:rsid w:val="00594C3E"/>
    <w:rsid w:val="00594F1C"/>
    <w:rsid w:val="0059516F"/>
    <w:rsid w:val="00595345"/>
    <w:rsid w:val="00595408"/>
    <w:rsid w:val="00595E84"/>
    <w:rsid w:val="005965E0"/>
    <w:rsid w:val="00596D5D"/>
    <w:rsid w:val="00597564"/>
    <w:rsid w:val="005975E5"/>
    <w:rsid w:val="00597806"/>
    <w:rsid w:val="00597B48"/>
    <w:rsid w:val="00597BB1"/>
    <w:rsid w:val="00597D79"/>
    <w:rsid w:val="00597ED2"/>
    <w:rsid w:val="005A0564"/>
    <w:rsid w:val="005A05AD"/>
    <w:rsid w:val="005A07F1"/>
    <w:rsid w:val="005A0888"/>
    <w:rsid w:val="005A0C59"/>
    <w:rsid w:val="005A1AA3"/>
    <w:rsid w:val="005A1AE7"/>
    <w:rsid w:val="005A1D3D"/>
    <w:rsid w:val="005A229D"/>
    <w:rsid w:val="005A2988"/>
    <w:rsid w:val="005A2BFE"/>
    <w:rsid w:val="005A2DBC"/>
    <w:rsid w:val="005A3019"/>
    <w:rsid w:val="005A35B9"/>
    <w:rsid w:val="005A465F"/>
    <w:rsid w:val="005A48EB"/>
    <w:rsid w:val="005A496A"/>
    <w:rsid w:val="005A50DF"/>
    <w:rsid w:val="005A558E"/>
    <w:rsid w:val="005A5E2B"/>
    <w:rsid w:val="005A60C9"/>
    <w:rsid w:val="005A64F1"/>
    <w:rsid w:val="005A6CFB"/>
    <w:rsid w:val="005A6E34"/>
    <w:rsid w:val="005A6ED4"/>
    <w:rsid w:val="005A6F6A"/>
    <w:rsid w:val="005A6F80"/>
    <w:rsid w:val="005A7599"/>
    <w:rsid w:val="005A78EF"/>
    <w:rsid w:val="005B0FE0"/>
    <w:rsid w:val="005B162A"/>
    <w:rsid w:val="005B163C"/>
    <w:rsid w:val="005B1ACE"/>
    <w:rsid w:val="005B1DBC"/>
    <w:rsid w:val="005B2669"/>
    <w:rsid w:val="005B2F8F"/>
    <w:rsid w:val="005B3662"/>
    <w:rsid w:val="005B4B5C"/>
    <w:rsid w:val="005B546B"/>
    <w:rsid w:val="005B5AC3"/>
    <w:rsid w:val="005B5C98"/>
    <w:rsid w:val="005B5D9B"/>
    <w:rsid w:val="005B5E5C"/>
    <w:rsid w:val="005B5ED2"/>
    <w:rsid w:val="005B6648"/>
    <w:rsid w:val="005B67A8"/>
    <w:rsid w:val="005B6BE7"/>
    <w:rsid w:val="005B7E9E"/>
    <w:rsid w:val="005C1415"/>
    <w:rsid w:val="005C1873"/>
    <w:rsid w:val="005C230B"/>
    <w:rsid w:val="005C3421"/>
    <w:rsid w:val="005C3431"/>
    <w:rsid w:val="005C34D6"/>
    <w:rsid w:val="005C3B15"/>
    <w:rsid w:val="005C46E2"/>
    <w:rsid w:val="005C4BC1"/>
    <w:rsid w:val="005C4EF6"/>
    <w:rsid w:val="005C5983"/>
    <w:rsid w:val="005C5AEB"/>
    <w:rsid w:val="005C5B52"/>
    <w:rsid w:val="005C5CDE"/>
    <w:rsid w:val="005C6517"/>
    <w:rsid w:val="005C6BF5"/>
    <w:rsid w:val="005C7163"/>
    <w:rsid w:val="005C7E16"/>
    <w:rsid w:val="005D0036"/>
    <w:rsid w:val="005D08BB"/>
    <w:rsid w:val="005D08E6"/>
    <w:rsid w:val="005D0CDF"/>
    <w:rsid w:val="005D1051"/>
    <w:rsid w:val="005D1530"/>
    <w:rsid w:val="005D1A71"/>
    <w:rsid w:val="005D3630"/>
    <w:rsid w:val="005D45A1"/>
    <w:rsid w:val="005D4719"/>
    <w:rsid w:val="005D48C7"/>
    <w:rsid w:val="005D4A3F"/>
    <w:rsid w:val="005D4BF2"/>
    <w:rsid w:val="005D54A5"/>
    <w:rsid w:val="005D54C8"/>
    <w:rsid w:val="005D59CD"/>
    <w:rsid w:val="005D5A61"/>
    <w:rsid w:val="005D78E0"/>
    <w:rsid w:val="005D7AB4"/>
    <w:rsid w:val="005E076A"/>
    <w:rsid w:val="005E08CA"/>
    <w:rsid w:val="005E0A3F"/>
    <w:rsid w:val="005E0CE4"/>
    <w:rsid w:val="005E0E40"/>
    <w:rsid w:val="005E1335"/>
    <w:rsid w:val="005E165C"/>
    <w:rsid w:val="005E169B"/>
    <w:rsid w:val="005E1CBA"/>
    <w:rsid w:val="005E1F02"/>
    <w:rsid w:val="005E1F80"/>
    <w:rsid w:val="005E2956"/>
    <w:rsid w:val="005E2D37"/>
    <w:rsid w:val="005E3378"/>
    <w:rsid w:val="005E3A7D"/>
    <w:rsid w:val="005E3FB7"/>
    <w:rsid w:val="005E4F34"/>
    <w:rsid w:val="005E53A1"/>
    <w:rsid w:val="005E54AE"/>
    <w:rsid w:val="005E57EE"/>
    <w:rsid w:val="005E686F"/>
    <w:rsid w:val="005E6883"/>
    <w:rsid w:val="005E6FCE"/>
    <w:rsid w:val="005E772F"/>
    <w:rsid w:val="005E7CEC"/>
    <w:rsid w:val="005F01A7"/>
    <w:rsid w:val="005F04AB"/>
    <w:rsid w:val="005F1F7C"/>
    <w:rsid w:val="005F206A"/>
    <w:rsid w:val="005F27BB"/>
    <w:rsid w:val="005F28C9"/>
    <w:rsid w:val="005F3313"/>
    <w:rsid w:val="005F381E"/>
    <w:rsid w:val="005F399A"/>
    <w:rsid w:val="005F3C52"/>
    <w:rsid w:val="005F4206"/>
    <w:rsid w:val="005F4410"/>
    <w:rsid w:val="005F48D1"/>
    <w:rsid w:val="005F4ECA"/>
    <w:rsid w:val="005F555D"/>
    <w:rsid w:val="005F63B6"/>
    <w:rsid w:val="005F6992"/>
    <w:rsid w:val="005F6F94"/>
    <w:rsid w:val="00600481"/>
    <w:rsid w:val="006011DF"/>
    <w:rsid w:val="006012CC"/>
    <w:rsid w:val="00601507"/>
    <w:rsid w:val="00601651"/>
    <w:rsid w:val="00601A85"/>
    <w:rsid w:val="006022B2"/>
    <w:rsid w:val="00602653"/>
    <w:rsid w:val="00603252"/>
    <w:rsid w:val="00603586"/>
    <w:rsid w:val="00603B76"/>
    <w:rsid w:val="006041BE"/>
    <w:rsid w:val="006043C7"/>
    <w:rsid w:val="006044E1"/>
    <w:rsid w:val="00604565"/>
    <w:rsid w:val="00604CC5"/>
    <w:rsid w:val="00604D0E"/>
    <w:rsid w:val="00605249"/>
    <w:rsid w:val="0060545D"/>
    <w:rsid w:val="006059E9"/>
    <w:rsid w:val="00606891"/>
    <w:rsid w:val="00606A41"/>
    <w:rsid w:val="006070D1"/>
    <w:rsid w:val="00607182"/>
    <w:rsid w:val="006077F0"/>
    <w:rsid w:val="00607A2A"/>
    <w:rsid w:val="00607AAA"/>
    <w:rsid w:val="00610675"/>
    <w:rsid w:val="00610A38"/>
    <w:rsid w:val="00610D1C"/>
    <w:rsid w:val="00610E78"/>
    <w:rsid w:val="006111E9"/>
    <w:rsid w:val="00611319"/>
    <w:rsid w:val="006115D4"/>
    <w:rsid w:val="0061164C"/>
    <w:rsid w:val="00611B17"/>
    <w:rsid w:val="00611EA9"/>
    <w:rsid w:val="0061212E"/>
    <w:rsid w:val="0061243D"/>
    <w:rsid w:val="00612518"/>
    <w:rsid w:val="00612B2F"/>
    <w:rsid w:val="00612BE0"/>
    <w:rsid w:val="00612E82"/>
    <w:rsid w:val="0061309B"/>
    <w:rsid w:val="006134F8"/>
    <w:rsid w:val="00613749"/>
    <w:rsid w:val="0061419E"/>
    <w:rsid w:val="006143CF"/>
    <w:rsid w:val="0061489C"/>
    <w:rsid w:val="00614BA6"/>
    <w:rsid w:val="00614BD4"/>
    <w:rsid w:val="0061538C"/>
    <w:rsid w:val="0061581F"/>
    <w:rsid w:val="006162AB"/>
    <w:rsid w:val="00616821"/>
    <w:rsid w:val="00616A52"/>
    <w:rsid w:val="00616B5B"/>
    <w:rsid w:val="00616D0F"/>
    <w:rsid w:val="00616E42"/>
    <w:rsid w:val="00617E4F"/>
    <w:rsid w:val="0062014D"/>
    <w:rsid w:val="006208D6"/>
    <w:rsid w:val="006210F1"/>
    <w:rsid w:val="00621B88"/>
    <w:rsid w:val="00621D51"/>
    <w:rsid w:val="00621FDF"/>
    <w:rsid w:val="0062275F"/>
    <w:rsid w:val="00622792"/>
    <w:rsid w:val="006228C9"/>
    <w:rsid w:val="006236C3"/>
    <w:rsid w:val="00623DCF"/>
    <w:rsid w:val="00624300"/>
    <w:rsid w:val="006249DC"/>
    <w:rsid w:val="00624B52"/>
    <w:rsid w:val="006269F2"/>
    <w:rsid w:val="00626E39"/>
    <w:rsid w:val="00627046"/>
    <w:rsid w:val="00627385"/>
    <w:rsid w:val="006303CC"/>
    <w:rsid w:val="006304B5"/>
    <w:rsid w:val="00631B93"/>
    <w:rsid w:val="00631DF4"/>
    <w:rsid w:val="00632306"/>
    <w:rsid w:val="00632EFD"/>
    <w:rsid w:val="0063322D"/>
    <w:rsid w:val="00633D4F"/>
    <w:rsid w:val="00634175"/>
    <w:rsid w:val="00634B67"/>
    <w:rsid w:val="006350E3"/>
    <w:rsid w:val="00635606"/>
    <w:rsid w:val="006370A5"/>
    <w:rsid w:val="006370F0"/>
    <w:rsid w:val="00637271"/>
    <w:rsid w:val="00637FB9"/>
    <w:rsid w:val="006408AC"/>
    <w:rsid w:val="00640EAD"/>
    <w:rsid w:val="00640FD8"/>
    <w:rsid w:val="00641225"/>
    <w:rsid w:val="006412CF"/>
    <w:rsid w:val="006427C8"/>
    <w:rsid w:val="00642891"/>
    <w:rsid w:val="00642995"/>
    <w:rsid w:val="00642B89"/>
    <w:rsid w:val="00642C92"/>
    <w:rsid w:val="00642DE3"/>
    <w:rsid w:val="006433E7"/>
    <w:rsid w:val="00643D3F"/>
    <w:rsid w:val="00643E02"/>
    <w:rsid w:val="006444A5"/>
    <w:rsid w:val="006446EA"/>
    <w:rsid w:val="006449FD"/>
    <w:rsid w:val="00644BF9"/>
    <w:rsid w:val="00645389"/>
    <w:rsid w:val="006456A2"/>
    <w:rsid w:val="0064618E"/>
    <w:rsid w:val="00646533"/>
    <w:rsid w:val="00646560"/>
    <w:rsid w:val="0064681D"/>
    <w:rsid w:val="00646C98"/>
    <w:rsid w:val="00647CC7"/>
    <w:rsid w:val="0065021B"/>
    <w:rsid w:val="006511B6"/>
    <w:rsid w:val="006521A6"/>
    <w:rsid w:val="0065249F"/>
    <w:rsid w:val="006526E4"/>
    <w:rsid w:val="00652742"/>
    <w:rsid w:val="00652999"/>
    <w:rsid w:val="006538A5"/>
    <w:rsid w:val="00653ABE"/>
    <w:rsid w:val="006544AA"/>
    <w:rsid w:val="00654AE9"/>
    <w:rsid w:val="00654D08"/>
    <w:rsid w:val="00655443"/>
    <w:rsid w:val="0065636A"/>
    <w:rsid w:val="00656694"/>
    <w:rsid w:val="006568C0"/>
    <w:rsid w:val="006569EF"/>
    <w:rsid w:val="00656D47"/>
    <w:rsid w:val="00656E7E"/>
    <w:rsid w:val="00656EA0"/>
    <w:rsid w:val="00656EB7"/>
    <w:rsid w:val="006574C1"/>
    <w:rsid w:val="00657D9C"/>
    <w:rsid w:val="00657F6E"/>
    <w:rsid w:val="00657FF8"/>
    <w:rsid w:val="006602FC"/>
    <w:rsid w:val="00660A5A"/>
    <w:rsid w:val="006616C2"/>
    <w:rsid w:val="006618B7"/>
    <w:rsid w:val="00661A9F"/>
    <w:rsid w:val="00661C20"/>
    <w:rsid w:val="0066214C"/>
    <w:rsid w:val="00662627"/>
    <w:rsid w:val="00663100"/>
    <w:rsid w:val="00663419"/>
    <w:rsid w:val="00663A3B"/>
    <w:rsid w:val="0066467F"/>
    <w:rsid w:val="006648C8"/>
    <w:rsid w:val="00664CB4"/>
    <w:rsid w:val="00665FDF"/>
    <w:rsid w:val="00666255"/>
    <w:rsid w:val="00666314"/>
    <w:rsid w:val="00666A5B"/>
    <w:rsid w:val="00666B85"/>
    <w:rsid w:val="00666E9D"/>
    <w:rsid w:val="0066703F"/>
    <w:rsid w:val="006672E0"/>
    <w:rsid w:val="00667D0D"/>
    <w:rsid w:val="00667D68"/>
    <w:rsid w:val="00670584"/>
    <w:rsid w:val="00670D64"/>
    <w:rsid w:val="00670D99"/>
    <w:rsid w:val="00670E2B"/>
    <w:rsid w:val="00671623"/>
    <w:rsid w:val="00671B64"/>
    <w:rsid w:val="00672743"/>
    <w:rsid w:val="006727BE"/>
    <w:rsid w:val="006734BB"/>
    <w:rsid w:val="00673512"/>
    <w:rsid w:val="006747FD"/>
    <w:rsid w:val="00674D4F"/>
    <w:rsid w:val="0067503D"/>
    <w:rsid w:val="006754DB"/>
    <w:rsid w:val="0067611C"/>
    <w:rsid w:val="00676A7F"/>
    <w:rsid w:val="00677158"/>
    <w:rsid w:val="00677E7D"/>
    <w:rsid w:val="00680C54"/>
    <w:rsid w:val="00681A34"/>
    <w:rsid w:val="00681E83"/>
    <w:rsid w:val="006821A4"/>
    <w:rsid w:val="006821EB"/>
    <w:rsid w:val="00682263"/>
    <w:rsid w:val="0068282B"/>
    <w:rsid w:val="00682C0C"/>
    <w:rsid w:val="00684043"/>
    <w:rsid w:val="00684CFD"/>
    <w:rsid w:val="00685ACB"/>
    <w:rsid w:val="00685F6E"/>
    <w:rsid w:val="00685FD0"/>
    <w:rsid w:val="00686EBC"/>
    <w:rsid w:val="006878E4"/>
    <w:rsid w:val="006904D1"/>
    <w:rsid w:val="00690A08"/>
    <w:rsid w:val="006923B7"/>
    <w:rsid w:val="00692694"/>
    <w:rsid w:val="0069290F"/>
    <w:rsid w:val="00692E41"/>
    <w:rsid w:val="00693FBC"/>
    <w:rsid w:val="0069414E"/>
    <w:rsid w:val="00694153"/>
    <w:rsid w:val="00694653"/>
    <w:rsid w:val="0069498E"/>
    <w:rsid w:val="00694F45"/>
    <w:rsid w:val="00695334"/>
    <w:rsid w:val="00695790"/>
    <w:rsid w:val="00695B45"/>
    <w:rsid w:val="0069737D"/>
    <w:rsid w:val="00697428"/>
    <w:rsid w:val="006974C4"/>
    <w:rsid w:val="00697614"/>
    <w:rsid w:val="00697E20"/>
    <w:rsid w:val="00697FA4"/>
    <w:rsid w:val="006A0098"/>
    <w:rsid w:val="006A014B"/>
    <w:rsid w:val="006A07D8"/>
    <w:rsid w:val="006A1915"/>
    <w:rsid w:val="006A2B36"/>
    <w:rsid w:val="006A2EE7"/>
    <w:rsid w:val="006A3174"/>
    <w:rsid w:val="006A334E"/>
    <w:rsid w:val="006A3379"/>
    <w:rsid w:val="006A3819"/>
    <w:rsid w:val="006A3AA6"/>
    <w:rsid w:val="006A4AA0"/>
    <w:rsid w:val="006A65BC"/>
    <w:rsid w:val="006A6DF6"/>
    <w:rsid w:val="006A768B"/>
    <w:rsid w:val="006B05DF"/>
    <w:rsid w:val="006B0897"/>
    <w:rsid w:val="006B08F4"/>
    <w:rsid w:val="006B0974"/>
    <w:rsid w:val="006B1224"/>
    <w:rsid w:val="006B18E2"/>
    <w:rsid w:val="006B2286"/>
    <w:rsid w:val="006B251B"/>
    <w:rsid w:val="006B2DCA"/>
    <w:rsid w:val="006B2F0E"/>
    <w:rsid w:val="006B3FED"/>
    <w:rsid w:val="006B4792"/>
    <w:rsid w:val="006B495E"/>
    <w:rsid w:val="006B49C5"/>
    <w:rsid w:val="006B4E10"/>
    <w:rsid w:val="006B54D8"/>
    <w:rsid w:val="006B56BB"/>
    <w:rsid w:val="006B59DB"/>
    <w:rsid w:val="006B614E"/>
    <w:rsid w:val="006B6A7D"/>
    <w:rsid w:val="006B7617"/>
    <w:rsid w:val="006B7CE9"/>
    <w:rsid w:val="006C0B6E"/>
    <w:rsid w:val="006C0DB5"/>
    <w:rsid w:val="006C145A"/>
    <w:rsid w:val="006C1637"/>
    <w:rsid w:val="006C1A0F"/>
    <w:rsid w:val="006C1F45"/>
    <w:rsid w:val="006C26ED"/>
    <w:rsid w:val="006C2851"/>
    <w:rsid w:val="006C2D99"/>
    <w:rsid w:val="006C32AE"/>
    <w:rsid w:val="006C3BEA"/>
    <w:rsid w:val="006C3E7C"/>
    <w:rsid w:val="006C3FDF"/>
    <w:rsid w:val="006C4098"/>
    <w:rsid w:val="006C4E9C"/>
    <w:rsid w:val="006C4FF7"/>
    <w:rsid w:val="006C509F"/>
    <w:rsid w:val="006C5540"/>
    <w:rsid w:val="006C58F1"/>
    <w:rsid w:val="006C5A21"/>
    <w:rsid w:val="006C5E81"/>
    <w:rsid w:val="006C69DB"/>
    <w:rsid w:val="006C6FA3"/>
    <w:rsid w:val="006C75F0"/>
    <w:rsid w:val="006C7764"/>
    <w:rsid w:val="006C77A8"/>
    <w:rsid w:val="006C7F82"/>
    <w:rsid w:val="006D0CF7"/>
    <w:rsid w:val="006D12ED"/>
    <w:rsid w:val="006D14EA"/>
    <w:rsid w:val="006D27F3"/>
    <w:rsid w:val="006D2945"/>
    <w:rsid w:val="006D3230"/>
    <w:rsid w:val="006D3493"/>
    <w:rsid w:val="006D34E1"/>
    <w:rsid w:val="006D4065"/>
    <w:rsid w:val="006D4098"/>
    <w:rsid w:val="006D4325"/>
    <w:rsid w:val="006D4C9A"/>
    <w:rsid w:val="006D5AC6"/>
    <w:rsid w:val="006D5B10"/>
    <w:rsid w:val="006D5E64"/>
    <w:rsid w:val="006D611B"/>
    <w:rsid w:val="006D66A9"/>
    <w:rsid w:val="006D6BBB"/>
    <w:rsid w:val="006D6E94"/>
    <w:rsid w:val="006D6F90"/>
    <w:rsid w:val="006D7681"/>
    <w:rsid w:val="006D7975"/>
    <w:rsid w:val="006D7B2E"/>
    <w:rsid w:val="006E02CD"/>
    <w:rsid w:val="006E02EA"/>
    <w:rsid w:val="006E0968"/>
    <w:rsid w:val="006E097B"/>
    <w:rsid w:val="006E0C5E"/>
    <w:rsid w:val="006E0E02"/>
    <w:rsid w:val="006E1611"/>
    <w:rsid w:val="006E1D18"/>
    <w:rsid w:val="006E24BB"/>
    <w:rsid w:val="006E24CC"/>
    <w:rsid w:val="006E2800"/>
    <w:rsid w:val="006E2AF6"/>
    <w:rsid w:val="006E2B79"/>
    <w:rsid w:val="006E3DB5"/>
    <w:rsid w:val="006E40A0"/>
    <w:rsid w:val="006E40D1"/>
    <w:rsid w:val="006E5380"/>
    <w:rsid w:val="006E5394"/>
    <w:rsid w:val="006E5476"/>
    <w:rsid w:val="006E56A9"/>
    <w:rsid w:val="006E5B3A"/>
    <w:rsid w:val="006E5BF4"/>
    <w:rsid w:val="006E6D6C"/>
    <w:rsid w:val="006E6FA3"/>
    <w:rsid w:val="006E70D4"/>
    <w:rsid w:val="006E7CF2"/>
    <w:rsid w:val="006F00CB"/>
    <w:rsid w:val="006F0355"/>
    <w:rsid w:val="006F0601"/>
    <w:rsid w:val="006F063E"/>
    <w:rsid w:val="006F09CC"/>
    <w:rsid w:val="006F176A"/>
    <w:rsid w:val="006F1812"/>
    <w:rsid w:val="006F1881"/>
    <w:rsid w:val="006F2568"/>
    <w:rsid w:val="006F35CD"/>
    <w:rsid w:val="006F4E8B"/>
    <w:rsid w:val="006F4FD5"/>
    <w:rsid w:val="006F56FD"/>
    <w:rsid w:val="006F5C87"/>
    <w:rsid w:val="006F6272"/>
    <w:rsid w:val="006F6D5A"/>
    <w:rsid w:val="006F7162"/>
    <w:rsid w:val="006F7338"/>
    <w:rsid w:val="007003C8"/>
    <w:rsid w:val="00700C6B"/>
    <w:rsid w:val="0070119B"/>
    <w:rsid w:val="00701275"/>
    <w:rsid w:val="007013F1"/>
    <w:rsid w:val="00703584"/>
    <w:rsid w:val="00703E42"/>
    <w:rsid w:val="00703F60"/>
    <w:rsid w:val="0070445F"/>
    <w:rsid w:val="00704620"/>
    <w:rsid w:val="00704A6A"/>
    <w:rsid w:val="00704FDB"/>
    <w:rsid w:val="007057C4"/>
    <w:rsid w:val="00705DF0"/>
    <w:rsid w:val="00706474"/>
    <w:rsid w:val="00706C10"/>
    <w:rsid w:val="00706CC6"/>
    <w:rsid w:val="00707061"/>
    <w:rsid w:val="007070C7"/>
    <w:rsid w:val="007075BF"/>
    <w:rsid w:val="00707724"/>
    <w:rsid w:val="00707B25"/>
    <w:rsid w:val="00707F56"/>
    <w:rsid w:val="00710801"/>
    <w:rsid w:val="007108AF"/>
    <w:rsid w:val="00710A41"/>
    <w:rsid w:val="00710D45"/>
    <w:rsid w:val="00710E73"/>
    <w:rsid w:val="00711164"/>
    <w:rsid w:val="00711418"/>
    <w:rsid w:val="00711826"/>
    <w:rsid w:val="00712521"/>
    <w:rsid w:val="00712A38"/>
    <w:rsid w:val="00712DFA"/>
    <w:rsid w:val="00712E00"/>
    <w:rsid w:val="00713520"/>
    <w:rsid w:val="00713558"/>
    <w:rsid w:val="0071395B"/>
    <w:rsid w:val="00713EEF"/>
    <w:rsid w:val="00714425"/>
    <w:rsid w:val="00714676"/>
    <w:rsid w:val="00714C06"/>
    <w:rsid w:val="007153B4"/>
    <w:rsid w:val="00715528"/>
    <w:rsid w:val="00715B3D"/>
    <w:rsid w:val="00715EEB"/>
    <w:rsid w:val="00716A22"/>
    <w:rsid w:val="00716B5E"/>
    <w:rsid w:val="00716E39"/>
    <w:rsid w:val="00717EC2"/>
    <w:rsid w:val="007200D8"/>
    <w:rsid w:val="007201BD"/>
    <w:rsid w:val="00720D08"/>
    <w:rsid w:val="00720E7E"/>
    <w:rsid w:val="007215DE"/>
    <w:rsid w:val="00721C18"/>
    <w:rsid w:val="007225C9"/>
    <w:rsid w:val="00722748"/>
    <w:rsid w:val="00722C1D"/>
    <w:rsid w:val="007231CD"/>
    <w:rsid w:val="00723760"/>
    <w:rsid w:val="00723AAE"/>
    <w:rsid w:val="007241CA"/>
    <w:rsid w:val="007241F0"/>
    <w:rsid w:val="00724889"/>
    <w:rsid w:val="007248C9"/>
    <w:rsid w:val="007249C1"/>
    <w:rsid w:val="007250F8"/>
    <w:rsid w:val="007250FE"/>
    <w:rsid w:val="00725280"/>
    <w:rsid w:val="0072553C"/>
    <w:rsid w:val="007255E0"/>
    <w:rsid w:val="00725D97"/>
    <w:rsid w:val="00725F53"/>
    <w:rsid w:val="007263B9"/>
    <w:rsid w:val="00726778"/>
    <w:rsid w:val="00726A0C"/>
    <w:rsid w:val="00726BA5"/>
    <w:rsid w:val="00726F98"/>
    <w:rsid w:val="0072753D"/>
    <w:rsid w:val="00727998"/>
    <w:rsid w:val="00727BFD"/>
    <w:rsid w:val="007309CE"/>
    <w:rsid w:val="007309EB"/>
    <w:rsid w:val="00730ABF"/>
    <w:rsid w:val="0073167D"/>
    <w:rsid w:val="00732347"/>
    <w:rsid w:val="007323FB"/>
    <w:rsid w:val="00732B8E"/>
    <w:rsid w:val="00732EB2"/>
    <w:rsid w:val="00732F25"/>
    <w:rsid w:val="007334F8"/>
    <w:rsid w:val="007339CD"/>
    <w:rsid w:val="0073423B"/>
    <w:rsid w:val="0073449C"/>
    <w:rsid w:val="0073557F"/>
    <w:rsid w:val="007359BA"/>
    <w:rsid w:val="007359D8"/>
    <w:rsid w:val="00735EB8"/>
    <w:rsid w:val="0073618A"/>
    <w:rsid w:val="007362D4"/>
    <w:rsid w:val="00736507"/>
    <w:rsid w:val="00736F9F"/>
    <w:rsid w:val="007370EA"/>
    <w:rsid w:val="00737578"/>
    <w:rsid w:val="00737E9F"/>
    <w:rsid w:val="007403B0"/>
    <w:rsid w:val="00741167"/>
    <w:rsid w:val="007415A0"/>
    <w:rsid w:val="0074166B"/>
    <w:rsid w:val="00741B40"/>
    <w:rsid w:val="00741BA0"/>
    <w:rsid w:val="007426A2"/>
    <w:rsid w:val="0074441B"/>
    <w:rsid w:val="00744AF5"/>
    <w:rsid w:val="007450FB"/>
    <w:rsid w:val="007451B2"/>
    <w:rsid w:val="0074590F"/>
    <w:rsid w:val="00745929"/>
    <w:rsid w:val="00745CEC"/>
    <w:rsid w:val="0074619E"/>
    <w:rsid w:val="007465BC"/>
    <w:rsid w:val="00746792"/>
    <w:rsid w:val="007479F7"/>
    <w:rsid w:val="00747C24"/>
    <w:rsid w:val="00750624"/>
    <w:rsid w:val="00750691"/>
    <w:rsid w:val="007506D4"/>
    <w:rsid w:val="0075072C"/>
    <w:rsid w:val="00751639"/>
    <w:rsid w:val="00751A23"/>
    <w:rsid w:val="007520B3"/>
    <w:rsid w:val="00752AD8"/>
    <w:rsid w:val="007543E6"/>
    <w:rsid w:val="007555C2"/>
    <w:rsid w:val="00755763"/>
    <w:rsid w:val="00755D68"/>
    <w:rsid w:val="00756139"/>
    <w:rsid w:val="00756D6A"/>
    <w:rsid w:val="00757223"/>
    <w:rsid w:val="00757F52"/>
    <w:rsid w:val="007601F7"/>
    <w:rsid w:val="007606B4"/>
    <w:rsid w:val="007607E0"/>
    <w:rsid w:val="00760A42"/>
    <w:rsid w:val="00760C2D"/>
    <w:rsid w:val="00760F4C"/>
    <w:rsid w:val="00760F78"/>
    <w:rsid w:val="007613EF"/>
    <w:rsid w:val="00761531"/>
    <w:rsid w:val="00761FD1"/>
    <w:rsid w:val="007623F8"/>
    <w:rsid w:val="00762B40"/>
    <w:rsid w:val="0076318A"/>
    <w:rsid w:val="007632FB"/>
    <w:rsid w:val="00763753"/>
    <w:rsid w:val="007639D6"/>
    <w:rsid w:val="00763CB1"/>
    <w:rsid w:val="00764AEF"/>
    <w:rsid w:val="00764C5E"/>
    <w:rsid w:val="007650F5"/>
    <w:rsid w:val="00765A54"/>
    <w:rsid w:val="00765DEF"/>
    <w:rsid w:val="007664E4"/>
    <w:rsid w:val="007665EF"/>
    <w:rsid w:val="00766662"/>
    <w:rsid w:val="0076672A"/>
    <w:rsid w:val="00767F87"/>
    <w:rsid w:val="00770048"/>
    <w:rsid w:val="00770B4F"/>
    <w:rsid w:val="00771320"/>
    <w:rsid w:val="007719A3"/>
    <w:rsid w:val="00771AE3"/>
    <w:rsid w:val="00772070"/>
    <w:rsid w:val="00772180"/>
    <w:rsid w:val="00772B12"/>
    <w:rsid w:val="007744CB"/>
    <w:rsid w:val="007745F5"/>
    <w:rsid w:val="00774A20"/>
    <w:rsid w:val="007753C2"/>
    <w:rsid w:val="00775586"/>
    <w:rsid w:val="0077568C"/>
    <w:rsid w:val="00775AA3"/>
    <w:rsid w:val="00775E45"/>
    <w:rsid w:val="00775EF7"/>
    <w:rsid w:val="00776A4A"/>
    <w:rsid w:val="00776C77"/>
    <w:rsid w:val="00776E74"/>
    <w:rsid w:val="00776EF4"/>
    <w:rsid w:val="007771D9"/>
    <w:rsid w:val="007800C9"/>
    <w:rsid w:val="007801A9"/>
    <w:rsid w:val="007802EE"/>
    <w:rsid w:val="00780ADD"/>
    <w:rsid w:val="00781475"/>
    <w:rsid w:val="00781F8B"/>
    <w:rsid w:val="007820A5"/>
    <w:rsid w:val="00782AD7"/>
    <w:rsid w:val="00782D1C"/>
    <w:rsid w:val="007830AD"/>
    <w:rsid w:val="0078347A"/>
    <w:rsid w:val="00783D13"/>
    <w:rsid w:val="00783F6A"/>
    <w:rsid w:val="00784507"/>
    <w:rsid w:val="00785169"/>
    <w:rsid w:val="00785A48"/>
    <w:rsid w:val="00785FEB"/>
    <w:rsid w:val="00786B64"/>
    <w:rsid w:val="007874F0"/>
    <w:rsid w:val="0078762F"/>
    <w:rsid w:val="007877DB"/>
    <w:rsid w:val="0079019D"/>
    <w:rsid w:val="00790D62"/>
    <w:rsid w:val="0079157A"/>
    <w:rsid w:val="00791BD9"/>
    <w:rsid w:val="00791D25"/>
    <w:rsid w:val="007922FE"/>
    <w:rsid w:val="00792AFE"/>
    <w:rsid w:val="0079336A"/>
    <w:rsid w:val="007938C9"/>
    <w:rsid w:val="00793DC1"/>
    <w:rsid w:val="00793E29"/>
    <w:rsid w:val="00793F90"/>
    <w:rsid w:val="00794746"/>
    <w:rsid w:val="007952B5"/>
    <w:rsid w:val="007954AB"/>
    <w:rsid w:val="00795C5B"/>
    <w:rsid w:val="00795F87"/>
    <w:rsid w:val="00795FAB"/>
    <w:rsid w:val="00796121"/>
    <w:rsid w:val="00796A21"/>
    <w:rsid w:val="00796BAF"/>
    <w:rsid w:val="00796E29"/>
    <w:rsid w:val="00796F5E"/>
    <w:rsid w:val="00796FA2"/>
    <w:rsid w:val="007970AA"/>
    <w:rsid w:val="00797200"/>
    <w:rsid w:val="0079783A"/>
    <w:rsid w:val="007A0404"/>
    <w:rsid w:val="007A0731"/>
    <w:rsid w:val="007A080F"/>
    <w:rsid w:val="007A088D"/>
    <w:rsid w:val="007A0F90"/>
    <w:rsid w:val="007A14C5"/>
    <w:rsid w:val="007A1890"/>
    <w:rsid w:val="007A1BD7"/>
    <w:rsid w:val="007A1D0D"/>
    <w:rsid w:val="007A1EBD"/>
    <w:rsid w:val="007A1ECA"/>
    <w:rsid w:val="007A2147"/>
    <w:rsid w:val="007A26A1"/>
    <w:rsid w:val="007A284D"/>
    <w:rsid w:val="007A2C09"/>
    <w:rsid w:val="007A31F7"/>
    <w:rsid w:val="007A34A2"/>
    <w:rsid w:val="007A3A68"/>
    <w:rsid w:val="007A3E38"/>
    <w:rsid w:val="007A435D"/>
    <w:rsid w:val="007A4443"/>
    <w:rsid w:val="007A4A10"/>
    <w:rsid w:val="007A4CA7"/>
    <w:rsid w:val="007A4F0B"/>
    <w:rsid w:val="007A57C1"/>
    <w:rsid w:val="007A58DC"/>
    <w:rsid w:val="007A67A9"/>
    <w:rsid w:val="007B09FB"/>
    <w:rsid w:val="007B0E4A"/>
    <w:rsid w:val="007B12C5"/>
    <w:rsid w:val="007B1760"/>
    <w:rsid w:val="007B2E3A"/>
    <w:rsid w:val="007B3D03"/>
    <w:rsid w:val="007B4760"/>
    <w:rsid w:val="007B57ED"/>
    <w:rsid w:val="007B641D"/>
    <w:rsid w:val="007B647E"/>
    <w:rsid w:val="007B6C0E"/>
    <w:rsid w:val="007B721F"/>
    <w:rsid w:val="007B7CCB"/>
    <w:rsid w:val="007C0718"/>
    <w:rsid w:val="007C0BBA"/>
    <w:rsid w:val="007C1101"/>
    <w:rsid w:val="007C13A4"/>
    <w:rsid w:val="007C1585"/>
    <w:rsid w:val="007C15F6"/>
    <w:rsid w:val="007C1A18"/>
    <w:rsid w:val="007C2F8E"/>
    <w:rsid w:val="007C4F27"/>
    <w:rsid w:val="007C4F8C"/>
    <w:rsid w:val="007C4FB8"/>
    <w:rsid w:val="007C5114"/>
    <w:rsid w:val="007C5722"/>
    <w:rsid w:val="007C5AB8"/>
    <w:rsid w:val="007C6004"/>
    <w:rsid w:val="007C6D9C"/>
    <w:rsid w:val="007C6E51"/>
    <w:rsid w:val="007C7171"/>
    <w:rsid w:val="007C748E"/>
    <w:rsid w:val="007C74C1"/>
    <w:rsid w:val="007C74CB"/>
    <w:rsid w:val="007C75E0"/>
    <w:rsid w:val="007C7DDB"/>
    <w:rsid w:val="007C7E64"/>
    <w:rsid w:val="007D0CC8"/>
    <w:rsid w:val="007D19A5"/>
    <w:rsid w:val="007D20DF"/>
    <w:rsid w:val="007D213E"/>
    <w:rsid w:val="007D2CC7"/>
    <w:rsid w:val="007D2FA7"/>
    <w:rsid w:val="007D3926"/>
    <w:rsid w:val="007D49DF"/>
    <w:rsid w:val="007D4C8E"/>
    <w:rsid w:val="007D4F42"/>
    <w:rsid w:val="007D551B"/>
    <w:rsid w:val="007D585B"/>
    <w:rsid w:val="007D5D04"/>
    <w:rsid w:val="007D63F6"/>
    <w:rsid w:val="007D673D"/>
    <w:rsid w:val="007D72D5"/>
    <w:rsid w:val="007D74F1"/>
    <w:rsid w:val="007E0B82"/>
    <w:rsid w:val="007E0CD8"/>
    <w:rsid w:val="007E0D12"/>
    <w:rsid w:val="007E1469"/>
    <w:rsid w:val="007E1614"/>
    <w:rsid w:val="007E260E"/>
    <w:rsid w:val="007E27C5"/>
    <w:rsid w:val="007E3226"/>
    <w:rsid w:val="007E3287"/>
    <w:rsid w:val="007E3331"/>
    <w:rsid w:val="007E3A22"/>
    <w:rsid w:val="007E3CD6"/>
    <w:rsid w:val="007E43DC"/>
    <w:rsid w:val="007E45FF"/>
    <w:rsid w:val="007E470D"/>
    <w:rsid w:val="007E4A44"/>
    <w:rsid w:val="007E4C74"/>
    <w:rsid w:val="007E4DC0"/>
    <w:rsid w:val="007E52C6"/>
    <w:rsid w:val="007E531F"/>
    <w:rsid w:val="007E56F8"/>
    <w:rsid w:val="007E605D"/>
    <w:rsid w:val="007E6192"/>
    <w:rsid w:val="007E65BD"/>
    <w:rsid w:val="007E6649"/>
    <w:rsid w:val="007E7A4F"/>
    <w:rsid w:val="007F0A5B"/>
    <w:rsid w:val="007F1092"/>
    <w:rsid w:val="007F21D2"/>
    <w:rsid w:val="007F2220"/>
    <w:rsid w:val="007F2229"/>
    <w:rsid w:val="007F2451"/>
    <w:rsid w:val="007F2963"/>
    <w:rsid w:val="007F2D1D"/>
    <w:rsid w:val="007F2EF5"/>
    <w:rsid w:val="007F2FD3"/>
    <w:rsid w:val="007F3158"/>
    <w:rsid w:val="007F34B9"/>
    <w:rsid w:val="007F425D"/>
    <w:rsid w:val="007F458E"/>
    <w:rsid w:val="007F492C"/>
    <w:rsid w:val="007F4B3E"/>
    <w:rsid w:val="007F50E5"/>
    <w:rsid w:val="007F5262"/>
    <w:rsid w:val="007F52EC"/>
    <w:rsid w:val="007F57AB"/>
    <w:rsid w:val="007F588A"/>
    <w:rsid w:val="007F5B77"/>
    <w:rsid w:val="007F601B"/>
    <w:rsid w:val="007F60AA"/>
    <w:rsid w:val="007F6D57"/>
    <w:rsid w:val="007F701A"/>
    <w:rsid w:val="007F7819"/>
    <w:rsid w:val="007F7A3F"/>
    <w:rsid w:val="00800081"/>
    <w:rsid w:val="00800520"/>
    <w:rsid w:val="0080181C"/>
    <w:rsid w:val="00801A50"/>
    <w:rsid w:val="00801E9B"/>
    <w:rsid w:val="00802996"/>
    <w:rsid w:val="00802A01"/>
    <w:rsid w:val="008033EB"/>
    <w:rsid w:val="00804810"/>
    <w:rsid w:val="00804B6F"/>
    <w:rsid w:val="00804D2F"/>
    <w:rsid w:val="0080521A"/>
    <w:rsid w:val="008064C5"/>
    <w:rsid w:val="008102D2"/>
    <w:rsid w:val="0081081D"/>
    <w:rsid w:val="00810D8F"/>
    <w:rsid w:val="0081126B"/>
    <w:rsid w:val="0081266E"/>
    <w:rsid w:val="008127AF"/>
    <w:rsid w:val="008129FE"/>
    <w:rsid w:val="00812B46"/>
    <w:rsid w:val="00812E81"/>
    <w:rsid w:val="00813259"/>
    <w:rsid w:val="00814058"/>
    <w:rsid w:val="008144A4"/>
    <w:rsid w:val="0081450B"/>
    <w:rsid w:val="008147B8"/>
    <w:rsid w:val="00814D17"/>
    <w:rsid w:val="00815700"/>
    <w:rsid w:val="00815847"/>
    <w:rsid w:val="00815C46"/>
    <w:rsid w:val="008161A6"/>
    <w:rsid w:val="008162A7"/>
    <w:rsid w:val="008178B5"/>
    <w:rsid w:val="00817A31"/>
    <w:rsid w:val="00817B70"/>
    <w:rsid w:val="008204F0"/>
    <w:rsid w:val="00820C57"/>
    <w:rsid w:val="0082109C"/>
    <w:rsid w:val="00821284"/>
    <w:rsid w:val="00822D49"/>
    <w:rsid w:val="0082371E"/>
    <w:rsid w:val="00824074"/>
    <w:rsid w:val="008242B6"/>
    <w:rsid w:val="00824C2D"/>
    <w:rsid w:val="00825536"/>
    <w:rsid w:val="00825E1E"/>
    <w:rsid w:val="00825FDB"/>
    <w:rsid w:val="008261A3"/>
    <w:rsid w:val="008263E3"/>
    <w:rsid w:val="008264EB"/>
    <w:rsid w:val="00826B8F"/>
    <w:rsid w:val="00826DD3"/>
    <w:rsid w:val="00826E21"/>
    <w:rsid w:val="00827496"/>
    <w:rsid w:val="00827C02"/>
    <w:rsid w:val="00827F9D"/>
    <w:rsid w:val="0083036E"/>
    <w:rsid w:val="008317F9"/>
    <w:rsid w:val="00831E8A"/>
    <w:rsid w:val="00833545"/>
    <w:rsid w:val="00833558"/>
    <w:rsid w:val="0083377B"/>
    <w:rsid w:val="0083381C"/>
    <w:rsid w:val="008342A2"/>
    <w:rsid w:val="00834324"/>
    <w:rsid w:val="0083435E"/>
    <w:rsid w:val="008345CE"/>
    <w:rsid w:val="0083468E"/>
    <w:rsid w:val="008352E0"/>
    <w:rsid w:val="00835C5F"/>
    <w:rsid w:val="00835C76"/>
    <w:rsid w:val="008364B4"/>
    <w:rsid w:val="008365BA"/>
    <w:rsid w:val="008368FA"/>
    <w:rsid w:val="00836B83"/>
    <w:rsid w:val="00840E23"/>
    <w:rsid w:val="0084106A"/>
    <w:rsid w:val="00841290"/>
    <w:rsid w:val="008419E3"/>
    <w:rsid w:val="00841ACC"/>
    <w:rsid w:val="0084271B"/>
    <w:rsid w:val="00842938"/>
    <w:rsid w:val="00842B90"/>
    <w:rsid w:val="00842C1B"/>
    <w:rsid w:val="00842C71"/>
    <w:rsid w:val="00843049"/>
    <w:rsid w:val="008430E8"/>
    <w:rsid w:val="00843D8B"/>
    <w:rsid w:val="00843ED8"/>
    <w:rsid w:val="0084471A"/>
    <w:rsid w:val="00844766"/>
    <w:rsid w:val="008449AF"/>
    <w:rsid w:val="00844A82"/>
    <w:rsid w:val="00845105"/>
    <w:rsid w:val="00845162"/>
    <w:rsid w:val="008459A9"/>
    <w:rsid w:val="00845A25"/>
    <w:rsid w:val="00845A32"/>
    <w:rsid w:val="00846BBE"/>
    <w:rsid w:val="00846E4D"/>
    <w:rsid w:val="0084738B"/>
    <w:rsid w:val="00847889"/>
    <w:rsid w:val="008502E2"/>
    <w:rsid w:val="008503FD"/>
    <w:rsid w:val="00850490"/>
    <w:rsid w:val="00851E99"/>
    <w:rsid w:val="0085209B"/>
    <w:rsid w:val="00852296"/>
    <w:rsid w:val="00852320"/>
    <w:rsid w:val="00852927"/>
    <w:rsid w:val="00852DE2"/>
    <w:rsid w:val="008534F3"/>
    <w:rsid w:val="008539D4"/>
    <w:rsid w:val="00853A3C"/>
    <w:rsid w:val="00853BEC"/>
    <w:rsid w:val="0085456E"/>
    <w:rsid w:val="008551FB"/>
    <w:rsid w:val="0085571A"/>
    <w:rsid w:val="00855A24"/>
    <w:rsid w:val="00855DBA"/>
    <w:rsid w:val="0085689A"/>
    <w:rsid w:val="00856906"/>
    <w:rsid w:val="00856B66"/>
    <w:rsid w:val="008602DF"/>
    <w:rsid w:val="008609E7"/>
    <w:rsid w:val="008613B9"/>
    <w:rsid w:val="0086198B"/>
    <w:rsid w:val="00861A5F"/>
    <w:rsid w:val="00861EE8"/>
    <w:rsid w:val="008624EE"/>
    <w:rsid w:val="00862805"/>
    <w:rsid w:val="00862B3A"/>
    <w:rsid w:val="00862E87"/>
    <w:rsid w:val="00863210"/>
    <w:rsid w:val="008632F2"/>
    <w:rsid w:val="00863A96"/>
    <w:rsid w:val="00863AF4"/>
    <w:rsid w:val="0086430F"/>
    <w:rsid w:val="008644AD"/>
    <w:rsid w:val="0086468B"/>
    <w:rsid w:val="0086480D"/>
    <w:rsid w:val="00864A3D"/>
    <w:rsid w:val="00864C89"/>
    <w:rsid w:val="00864D6B"/>
    <w:rsid w:val="0086553B"/>
    <w:rsid w:val="00865735"/>
    <w:rsid w:val="008659B5"/>
    <w:rsid w:val="00865A95"/>
    <w:rsid w:val="00865DDB"/>
    <w:rsid w:val="00866831"/>
    <w:rsid w:val="00866DC0"/>
    <w:rsid w:val="00867538"/>
    <w:rsid w:val="00867933"/>
    <w:rsid w:val="00870247"/>
    <w:rsid w:val="008711FA"/>
    <w:rsid w:val="00871939"/>
    <w:rsid w:val="00872091"/>
    <w:rsid w:val="0087252F"/>
    <w:rsid w:val="00872874"/>
    <w:rsid w:val="00872D84"/>
    <w:rsid w:val="00872F8A"/>
    <w:rsid w:val="008737FF"/>
    <w:rsid w:val="0087393E"/>
    <w:rsid w:val="00873D90"/>
    <w:rsid w:val="00873F2A"/>
    <w:rsid w:val="00873FC8"/>
    <w:rsid w:val="008743C7"/>
    <w:rsid w:val="0087508D"/>
    <w:rsid w:val="00876613"/>
    <w:rsid w:val="00876D0E"/>
    <w:rsid w:val="0087714C"/>
    <w:rsid w:val="008776AF"/>
    <w:rsid w:val="008778CF"/>
    <w:rsid w:val="00877FD0"/>
    <w:rsid w:val="008808FB"/>
    <w:rsid w:val="00880C04"/>
    <w:rsid w:val="00881388"/>
    <w:rsid w:val="0088162F"/>
    <w:rsid w:val="00881AFF"/>
    <w:rsid w:val="00881C2B"/>
    <w:rsid w:val="00882653"/>
    <w:rsid w:val="00882741"/>
    <w:rsid w:val="00882953"/>
    <w:rsid w:val="00882C85"/>
    <w:rsid w:val="0088303B"/>
    <w:rsid w:val="00883D14"/>
    <w:rsid w:val="0088469C"/>
    <w:rsid w:val="008848A0"/>
    <w:rsid w:val="00884C63"/>
    <w:rsid w:val="008852C8"/>
    <w:rsid w:val="00885908"/>
    <w:rsid w:val="00886388"/>
    <w:rsid w:val="008864B7"/>
    <w:rsid w:val="008865AD"/>
    <w:rsid w:val="00886CFF"/>
    <w:rsid w:val="00887A1E"/>
    <w:rsid w:val="00887FD2"/>
    <w:rsid w:val="00890A4A"/>
    <w:rsid w:val="00891198"/>
    <w:rsid w:val="00891CAC"/>
    <w:rsid w:val="00892317"/>
    <w:rsid w:val="0089233A"/>
    <w:rsid w:val="0089298A"/>
    <w:rsid w:val="00892AA2"/>
    <w:rsid w:val="00892B13"/>
    <w:rsid w:val="0089482F"/>
    <w:rsid w:val="008948EF"/>
    <w:rsid w:val="00894F34"/>
    <w:rsid w:val="008951DD"/>
    <w:rsid w:val="00895745"/>
    <w:rsid w:val="008959B0"/>
    <w:rsid w:val="00896544"/>
    <w:rsid w:val="008965E4"/>
    <w:rsid w:val="0089677E"/>
    <w:rsid w:val="00896788"/>
    <w:rsid w:val="00896E8C"/>
    <w:rsid w:val="00896EE6"/>
    <w:rsid w:val="00897276"/>
    <w:rsid w:val="0089745C"/>
    <w:rsid w:val="0089792D"/>
    <w:rsid w:val="00897F8D"/>
    <w:rsid w:val="008A147C"/>
    <w:rsid w:val="008A16A0"/>
    <w:rsid w:val="008A216C"/>
    <w:rsid w:val="008A2319"/>
    <w:rsid w:val="008A23AE"/>
    <w:rsid w:val="008A29F1"/>
    <w:rsid w:val="008A348F"/>
    <w:rsid w:val="008A3909"/>
    <w:rsid w:val="008A4060"/>
    <w:rsid w:val="008A4253"/>
    <w:rsid w:val="008A43B7"/>
    <w:rsid w:val="008A46CB"/>
    <w:rsid w:val="008A5B0C"/>
    <w:rsid w:val="008A5E33"/>
    <w:rsid w:val="008A6376"/>
    <w:rsid w:val="008A6389"/>
    <w:rsid w:val="008A6659"/>
    <w:rsid w:val="008A6ABC"/>
    <w:rsid w:val="008A7438"/>
    <w:rsid w:val="008A7FE3"/>
    <w:rsid w:val="008B0BBA"/>
    <w:rsid w:val="008B1334"/>
    <w:rsid w:val="008B1792"/>
    <w:rsid w:val="008B22C0"/>
    <w:rsid w:val="008B2558"/>
    <w:rsid w:val="008B2ED5"/>
    <w:rsid w:val="008B340A"/>
    <w:rsid w:val="008B351D"/>
    <w:rsid w:val="008B3900"/>
    <w:rsid w:val="008B3C92"/>
    <w:rsid w:val="008B3D5D"/>
    <w:rsid w:val="008B4092"/>
    <w:rsid w:val="008B4883"/>
    <w:rsid w:val="008B49A1"/>
    <w:rsid w:val="008B5069"/>
    <w:rsid w:val="008B51C0"/>
    <w:rsid w:val="008B5433"/>
    <w:rsid w:val="008B70B6"/>
    <w:rsid w:val="008B79EC"/>
    <w:rsid w:val="008B7CE4"/>
    <w:rsid w:val="008B7F28"/>
    <w:rsid w:val="008B7F49"/>
    <w:rsid w:val="008C0278"/>
    <w:rsid w:val="008C0590"/>
    <w:rsid w:val="008C1755"/>
    <w:rsid w:val="008C24E9"/>
    <w:rsid w:val="008C3542"/>
    <w:rsid w:val="008C35B1"/>
    <w:rsid w:val="008C3860"/>
    <w:rsid w:val="008C3DA5"/>
    <w:rsid w:val="008C3FBD"/>
    <w:rsid w:val="008C425C"/>
    <w:rsid w:val="008C4CF6"/>
    <w:rsid w:val="008C5326"/>
    <w:rsid w:val="008C6216"/>
    <w:rsid w:val="008C6BAD"/>
    <w:rsid w:val="008C728B"/>
    <w:rsid w:val="008C732A"/>
    <w:rsid w:val="008C7F9D"/>
    <w:rsid w:val="008D00BC"/>
    <w:rsid w:val="008D0326"/>
    <w:rsid w:val="008D0533"/>
    <w:rsid w:val="008D0BFE"/>
    <w:rsid w:val="008D1232"/>
    <w:rsid w:val="008D1AF4"/>
    <w:rsid w:val="008D20FC"/>
    <w:rsid w:val="008D26FE"/>
    <w:rsid w:val="008D2A52"/>
    <w:rsid w:val="008D303E"/>
    <w:rsid w:val="008D389A"/>
    <w:rsid w:val="008D40AF"/>
    <w:rsid w:val="008D42CB"/>
    <w:rsid w:val="008D47A5"/>
    <w:rsid w:val="008D48C9"/>
    <w:rsid w:val="008D4D04"/>
    <w:rsid w:val="008D4F4E"/>
    <w:rsid w:val="008D563C"/>
    <w:rsid w:val="008D5B79"/>
    <w:rsid w:val="008D6104"/>
    <w:rsid w:val="008D6381"/>
    <w:rsid w:val="008D6383"/>
    <w:rsid w:val="008D702B"/>
    <w:rsid w:val="008D7B64"/>
    <w:rsid w:val="008D7D1D"/>
    <w:rsid w:val="008D7D92"/>
    <w:rsid w:val="008E04CB"/>
    <w:rsid w:val="008E0C77"/>
    <w:rsid w:val="008E0EF2"/>
    <w:rsid w:val="008E18B0"/>
    <w:rsid w:val="008E286B"/>
    <w:rsid w:val="008E28BE"/>
    <w:rsid w:val="008E2BAD"/>
    <w:rsid w:val="008E402E"/>
    <w:rsid w:val="008E4282"/>
    <w:rsid w:val="008E44AB"/>
    <w:rsid w:val="008E4743"/>
    <w:rsid w:val="008E48B1"/>
    <w:rsid w:val="008E4F65"/>
    <w:rsid w:val="008E513A"/>
    <w:rsid w:val="008E541C"/>
    <w:rsid w:val="008E5A8B"/>
    <w:rsid w:val="008E5E8F"/>
    <w:rsid w:val="008E625F"/>
    <w:rsid w:val="008E6354"/>
    <w:rsid w:val="008E751E"/>
    <w:rsid w:val="008E7ADE"/>
    <w:rsid w:val="008E7BB2"/>
    <w:rsid w:val="008F02F8"/>
    <w:rsid w:val="008F0A0F"/>
    <w:rsid w:val="008F0C27"/>
    <w:rsid w:val="008F1137"/>
    <w:rsid w:val="008F1CB0"/>
    <w:rsid w:val="008F264D"/>
    <w:rsid w:val="008F28CF"/>
    <w:rsid w:val="008F342F"/>
    <w:rsid w:val="008F3781"/>
    <w:rsid w:val="008F39A3"/>
    <w:rsid w:val="008F3C23"/>
    <w:rsid w:val="008F40EA"/>
    <w:rsid w:val="008F43FF"/>
    <w:rsid w:val="008F529C"/>
    <w:rsid w:val="008F558E"/>
    <w:rsid w:val="008F5925"/>
    <w:rsid w:val="008F69F9"/>
    <w:rsid w:val="008F6B0A"/>
    <w:rsid w:val="008F6BE6"/>
    <w:rsid w:val="008F6CC7"/>
    <w:rsid w:val="008F7B03"/>
    <w:rsid w:val="00900C64"/>
    <w:rsid w:val="0090133F"/>
    <w:rsid w:val="0090139D"/>
    <w:rsid w:val="009016C3"/>
    <w:rsid w:val="00901A2B"/>
    <w:rsid w:val="00901F38"/>
    <w:rsid w:val="00903AA5"/>
    <w:rsid w:val="009044E7"/>
    <w:rsid w:val="00904576"/>
    <w:rsid w:val="00904CFA"/>
    <w:rsid w:val="00905227"/>
    <w:rsid w:val="00905CA3"/>
    <w:rsid w:val="00905F73"/>
    <w:rsid w:val="00906537"/>
    <w:rsid w:val="00906D0E"/>
    <w:rsid w:val="00906EB8"/>
    <w:rsid w:val="0090720C"/>
    <w:rsid w:val="0090727B"/>
    <w:rsid w:val="0090728A"/>
    <w:rsid w:val="009072EB"/>
    <w:rsid w:val="009074E1"/>
    <w:rsid w:val="009077D2"/>
    <w:rsid w:val="00910223"/>
    <w:rsid w:val="00910F29"/>
    <w:rsid w:val="009112F7"/>
    <w:rsid w:val="00911891"/>
    <w:rsid w:val="00911DE2"/>
    <w:rsid w:val="009122AF"/>
    <w:rsid w:val="009127BC"/>
    <w:rsid w:val="009128AB"/>
    <w:rsid w:val="00912D54"/>
    <w:rsid w:val="0091389F"/>
    <w:rsid w:val="00913937"/>
    <w:rsid w:val="00913A7F"/>
    <w:rsid w:val="00913ABA"/>
    <w:rsid w:val="00913D39"/>
    <w:rsid w:val="00913E6F"/>
    <w:rsid w:val="0091427A"/>
    <w:rsid w:val="0091462C"/>
    <w:rsid w:val="00914835"/>
    <w:rsid w:val="009162C6"/>
    <w:rsid w:val="00916EEF"/>
    <w:rsid w:val="00917182"/>
    <w:rsid w:val="009172F4"/>
    <w:rsid w:val="009174C0"/>
    <w:rsid w:val="009175DB"/>
    <w:rsid w:val="00920315"/>
    <w:rsid w:val="00920373"/>
    <w:rsid w:val="009205D2"/>
    <w:rsid w:val="0092070D"/>
    <w:rsid w:val="0092075D"/>
    <w:rsid w:val="009208F7"/>
    <w:rsid w:val="00920C3D"/>
    <w:rsid w:val="00920E7A"/>
    <w:rsid w:val="0092115B"/>
    <w:rsid w:val="00921A58"/>
    <w:rsid w:val="00921D7E"/>
    <w:rsid w:val="00921FFA"/>
    <w:rsid w:val="0092206D"/>
    <w:rsid w:val="009223EE"/>
    <w:rsid w:val="00922517"/>
    <w:rsid w:val="00922564"/>
    <w:rsid w:val="00922722"/>
    <w:rsid w:val="00922769"/>
    <w:rsid w:val="00922CC1"/>
    <w:rsid w:val="0092406C"/>
    <w:rsid w:val="00924095"/>
    <w:rsid w:val="00925646"/>
    <w:rsid w:val="00925F12"/>
    <w:rsid w:val="009261E6"/>
    <w:rsid w:val="009265DA"/>
    <w:rsid w:val="009266DA"/>
    <w:rsid w:val="00926707"/>
    <w:rsid w:val="009268C0"/>
    <w:rsid w:val="009268E1"/>
    <w:rsid w:val="00926AFF"/>
    <w:rsid w:val="00926E43"/>
    <w:rsid w:val="00926F5B"/>
    <w:rsid w:val="00927D41"/>
    <w:rsid w:val="00930F35"/>
    <w:rsid w:val="00931907"/>
    <w:rsid w:val="00931FFD"/>
    <w:rsid w:val="00932507"/>
    <w:rsid w:val="0093258E"/>
    <w:rsid w:val="009327FE"/>
    <w:rsid w:val="00932EFF"/>
    <w:rsid w:val="00932FD4"/>
    <w:rsid w:val="00933A7A"/>
    <w:rsid w:val="00933EEC"/>
    <w:rsid w:val="00934368"/>
    <w:rsid w:val="00934405"/>
    <w:rsid w:val="009349B9"/>
    <w:rsid w:val="0093652A"/>
    <w:rsid w:val="0093675E"/>
    <w:rsid w:val="00936B57"/>
    <w:rsid w:val="009376B0"/>
    <w:rsid w:val="00940887"/>
    <w:rsid w:val="009408BE"/>
    <w:rsid w:val="00940E52"/>
    <w:rsid w:val="00941568"/>
    <w:rsid w:val="0094198D"/>
    <w:rsid w:val="00941AE1"/>
    <w:rsid w:val="00942444"/>
    <w:rsid w:val="00942F17"/>
    <w:rsid w:val="009432BF"/>
    <w:rsid w:val="009439FE"/>
    <w:rsid w:val="00944589"/>
    <w:rsid w:val="00944708"/>
    <w:rsid w:val="00945574"/>
    <w:rsid w:val="0094588E"/>
    <w:rsid w:val="00945C78"/>
    <w:rsid w:val="00945D9C"/>
    <w:rsid w:val="00945E7F"/>
    <w:rsid w:val="009464E9"/>
    <w:rsid w:val="0094657D"/>
    <w:rsid w:val="00946CEB"/>
    <w:rsid w:val="00946EBA"/>
    <w:rsid w:val="0094766E"/>
    <w:rsid w:val="00947897"/>
    <w:rsid w:val="009478C4"/>
    <w:rsid w:val="009479A0"/>
    <w:rsid w:val="00947E7C"/>
    <w:rsid w:val="009504DF"/>
    <w:rsid w:val="00951733"/>
    <w:rsid w:val="00952031"/>
    <w:rsid w:val="009522FD"/>
    <w:rsid w:val="00952FCA"/>
    <w:rsid w:val="00953202"/>
    <w:rsid w:val="00954233"/>
    <w:rsid w:val="009543B1"/>
    <w:rsid w:val="009544A2"/>
    <w:rsid w:val="00954513"/>
    <w:rsid w:val="00954582"/>
    <w:rsid w:val="00954930"/>
    <w:rsid w:val="00954CCE"/>
    <w:rsid w:val="009557C1"/>
    <w:rsid w:val="0095656A"/>
    <w:rsid w:val="009569E5"/>
    <w:rsid w:val="00956DE0"/>
    <w:rsid w:val="009573D3"/>
    <w:rsid w:val="009578C1"/>
    <w:rsid w:val="0096070E"/>
    <w:rsid w:val="00960D6E"/>
    <w:rsid w:val="009615AB"/>
    <w:rsid w:val="00961666"/>
    <w:rsid w:val="00961C46"/>
    <w:rsid w:val="009625F2"/>
    <w:rsid w:val="00962651"/>
    <w:rsid w:val="009628D0"/>
    <w:rsid w:val="00962D2F"/>
    <w:rsid w:val="00962FCE"/>
    <w:rsid w:val="009640FF"/>
    <w:rsid w:val="00964C68"/>
    <w:rsid w:val="00965A49"/>
    <w:rsid w:val="00965C19"/>
    <w:rsid w:val="00965E15"/>
    <w:rsid w:val="00965E46"/>
    <w:rsid w:val="00966071"/>
    <w:rsid w:val="009660A3"/>
    <w:rsid w:val="0096654F"/>
    <w:rsid w:val="009669C3"/>
    <w:rsid w:val="00966A99"/>
    <w:rsid w:val="00966BA6"/>
    <w:rsid w:val="00966DE9"/>
    <w:rsid w:val="0096749A"/>
    <w:rsid w:val="009677BE"/>
    <w:rsid w:val="00967BC2"/>
    <w:rsid w:val="00967BFD"/>
    <w:rsid w:val="00967C02"/>
    <w:rsid w:val="00967F9C"/>
    <w:rsid w:val="009710B9"/>
    <w:rsid w:val="00971222"/>
    <w:rsid w:val="009717E7"/>
    <w:rsid w:val="00971E4B"/>
    <w:rsid w:val="00972396"/>
    <w:rsid w:val="00972751"/>
    <w:rsid w:val="00972B18"/>
    <w:rsid w:val="00972BC1"/>
    <w:rsid w:val="00973474"/>
    <w:rsid w:val="00973BCD"/>
    <w:rsid w:val="00973FCF"/>
    <w:rsid w:val="009748F8"/>
    <w:rsid w:val="00974B59"/>
    <w:rsid w:val="0097535A"/>
    <w:rsid w:val="00975441"/>
    <w:rsid w:val="00975955"/>
    <w:rsid w:val="00976C6F"/>
    <w:rsid w:val="00977C55"/>
    <w:rsid w:val="00977C58"/>
    <w:rsid w:val="00977DEB"/>
    <w:rsid w:val="00977EF0"/>
    <w:rsid w:val="0098019D"/>
    <w:rsid w:val="00980D60"/>
    <w:rsid w:val="00981376"/>
    <w:rsid w:val="009817BD"/>
    <w:rsid w:val="009818CC"/>
    <w:rsid w:val="00981E06"/>
    <w:rsid w:val="009821F1"/>
    <w:rsid w:val="0098340B"/>
    <w:rsid w:val="00983855"/>
    <w:rsid w:val="00983E7C"/>
    <w:rsid w:val="00984611"/>
    <w:rsid w:val="0098570F"/>
    <w:rsid w:val="009866A8"/>
    <w:rsid w:val="00986830"/>
    <w:rsid w:val="009870D0"/>
    <w:rsid w:val="00987D57"/>
    <w:rsid w:val="0099003D"/>
    <w:rsid w:val="00990C9D"/>
    <w:rsid w:val="00991427"/>
    <w:rsid w:val="009920A2"/>
    <w:rsid w:val="009921CB"/>
    <w:rsid w:val="00992285"/>
    <w:rsid w:val="009924C3"/>
    <w:rsid w:val="009925E5"/>
    <w:rsid w:val="00992880"/>
    <w:rsid w:val="00993102"/>
    <w:rsid w:val="0099357F"/>
    <w:rsid w:val="009936C4"/>
    <w:rsid w:val="00993767"/>
    <w:rsid w:val="00994524"/>
    <w:rsid w:val="00994FA2"/>
    <w:rsid w:val="00995045"/>
    <w:rsid w:val="00995C05"/>
    <w:rsid w:val="0099673D"/>
    <w:rsid w:val="00996769"/>
    <w:rsid w:val="00996E9F"/>
    <w:rsid w:val="00997B0B"/>
    <w:rsid w:val="009A03D7"/>
    <w:rsid w:val="009A0957"/>
    <w:rsid w:val="009A0B72"/>
    <w:rsid w:val="009A11E9"/>
    <w:rsid w:val="009A13D8"/>
    <w:rsid w:val="009A149A"/>
    <w:rsid w:val="009A15C0"/>
    <w:rsid w:val="009A1AA5"/>
    <w:rsid w:val="009A1C4F"/>
    <w:rsid w:val="009A204B"/>
    <w:rsid w:val="009A20C4"/>
    <w:rsid w:val="009A2459"/>
    <w:rsid w:val="009A3380"/>
    <w:rsid w:val="009A33A8"/>
    <w:rsid w:val="009A3451"/>
    <w:rsid w:val="009A3C1F"/>
    <w:rsid w:val="009A43B6"/>
    <w:rsid w:val="009A446C"/>
    <w:rsid w:val="009A4626"/>
    <w:rsid w:val="009A50AD"/>
    <w:rsid w:val="009A5295"/>
    <w:rsid w:val="009A53D8"/>
    <w:rsid w:val="009A557D"/>
    <w:rsid w:val="009A55CA"/>
    <w:rsid w:val="009A57C6"/>
    <w:rsid w:val="009A5CAC"/>
    <w:rsid w:val="009A638D"/>
    <w:rsid w:val="009A6391"/>
    <w:rsid w:val="009A6FD7"/>
    <w:rsid w:val="009B043F"/>
    <w:rsid w:val="009B0486"/>
    <w:rsid w:val="009B08AD"/>
    <w:rsid w:val="009B0D25"/>
    <w:rsid w:val="009B1079"/>
    <w:rsid w:val="009B18DD"/>
    <w:rsid w:val="009B1B23"/>
    <w:rsid w:val="009B2687"/>
    <w:rsid w:val="009B42BA"/>
    <w:rsid w:val="009B4321"/>
    <w:rsid w:val="009B4887"/>
    <w:rsid w:val="009B5426"/>
    <w:rsid w:val="009B5601"/>
    <w:rsid w:val="009B5FB6"/>
    <w:rsid w:val="009B63CA"/>
    <w:rsid w:val="009B7D23"/>
    <w:rsid w:val="009B7DFD"/>
    <w:rsid w:val="009C0182"/>
    <w:rsid w:val="009C0230"/>
    <w:rsid w:val="009C057C"/>
    <w:rsid w:val="009C063F"/>
    <w:rsid w:val="009C0B5B"/>
    <w:rsid w:val="009C1351"/>
    <w:rsid w:val="009C212A"/>
    <w:rsid w:val="009C2401"/>
    <w:rsid w:val="009C2C3A"/>
    <w:rsid w:val="009C32D4"/>
    <w:rsid w:val="009C403E"/>
    <w:rsid w:val="009C418E"/>
    <w:rsid w:val="009C4972"/>
    <w:rsid w:val="009C4A39"/>
    <w:rsid w:val="009C4BAD"/>
    <w:rsid w:val="009C4CDB"/>
    <w:rsid w:val="009C522C"/>
    <w:rsid w:val="009C5379"/>
    <w:rsid w:val="009C54D2"/>
    <w:rsid w:val="009C572A"/>
    <w:rsid w:val="009C5DBD"/>
    <w:rsid w:val="009C61E6"/>
    <w:rsid w:val="009C68BE"/>
    <w:rsid w:val="009C6F08"/>
    <w:rsid w:val="009C6F10"/>
    <w:rsid w:val="009C7761"/>
    <w:rsid w:val="009C7986"/>
    <w:rsid w:val="009C7EB8"/>
    <w:rsid w:val="009D0176"/>
    <w:rsid w:val="009D0809"/>
    <w:rsid w:val="009D122A"/>
    <w:rsid w:val="009D148F"/>
    <w:rsid w:val="009D2441"/>
    <w:rsid w:val="009D2D3D"/>
    <w:rsid w:val="009D3D70"/>
    <w:rsid w:val="009D3DA8"/>
    <w:rsid w:val="009D4898"/>
    <w:rsid w:val="009D49BC"/>
    <w:rsid w:val="009D4B81"/>
    <w:rsid w:val="009D589F"/>
    <w:rsid w:val="009D5A5A"/>
    <w:rsid w:val="009D61C4"/>
    <w:rsid w:val="009D6403"/>
    <w:rsid w:val="009D75C0"/>
    <w:rsid w:val="009D7992"/>
    <w:rsid w:val="009D7B39"/>
    <w:rsid w:val="009D7D15"/>
    <w:rsid w:val="009D7E53"/>
    <w:rsid w:val="009D7EAB"/>
    <w:rsid w:val="009E0DF0"/>
    <w:rsid w:val="009E12EF"/>
    <w:rsid w:val="009E1DEB"/>
    <w:rsid w:val="009E2766"/>
    <w:rsid w:val="009E3C05"/>
    <w:rsid w:val="009E3CA9"/>
    <w:rsid w:val="009E4D07"/>
    <w:rsid w:val="009E522F"/>
    <w:rsid w:val="009E56B9"/>
    <w:rsid w:val="009E5F58"/>
    <w:rsid w:val="009E63FF"/>
    <w:rsid w:val="009E693A"/>
    <w:rsid w:val="009E6F7E"/>
    <w:rsid w:val="009E6FBF"/>
    <w:rsid w:val="009E7352"/>
    <w:rsid w:val="009E7A57"/>
    <w:rsid w:val="009F0113"/>
    <w:rsid w:val="009F0145"/>
    <w:rsid w:val="009F0E49"/>
    <w:rsid w:val="009F12CF"/>
    <w:rsid w:val="009F1720"/>
    <w:rsid w:val="009F1F2F"/>
    <w:rsid w:val="009F21CA"/>
    <w:rsid w:val="009F24B7"/>
    <w:rsid w:val="009F2ECA"/>
    <w:rsid w:val="009F3330"/>
    <w:rsid w:val="009F36DE"/>
    <w:rsid w:val="009F3CB8"/>
    <w:rsid w:val="009F4533"/>
    <w:rsid w:val="009F496C"/>
    <w:rsid w:val="009F49B7"/>
    <w:rsid w:val="009F4C60"/>
    <w:rsid w:val="009F4DEE"/>
    <w:rsid w:val="009F4F57"/>
    <w:rsid w:val="009F4F6A"/>
    <w:rsid w:val="009F5492"/>
    <w:rsid w:val="009F69F8"/>
    <w:rsid w:val="009F7AA4"/>
    <w:rsid w:val="00A002E2"/>
    <w:rsid w:val="00A011C1"/>
    <w:rsid w:val="00A012C4"/>
    <w:rsid w:val="00A0184C"/>
    <w:rsid w:val="00A01918"/>
    <w:rsid w:val="00A019D7"/>
    <w:rsid w:val="00A01CCF"/>
    <w:rsid w:val="00A0238B"/>
    <w:rsid w:val="00A02A3B"/>
    <w:rsid w:val="00A02F89"/>
    <w:rsid w:val="00A0338F"/>
    <w:rsid w:val="00A03911"/>
    <w:rsid w:val="00A03ED4"/>
    <w:rsid w:val="00A03FA2"/>
    <w:rsid w:val="00A04084"/>
    <w:rsid w:val="00A042AD"/>
    <w:rsid w:val="00A04850"/>
    <w:rsid w:val="00A052F0"/>
    <w:rsid w:val="00A05519"/>
    <w:rsid w:val="00A056E7"/>
    <w:rsid w:val="00A05967"/>
    <w:rsid w:val="00A0694C"/>
    <w:rsid w:val="00A071D1"/>
    <w:rsid w:val="00A073A6"/>
    <w:rsid w:val="00A073FE"/>
    <w:rsid w:val="00A1011E"/>
    <w:rsid w:val="00A10745"/>
    <w:rsid w:val="00A1090C"/>
    <w:rsid w:val="00A10CD7"/>
    <w:rsid w:val="00A10D83"/>
    <w:rsid w:val="00A10EBB"/>
    <w:rsid w:val="00A10EFE"/>
    <w:rsid w:val="00A112AD"/>
    <w:rsid w:val="00A1142E"/>
    <w:rsid w:val="00A12A5F"/>
    <w:rsid w:val="00A1387A"/>
    <w:rsid w:val="00A1437A"/>
    <w:rsid w:val="00A1469A"/>
    <w:rsid w:val="00A14BC4"/>
    <w:rsid w:val="00A14E7D"/>
    <w:rsid w:val="00A150A5"/>
    <w:rsid w:val="00A169B7"/>
    <w:rsid w:val="00A16E36"/>
    <w:rsid w:val="00A176C7"/>
    <w:rsid w:val="00A200F5"/>
    <w:rsid w:val="00A2039A"/>
    <w:rsid w:val="00A20702"/>
    <w:rsid w:val="00A21237"/>
    <w:rsid w:val="00A21D77"/>
    <w:rsid w:val="00A22BA6"/>
    <w:rsid w:val="00A22D96"/>
    <w:rsid w:val="00A22F50"/>
    <w:rsid w:val="00A2351D"/>
    <w:rsid w:val="00A23590"/>
    <w:rsid w:val="00A23942"/>
    <w:rsid w:val="00A23962"/>
    <w:rsid w:val="00A239B3"/>
    <w:rsid w:val="00A246DC"/>
    <w:rsid w:val="00A247D7"/>
    <w:rsid w:val="00A24961"/>
    <w:rsid w:val="00A24B10"/>
    <w:rsid w:val="00A24EF1"/>
    <w:rsid w:val="00A25010"/>
    <w:rsid w:val="00A2550A"/>
    <w:rsid w:val="00A25A57"/>
    <w:rsid w:val="00A25F69"/>
    <w:rsid w:val="00A26C4A"/>
    <w:rsid w:val="00A27DD4"/>
    <w:rsid w:val="00A30014"/>
    <w:rsid w:val="00A30E9B"/>
    <w:rsid w:val="00A31032"/>
    <w:rsid w:val="00A32382"/>
    <w:rsid w:val="00A327D7"/>
    <w:rsid w:val="00A32B1B"/>
    <w:rsid w:val="00A33121"/>
    <w:rsid w:val="00A3355E"/>
    <w:rsid w:val="00A33DCC"/>
    <w:rsid w:val="00A34452"/>
    <w:rsid w:val="00A349F5"/>
    <w:rsid w:val="00A34EE1"/>
    <w:rsid w:val="00A35762"/>
    <w:rsid w:val="00A3641E"/>
    <w:rsid w:val="00A36924"/>
    <w:rsid w:val="00A36E29"/>
    <w:rsid w:val="00A36EF5"/>
    <w:rsid w:val="00A37D8B"/>
    <w:rsid w:val="00A4023B"/>
    <w:rsid w:val="00A406C0"/>
    <w:rsid w:val="00A4076C"/>
    <w:rsid w:val="00A40C27"/>
    <w:rsid w:val="00A40F1E"/>
    <w:rsid w:val="00A425F7"/>
    <w:rsid w:val="00A42696"/>
    <w:rsid w:val="00A428C3"/>
    <w:rsid w:val="00A43585"/>
    <w:rsid w:val="00A43896"/>
    <w:rsid w:val="00A442FE"/>
    <w:rsid w:val="00A4451D"/>
    <w:rsid w:val="00A44E44"/>
    <w:rsid w:val="00A4512D"/>
    <w:rsid w:val="00A452F5"/>
    <w:rsid w:val="00A4624F"/>
    <w:rsid w:val="00A469AF"/>
    <w:rsid w:val="00A46ECF"/>
    <w:rsid w:val="00A4783A"/>
    <w:rsid w:val="00A47A4A"/>
    <w:rsid w:val="00A47E71"/>
    <w:rsid w:val="00A50244"/>
    <w:rsid w:val="00A5087C"/>
    <w:rsid w:val="00A50C8D"/>
    <w:rsid w:val="00A52613"/>
    <w:rsid w:val="00A52D14"/>
    <w:rsid w:val="00A537AC"/>
    <w:rsid w:val="00A53986"/>
    <w:rsid w:val="00A5409C"/>
    <w:rsid w:val="00A540A1"/>
    <w:rsid w:val="00A546FF"/>
    <w:rsid w:val="00A548B8"/>
    <w:rsid w:val="00A5513C"/>
    <w:rsid w:val="00A55C7A"/>
    <w:rsid w:val="00A56F17"/>
    <w:rsid w:val="00A575AE"/>
    <w:rsid w:val="00A57A2C"/>
    <w:rsid w:val="00A57D68"/>
    <w:rsid w:val="00A57DB3"/>
    <w:rsid w:val="00A606FB"/>
    <w:rsid w:val="00A609F5"/>
    <w:rsid w:val="00A6102E"/>
    <w:rsid w:val="00A618BF"/>
    <w:rsid w:val="00A627D7"/>
    <w:rsid w:val="00A62895"/>
    <w:rsid w:val="00A6426B"/>
    <w:rsid w:val="00A64C2D"/>
    <w:rsid w:val="00A65140"/>
    <w:rsid w:val="00A656C7"/>
    <w:rsid w:val="00A65895"/>
    <w:rsid w:val="00A6680D"/>
    <w:rsid w:val="00A668ED"/>
    <w:rsid w:val="00A675B0"/>
    <w:rsid w:val="00A6776B"/>
    <w:rsid w:val="00A67938"/>
    <w:rsid w:val="00A70232"/>
    <w:rsid w:val="00A70290"/>
    <w:rsid w:val="00A7045E"/>
    <w:rsid w:val="00A705AF"/>
    <w:rsid w:val="00A70D39"/>
    <w:rsid w:val="00A71137"/>
    <w:rsid w:val="00A71390"/>
    <w:rsid w:val="00A71697"/>
    <w:rsid w:val="00A71929"/>
    <w:rsid w:val="00A71A02"/>
    <w:rsid w:val="00A71C20"/>
    <w:rsid w:val="00A71E21"/>
    <w:rsid w:val="00A72454"/>
    <w:rsid w:val="00A72D1A"/>
    <w:rsid w:val="00A73F09"/>
    <w:rsid w:val="00A741BF"/>
    <w:rsid w:val="00A74334"/>
    <w:rsid w:val="00A74345"/>
    <w:rsid w:val="00A74CB6"/>
    <w:rsid w:val="00A75320"/>
    <w:rsid w:val="00A7638F"/>
    <w:rsid w:val="00A76460"/>
    <w:rsid w:val="00A7658F"/>
    <w:rsid w:val="00A76D71"/>
    <w:rsid w:val="00A76DDF"/>
    <w:rsid w:val="00A77696"/>
    <w:rsid w:val="00A777C6"/>
    <w:rsid w:val="00A801CE"/>
    <w:rsid w:val="00A80289"/>
    <w:rsid w:val="00A80557"/>
    <w:rsid w:val="00A80AAC"/>
    <w:rsid w:val="00A80F38"/>
    <w:rsid w:val="00A81826"/>
    <w:rsid w:val="00A819BB"/>
    <w:rsid w:val="00A81D33"/>
    <w:rsid w:val="00A8241E"/>
    <w:rsid w:val="00A82750"/>
    <w:rsid w:val="00A828E1"/>
    <w:rsid w:val="00A8340B"/>
    <w:rsid w:val="00A838F1"/>
    <w:rsid w:val="00A83A3A"/>
    <w:rsid w:val="00A84269"/>
    <w:rsid w:val="00A84469"/>
    <w:rsid w:val="00A851CD"/>
    <w:rsid w:val="00A85583"/>
    <w:rsid w:val="00A85627"/>
    <w:rsid w:val="00A856BA"/>
    <w:rsid w:val="00A863FC"/>
    <w:rsid w:val="00A867E1"/>
    <w:rsid w:val="00A86D0E"/>
    <w:rsid w:val="00A86E33"/>
    <w:rsid w:val="00A8733B"/>
    <w:rsid w:val="00A878E9"/>
    <w:rsid w:val="00A87CDF"/>
    <w:rsid w:val="00A87F08"/>
    <w:rsid w:val="00A9025A"/>
    <w:rsid w:val="00A904DB"/>
    <w:rsid w:val="00A90880"/>
    <w:rsid w:val="00A909D0"/>
    <w:rsid w:val="00A91268"/>
    <w:rsid w:val="00A9191E"/>
    <w:rsid w:val="00A91EE1"/>
    <w:rsid w:val="00A925AB"/>
    <w:rsid w:val="00A92861"/>
    <w:rsid w:val="00A92A10"/>
    <w:rsid w:val="00A93083"/>
    <w:rsid w:val="00A930AE"/>
    <w:rsid w:val="00A933E5"/>
    <w:rsid w:val="00A946CA"/>
    <w:rsid w:val="00A9470E"/>
    <w:rsid w:val="00A9525B"/>
    <w:rsid w:val="00A95C76"/>
    <w:rsid w:val="00A962B3"/>
    <w:rsid w:val="00A9630B"/>
    <w:rsid w:val="00A963C0"/>
    <w:rsid w:val="00A96DBC"/>
    <w:rsid w:val="00A96E23"/>
    <w:rsid w:val="00A971DC"/>
    <w:rsid w:val="00AA01F1"/>
    <w:rsid w:val="00AA071B"/>
    <w:rsid w:val="00AA09F6"/>
    <w:rsid w:val="00AA0B9B"/>
    <w:rsid w:val="00AA110D"/>
    <w:rsid w:val="00AA12FB"/>
    <w:rsid w:val="00AA1308"/>
    <w:rsid w:val="00AA1917"/>
    <w:rsid w:val="00AA1A95"/>
    <w:rsid w:val="00AA260F"/>
    <w:rsid w:val="00AA304A"/>
    <w:rsid w:val="00AA3681"/>
    <w:rsid w:val="00AA37B1"/>
    <w:rsid w:val="00AA3A87"/>
    <w:rsid w:val="00AA3B05"/>
    <w:rsid w:val="00AA3D48"/>
    <w:rsid w:val="00AA59A6"/>
    <w:rsid w:val="00AA6554"/>
    <w:rsid w:val="00AA6D4D"/>
    <w:rsid w:val="00AA723B"/>
    <w:rsid w:val="00AA74EB"/>
    <w:rsid w:val="00AA77EB"/>
    <w:rsid w:val="00AB087D"/>
    <w:rsid w:val="00AB0E19"/>
    <w:rsid w:val="00AB0FF0"/>
    <w:rsid w:val="00AB184A"/>
    <w:rsid w:val="00AB1D6D"/>
    <w:rsid w:val="00AB1EE7"/>
    <w:rsid w:val="00AB220A"/>
    <w:rsid w:val="00AB23EA"/>
    <w:rsid w:val="00AB31F5"/>
    <w:rsid w:val="00AB3B30"/>
    <w:rsid w:val="00AB3FAA"/>
    <w:rsid w:val="00AB4B37"/>
    <w:rsid w:val="00AB4CB8"/>
    <w:rsid w:val="00AB573E"/>
    <w:rsid w:val="00AB5762"/>
    <w:rsid w:val="00AB5D3F"/>
    <w:rsid w:val="00AB66A3"/>
    <w:rsid w:val="00AB684F"/>
    <w:rsid w:val="00AB6A2D"/>
    <w:rsid w:val="00AB6E4D"/>
    <w:rsid w:val="00AB7AD3"/>
    <w:rsid w:val="00AB7E62"/>
    <w:rsid w:val="00AB7EE4"/>
    <w:rsid w:val="00AC03FF"/>
    <w:rsid w:val="00AC06C9"/>
    <w:rsid w:val="00AC0F15"/>
    <w:rsid w:val="00AC2133"/>
    <w:rsid w:val="00AC2679"/>
    <w:rsid w:val="00AC348E"/>
    <w:rsid w:val="00AC3C0A"/>
    <w:rsid w:val="00AC4225"/>
    <w:rsid w:val="00AC474F"/>
    <w:rsid w:val="00AC4AAB"/>
    <w:rsid w:val="00AC4BE4"/>
    <w:rsid w:val="00AC4F9D"/>
    <w:rsid w:val="00AC55D6"/>
    <w:rsid w:val="00AC58C0"/>
    <w:rsid w:val="00AC5DAB"/>
    <w:rsid w:val="00AC61CD"/>
    <w:rsid w:val="00AC6BF9"/>
    <w:rsid w:val="00AC799F"/>
    <w:rsid w:val="00AC79DA"/>
    <w:rsid w:val="00AC7A9B"/>
    <w:rsid w:val="00AD022F"/>
    <w:rsid w:val="00AD058E"/>
    <w:rsid w:val="00AD05E6"/>
    <w:rsid w:val="00AD0D3F"/>
    <w:rsid w:val="00AD10FC"/>
    <w:rsid w:val="00AD1613"/>
    <w:rsid w:val="00AD1C5A"/>
    <w:rsid w:val="00AD2E70"/>
    <w:rsid w:val="00AD3727"/>
    <w:rsid w:val="00AD3B1D"/>
    <w:rsid w:val="00AD3C1D"/>
    <w:rsid w:val="00AD3D5B"/>
    <w:rsid w:val="00AD4100"/>
    <w:rsid w:val="00AD45FA"/>
    <w:rsid w:val="00AD47E8"/>
    <w:rsid w:val="00AD4D22"/>
    <w:rsid w:val="00AD57C2"/>
    <w:rsid w:val="00AD61C0"/>
    <w:rsid w:val="00AD6697"/>
    <w:rsid w:val="00AD6952"/>
    <w:rsid w:val="00AD6C3A"/>
    <w:rsid w:val="00AD6DA3"/>
    <w:rsid w:val="00AD72D7"/>
    <w:rsid w:val="00AD75F5"/>
    <w:rsid w:val="00AD7FAA"/>
    <w:rsid w:val="00AE0022"/>
    <w:rsid w:val="00AE0732"/>
    <w:rsid w:val="00AE11CE"/>
    <w:rsid w:val="00AE12A0"/>
    <w:rsid w:val="00AE1528"/>
    <w:rsid w:val="00AE1D7D"/>
    <w:rsid w:val="00AE20F3"/>
    <w:rsid w:val="00AE2443"/>
    <w:rsid w:val="00AE250E"/>
    <w:rsid w:val="00AE2A8B"/>
    <w:rsid w:val="00AE2D5F"/>
    <w:rsid w:val="00AE3F64"/>
    <w:rsid w:val="00AE43F5"/>
    <w:rsid w:val="00AE4F98"/>
    <w:rsid w:val="00AE4FE4"/>
    <w:rsid w:val="00AE50AC"/>
    <w:rsid w:val="00AE557C"/>
    <w:rsid w:val="00AE5674"/>
    <w:rsid w:val="00AE573B"/>
    <w:rsid w:val="00AE5C9C"/>
    <w:rsid w:val="00AE69F8"/>
    <w:rsid w:val="00AF0424"/>
    <w:rsid w:val="00AF049A"/>
    <w:rsid w:val="00AF05AB"/>
    <w:rsid w:val="00AF08FF"/>
    <w:rsid w:val="00AF09B0"/>
    <w:rsid w:val="00AF115C"/>
    <w:rsid w:val="00AF14A5"/>
    <w:rsid w:val="00AF1BD0"/>
    <w:rsid w:val="00AF1DEA"/>
    <w:rsid w:val="00AF1EEA"/>
    <w:rsid w:val="00AF1EF3"/>
    <w:rsid w:val="00AF201C"/>
    <w:rsid w:val="00AF2268"/>
    <w:rsid w:val="00AF2524"/>
    <w:rsid w:val="00AF27A7"/>
    <w:rsid w:val="00AF2900"/>
    <w:rsid w:val="00AF2A7B"/>
    <w:rsid w:val="00AF3B85"/>
    <w:rsid w:val="00AF45BD"/>
    <w:rsid w:val="00AF47C2"/>
    <w:rsid w:val="00AF49A3"/>
    <w:rsid w:val="00AF4C06"/>
    <w:rsid w:val="00AF4C50"/>
    <w:rsid w:val="00AF4E11"/>
    <w:rsid w:val="00AF51E6"/>
    <w:rsid w:val="00AF5582"/>
    <w:rsid w:val="00AF595D"/>
    <w:rsid w:val="00AF5F1B"/>
    <w:rsid w:val="00AF627D"/>
    <w:rsid w:val="00AF6441"/>
    <w:rsid w:val="00AF64E3"/>
    <w:rsid w:val="00AF6900"/>
    <w:rsid w:val="00AF6C60"/>
    <w:rsid w:val="00AF7386"/>
    <w:rsid w:val="00AF7934"/>
    <w:rsid w:val="00AF7C94"/>
    <w:rsid w:val="00B004A4"/>
    <w:rsid w:val="00B00B81"/>
    <w:rsid w:val="00B012D3"/>
    <w:rsid w:val="00B012F9"/>
    <w:rsid w:val="00B01617"/>
    <w:rsid w:val="00B01BB1"/>
    <w:rsid w:val="00B01E45"/>
    <w:rsid w:val="00B0234F"/>
    <w:rsid w:val="00B02765"/>
    <w:rsid w:val="00B030ED"/>
    <w:rsid w:val="00B038FF"/>
    <w:rsid w:val="00B04101"/>
    <w:rsid w:val="00B0413C"/>
    <w:rsid w:val="00B04580"/>
    <w:rsid w:val="00B04B09"/>
    <w:rsid w:val="00B0529A"/>
    <w:rsid w:val="00B0554B"/>
    <w:rsid w:val="00B05710"/>
    <w:rsid w:val="00B06047"/>
    <w:rsid w:val="00B06359"/>
    <w:rsid w:val="00B0645D"/>
    <w:rsid w:val="00B0696C"/>
    <w:rsid w:val="00B06B2F"/>
    <w:rsid w:val="00B06FE1"/>
    <w:rsid w:val="00B079D9"/>
    <w:rsid w:val="00B104C9"/>
    <w:rsid w:val="00B10723"/>
    <w:rsid w:val="00B11387"/>
    <w:rsid w:val="00B12511"/>
    <w:rsid w:val="00B12719"/>
    <w:rsid w:val="00B13DEB"/>
    <w:rsid w:val="00B14482"/>
    <w:rsid w:val="00B14923"/>
    <w:rsid w:val="00B14929"/>
    <w:rsid w:val="00B14BFC"/>
    <w:rsid w:val="00B15190"/>
    <w:rsid w:val="00B15543"/>
    <w:rsid w:val="00B1566D"/>
    <w:rsid w:val="00B1597F"/>
    <w:rsid w:val="00B15C42"/>
    <w:rsid w:val="00B15D4A"/>
    <w:rsid w:val="00B15E0B"/>
    <w:rsid w:val="00B16078"/>
    <w:rsid w:val="00B1626B"/>
    <w:rsid w:val="00B165E9"/>
    <w:rsid w:val="00B16A51"/>
    <w:rsid w:val="00B173C3"/>
    <w:rsid w:val="00B174CE"/>
    <w:rsid w:val="00B1754D"/>
    <w:rsid w:val="00B178E3"/>
    <w:rsid w:val="00B17B4B"/>
    <w:rsid w:val="00B17C25"/>
    <w:rsid w:val="00B17D44"/>
    <w:rsid w:val="00B20278"/>
    <w:rsid w:val="00B2049F"/>
    <w:rsid w:val="00B20A17"/>
    <w:rsid w:val="00B20F8B"/>
    <w:rsid w:val="00B21D10"/>
    <w:rsid w:val="00B21FF4"/>
    <w:rsid w:val="00B22813"/>
    <w:rsid w:val="00B22C01"/>
    <w:rsid w:val="00B22FA4"/>
    <w:rsid w:val="00B2335C"/>
    <w:rsid w:val="00B236E0"/>
    <w:rsid w:val="00B2375E"/>
    <w:rsid w:val="00B238EC"/>
    <w:rsid w:val="00B248B8"/>
    <w:rsid w:val="00B24C46"/>
    <w:rsid w:val="00B25139"/>
    <w:rsid w:val="00B25440"/>
    <w:rsid w:val="00B25FF3"/>
    <w:rsid w:val="00B26101"/>
    <w:rsid w:val="00B261E8"/>
    <w:rsid w:val="00B26248"/>
    <w:rsid w:val="00B26522"/>
    <w:rsid w:val="00B2798B"/>
    <w:rsid w:val="00B3009B"/>
    <w:rsid w:val="00B30A54"/>
    <w:rsid w:val="00B30D4B"/>
    <w:rsid w:val="00B313AC"/>
    <w:rsid w:val="00B31C73"/>
    <w:rsid w:val="00B32222"/>
    <w:rsid w:val="00B330A1"/>
    <w:rsid w:val="00B33BD6"/>
    <w:rsid w:val="00B33BE9"/>
    <w:rsid w:val="00B34AD4"/>
    <w:rsid w:val="00B35962"/>
    <w:rsid w:val="00B35C4E"/>
    <w:rsid w:val="00B35F6C"/>
    <w:rsid w:val="00B3618D"/>
    <w:rsid w:val="00B36233"/>
    <w:rsid w:val="00B362B8"/>
    <w:rsid w:val="00B36344"/>
    <w:rsid w:val="00B366FA"/>
    <w:rsid w:val="00B36A9E"/>
    <w:rsid w:val="00B36E80"/>
    <w:rsid w:val="00B37DBD"/>
    <w:rsid w:val="00B4042D"/>
    <w:rsid w:val="00B405F2"/>
    <w:rsid w:val="00B41A78"/>
    <w:rsid w:val="00B42194"/>
    <w:rsid w:val="00B42333"/>
    <w:rsid w:val="00B424E6"/>
    <w:rsid w:val="00B4284E"/>
    <w:rsid w:val="00B42851"/>
    <w:rsid w:val="00B42BD6"/>
    <w:rsid w:val="00B42FA7"/>
    <w:rsid w:val="00B43639"/>
    <w:rsid w:val="00B43D6F"/>
    <w:rsid w:val="00B43DD6"/>
    <w:rsid w:val="00B43F1F"/>
    <w:rsid w:val="00B43F68"/>
    <w:rsid w:val="00B440AD"/>
    <w:rsid w:val="00B44565"/>
    <w:rsid w:val="00B44B53"/>
    <w:rsid w:val="00B4515B"/>
    <w:rsid w:val="00B45ABE"/>
    <w:rsid w:val="00B45AC7"/>
    <w:rsid w:val="00B45D27"/>
    <w:rsid w:val="00B45FFD"/>
    <w:rsid w:val="00B460EE"/>
    <w:rsid w:val="00B46307"/>
    <w:rsid w:val="00B46327"/>
    <w:rsid w:val="00B46A82"/>
    <w:rsid w:val="00B47397"/>
    <w:rsid w:val="00B47E8A"/>
    <w:rsid w:val="00B47F1E"/>
    <w:rsid w:val="00B50202"/>
    <w:rsid w:val="00B502EA"/>
    <w:rsid w:val="00B51A17"/>
    <w:rsid w:val="00B5214D"/>
    <w:rsid w:val="00B52728"/>
    <w:rsid w:val="00B527D4"/>
    <w:rsid w:val="00B529C5"/>
    <w:rsid w:val="00B534D2"/>
    <w:rsid w:val="00B536F2"/>
    <w:rsid w:val="00B5372F"/>
    <w:rsid w:val="00B5374E"/>
    <w:rsid w:val="00B55807"/>
    <w:rsid w:val="00B5598A"/>
    <w:rsid w:val="00B55A70"/>
    <w:rsid w:val="00B56083"/>
    <w:rsid w:val="00B5629B"/>
    <w:rsid w:val="00B57104"/>
    <w:rsid w:val="00B57750"/>
    <w:rsid w:val="00B57FEB"/>
    <w:rsid w:val="00B601EE"/>
    <w:rsid w:val="00B6042B"/>
    <w:rsid w:val="00B608E7"/>
    <w:rsid w:val="00B61129"/>
    <w:rsid w:val="00B611EC"/>
    <w:rsid w:val="00B61634"/>
    <w:rsid w:val="00B61AF3"/>
    <w:rsid w:val="00B61B37"/>
    <w:rsid w:val="00B61DF5"/>
    <w:rsid w:val="00B62E52"/>
    <w:rsid w:val="00B62E84"/>
    <w:rsid w:val="00B632F3"/>
    <w:rsid w:val="00B63B8F"/>
    <w:rsid w:val="00B63D70"/>
    <w:rsid w:val="00B64109"/>
    <w:rsid w:val="00B64797"/>
    <w:rsid w:val="00B649D7"/>
    <w:rsid w:val="00B64CFA"/>
    <w:rsid w:val="00B64D56"/>
    <w:rsid w:val="00B64ED2"/>
    <w:rsid w:val="00B653EB"/>
    <w:rsid w:val="00B66983"/>
    <w:rsid w:val="00B66BEA"/>
    <w:rsid w:val="00B66DCF"/>
    <w:rsid w:val="00B67E7F"/>
    <w:rsid w:val="00B705D6"/>
    <w:rsid w:val="00B705FD"/>
    <w:rsid w:val="00B70E2F"/>
    <w:rsid w:val="00B70EED"/>
    <w:rsid w:val="00B71130"/>
    <w:rsid w:val="00B720E3"/>
    <w:rsid w:val="00B7256A"/>
    <w:rsid w:val="00B72A80"/>
    <w:rsid w:val="00B72E9E"/>
    <w:rsid w:val="00B7303C"/>
    <w:rsid w:val="00B730ED"/>
    <w:rsid w:val="00B7341C"/>
    <w:rsid w:val="00B736D4"/>
    <w:rsid w:val="00B74386"/>
    <w:rsid w:val="00B74773"/>
    <w:rsid w:val="00B74B69"/>
    <w:rsid w:val="00B74E08"/>
    <w:rsid w:val="00B750FB"/>
    <w:rsid w:val="00B75249"/>
    <w:rsid w:val="00B75A04"/>
    <w:rsid w:val="00B75D61"/>
    <w:rsid w:val="00B7628A"/>
    <w:rsid w:val="00B7636C"/>
    <w:rsid w:val="00B7702B"/>
    <w:rsid w:val="00B800A7"/>
    <w:rsid w:val="00B80620"/>
    <w:rsid w:val="00B80818"/>
    <w:rsid w:val="00B80892"/>
    <w:rsid w:val="00B80BF2"/>
    <w:rsid w:val="00B81298"/>
    <w:rsid w:val="00B81859"/>
    <w:rsid w:val="00B8229E"/>
    <w:rsid w:val="00B82814"/>
    <w:rsid w:val="00B82DCE"/>
    <w:rsid w:val="00B8322C"/>
    <w:rsid w:val="00B837F7"/>
    <w:rsid w:val="00B839B2"/>
    <w:rsid w:val="00B8407A"/>
    <w:rsid w:val="00B84193"/>
    <w:rsid w:val="00B84376"/>
    <w:rsid w:val="00B843AF"/>
    <w:rsid w:val="00B84455"/>
    <w:rsid w:val="00B846D8"/>
    <w:rsid w:val="00B85242"/>
    <w:rsid w:val="00B85528"/>
    <w:rsid w:val="00B858E8"/>
    <w:rsid w:val="00B8635A"/>
    <w:rsid w:val="00B86859"/>
    <w:rsid w:val="00B87517"/>
    <w:rsid w:val="00B87988"/>
    <w:rsid w:val="00B9028F"/>
    <w:rsid w:val="00B91B07"/>
    <w:rsid w:val="00B91CC0"/>
    <w:rsid w:val="00B933B8"/>
    <w:rsid w:val="00B93595"/>
    <w:rsid w:val="00B939BF"/>
    <w:rsid w:val="00B9400F"/>
    <w:rsid w:val="00B94252"/>
    <w:rsid w:val="00B94942"/>
    <w:rsid w:val="00B94972"/>
    <w:rsid w:val="00B9522B"/>
    <w:rsid w:val="00B95449"/>
    <w:rsid w:val="00B95487"/>
    <w:rsid w:val="00B95904"/>
    <w:rsid w:val="00B95A2F"/>
    <w:rsid w:val="00B95D11"/>
    <w:rsid w:val="00B96007"/>
    <w:rsid w:val="00B96B4A"/>
    <w:rsid w:val="00B96D19"/>
    <w:rsid w:val="00B96E1C"/>
    <w:rsid w:val="00B9715A"/>
    <w:rsid w:val="00B975CD"/>
    <w:rsid w:val="00BA0ADC"/>
    <w:rsid w:val="00BA0D97"/>
    <w:rsid w:val="00BA104E"/>
    <w:rsid w:val="00BA14BE"/>
    <w:rsid w:val="00BA25EE"/>
    <w:rsid w:val="00BA2732"/>
    <w:rsid w:val="00BA275B"/>
    <w:rsid w:val="00BA293D"/>
    <w:rsid w:val="00BA29E1"/>
    <w:rsid w:val="00BA421F"/>
    <w:rsid w:val="00BA458E"/>
    <w:rsid w:val="00BA49BC"/>
    <w:rsid w:val="00BA56B7"/>
    <w:rsid w:val="00BA5854"/>
    <w:rsid w:val="00BA602B"/>
    <w:rsid w:val="00BA640D"/>
    <w:rsid w:val="00BA66CA"/>
    <w:rsid w:val="00BA7A1E"/>
    <w:rsid w:val="00BA7BDE"/>
    <w:rsid w:val="00BA7CA9"/>
    <w:rsid w:val="00BA7DF5"/>
    <w:rsid w:val="00BA7F48"/>
    <w:rsid w:val="00BB0466"/>
    <w:rsid w:val="00BB0722"/>
    <w:rsid w:val="00BB07F4"/>
    <w:rsid w:val="00BB1CB8"/>
    <w:rsid w:val="00BB282C"/>
    <w:rsid w:val="00BB2B41"/>
    <w:rsid w:val="00BB2F6C"/>
    <w:rsid w:val="00BB32EC"/>
    <w:rsid w:val="00BB3875"/>
    <w:rsid w:val="00BB3F3F"/>
    <w:rsid w:val="00BB3F57"/>
    <w:rsid w:val="00BB4476"/>
    <w:rsid w:val="00BB4F37"/>
    <w:rsid w:val="00BB50A9"/>
    <w:rsid w:val="00BB5798"/>
    <w:rsid w:val="00BB5860"/>
    <w:rsid w:val="00BB599B"/>
    <w:rsid w:val="00BB5BEF"/>
    <w:rsid w:val="00BB5DD4"/>
    <w:rsid w:val="00BB68A8"/>
    <w:rsid w:val="00BB6AAD"/>
    <w:rsid w:val="00BB7971"/>
    <w:rsid w:val="00BB7B9E"/>
    <w:rsid w:val="00BC07D4"/>
    <w:rsid w:val="00BC0A6B"/>
    <w:rsid w:val="00BC0DF8"/>
    <w:rsid w:val="00BC127F"/>
    <w:rsid w:val="00BC1B3A"/>
    <w:rsid w:val="00BC1D5B"/>
    <w:rsid w:val="00BC316F"/>
    <w:rsid w:val="00BC33F9"/>
    <w:rsid w:val="00BC3D6D"/>
    <w:rsid w:val="00BC478A"/>
    <w:rsid w:val="00BC4A19"/>
    <w:rsid w:val="00BC4E6D"/>
    <w:rsid w:val="00BC4F09"/>
    <w:rsid w:val="00BC50B6"/>
    <w:rsid w:val="00BC6ACD"/>
    <w:rsid w:val="00BC6C3C"/>
    <w:rsid w:val="00BC720E"/>
    <w:rsid w:val="00BC7C00"/>
    <w:rsid w:val="00BD0617"/>
    <w:rsid w:val="00BD09BF"/>
    <w:rsid w:val="00BD17C4"/>
    <w:rsid w:val="00BD1A8E"/>
    <w:rsid w:val="00BD20A3"/>
    <w:rsid w:val="00BD27D5"/>
    <w:rsid w:val="00BD2E5D"/>
    <w:rsid w:val="00BD2E9B"/>
    <w:rsid w:val="00BD3034"/>
    <w:rsid w:val="00BD34E9"/>
    <w:rsid w:val="00BD3B59"/>
    <w:rsid w:val="00BD46C0"/>
    <w:rsid w:val="00BD4725"/>
    <w:rsid w:val="00BD4A29"/>
    <w:rsid w:val="00BD4A98"/>
    <w:rsid w:val="00BD5DDB"/>
    <w:rsid w:val="00BD5F6B"/>
    <w:rsid w:val="00BD65C1"/>
    <w:rsid w:val="00BD6F4C"/>
    <w:rsid w:val="00BD6FB0"/>
    <w:rsid w:val="00BD7249"/>
    <w:rsid w:val="00BD77C0"/>
    <w:rsid w:val="00BD78BD"/>
    <w:rsid w:val="00BD7DE3"/>
    <w:rsid w:val="00BE06D2"/>
    <w:rsid w:val="00BE106E"/>
    <w:rsid w:val="00BE1400"/>
    <w:rsid w:val="00BE1451"/>
    <w:rsid w:val="00BE1470"/>
    <w:rsid w:val="00BE1542"/>
    <w:rsid w:val="00BE1BB2"/>
    <w:rsid w:val="00BE233D"/>
    <w:rsid w:val="00BE2525"/>
    <w:rsid w:val="00BE28FB"/>
    <w:rsid w:val="00BE2B67"/>
    <w:rsid w:val="00BE2B7F"/>
    <w:rsid w:val="00BE2B8F"/>
    <w:rsid w:val="00BE2F5D"/>
    <w:rsid w:val="00BE38A6"/>
    <w:rsid w:val="00BE3C85"/>
    <w:rsid w:val="00BE4BCD"/>
    <w:rsid w:val="00BE4F5E"/>
    <w:rsid w:val="00BE5922"/>
    <w:rsid w:val="00BE5D41"/>
    <w:rsid w:val="00BE5F82"/>
    <w:rsid w:val="00BE6D75"/>
    <w:rsid w:val="00BE7ACC"/>
    <w:rsid w:val="00BF140A"/>
    <w:rsid w:val="00BF1CC9"/>
    <w:rsid w:val="00BF21E1"/>
    <w:rsid w:val="00BF262F"/>
    <w:rsid w:val="00BF2998"/>
    <w:rsid w:val="00BF2A09"/>
    <w:rsid w:val="00BF2C5A"/>
    <w:rsid w:val="00BF35DD"/>
    <w:rsid w:val="00BF3607"/>
    <w:rsid w:val="00BF3744"/>
    <w:rsid w:val="00BF377E"/>
    <w:rsid w:val="00BF3BE3"/>
    <w:rsid w:val="00BF3D98"/>
    <w:rsid w:val="00BF4CEF"/>
    <w:rsid w:val="00BF5DA3"/>
    <w:rsid w:val="00BF5F6E"/>
    <w:rsid w:val="00BF640F"/>
    <w:rsid w:val="00BF686E"/>
    <w:rsid w:val="00BF709E"/>
    <w:rsid w:val="00BF75EC"/>
    <w:rsid w:val="00BF7AD7"/>
    <w:rsid w:val="00BF7ED1"/>
    <w:rsid w:val="00C00930"/>
    <w:rsid w:val="00C00AB5"/>
    <w:rsid w:val="00C01843"/>
    <w:rsid w:val="00C01C7F"/>
    <w:rsid w:val="00C01CBF"/>
    <w:rsid w:val="00C025A1"/>
    <w:rsid w:val="00C0414C"/>
    <w:rsid w:val="00C04493"/>
    <w:rsid w:val="00C049A3"/>
    <w:rsid w:val="00C04ED8"/>
    <w:rsid w:val="00C05205"/>
    <w:rsid w:val="00C053B2"/>
    <w:rsid w:val="00C060AD"/>
    <w:rsid w:val="00C0639A"/>
    <w:rsid w:val="00C0670D"/>
    <w:rsid w:val="00C068BE"/>
    <w:rsid w:val="00C06C1F"/>
    <w:rsid w:val="00C06FCD"/>
    <w:rsid w:val="00C07313"/>
    <w:rsid w:val="00C074DA"/>
    <w:rsid w:val="00C07791"/>
    <w:rsid w:val="00C107EF"/>
    <w:rsid w:val="00C10864"/>
    <w:rsid w:val="00C1099D"/>
    <w:rsid w:val="00C10F0D"/>
    <w:rsid w:val="00C10F12"/>
    <w:rsid w:val="00C11175"/>
    <w:rsid w:val="00C113BF"/>
    <w:rsid w:val="00C11415"/>
    <w:rsid w:val="00C11449"/>
    <w:rsid w:val="00C116AC"/>
    <w:rsid w:val="00C11D4F"/>
    <w:rsid w:val="00C11DF6"/>
    <w:rsid w:val="00C12026"/>
    <w:rsid w:val="00C12837"/>
    <w:rsid w:val="00C13396"/>
    <w:rsid w:val="00C13C56"/>
    <w:rsid w:val="00C144D3"/>
    <w:rsid w:val="00C14AC8"/>
    <w:rsid w:val="00C14E06"/>
    <w:rsid w:val="00C156D1"/>
    <w:rsid w:val="00C1584C"/>
    <w:rsid w:val="00C15A5B"/>
    <w:rsid w:val="00C15D8A"/>
    <w:rsid w:val="00C16621"/>
    <w:rsid w:val="00C167E4"/>
    <w:rsid w:val="00C179AC"/>
    <w:rsid w:val="00C17E73"/>
    <w:rsid w:val="00C17F8F"/>
    <w:rsid w:val="00C17FE7"/>
    <w:rsid w:val="00C20209"/>
    <w:rsid w:val="00C20B86"/>
    <w:rsid w:val="00C21537"/>
    <w:rsid w:val="00C2176E"/>
    <w:rsid w:val="00C21B4E"/>
    <w:rsid w:val="00C21FF2"/>
    <w:rsid w:val="00C2243B"/>
    <w:rsid w:val="00C229FB"/>
    <w:rsid w:val="00C22E7B"/>
    <w:rsid w:val="00C22EE3"/>
    <w:rsid w:val="00C23430"/>
    <w:rsid w:val="00C24875"/>
    <w:rsid w:val="00C25305"/>
    <w:rsid w:val="00C25805"/>
    <w:rsid w:val="00C2583B"/>
    <w:rsid w:val="00C26481"/>
    <w:rsid w:val="00C26FA1"/>
    <w:rsid w:val="00C27101"/>
    <w:rsid w:val="00C27885"/>
    <w:rsid w:val="00C279D6"/>
    <w:rsid w:val="00C27A68"/>
    <w:rsid w:val="00C27D67"/>
    <w:rsid w:val="00C27EE7"/>
    <w:rsid w:val="00C27F21"/>
    <w:rsid w:val="00C3010B"/>
    <w:rsid w:val="00C30A11"/>
    <w:rsid w:val="00C30B33"/>
    <w:rsid w:val="00C31591"/>
    <w:rsid w:val="00C31669"/>
    <w:rsid w:val="00C32704"/>
    <w:rsid w:val="00C329E0"/>
    <w:rsid w:val="00C32B48"/>
    <w:rsid w:val="00C33228"/>
    <w:rsid w:val="00C332DE"/>
    <w:rsid w:val="00C33F6F"/>
    <w:rsid w:val="00C3401A"/>
    <w:rsid w:val="00C34B9C"/>
    <w:rsid w:val="00C356C9"/>
    <w:rsid w:val="00C35ADE"/>
    <w:rsid w:val="00C35B73"/>
    <w:rsid w:val="00C365FE"/>
    <w:rsid w:val="00C402A8"/>
    <w:rsid w:val="00C41110"/>
    <w:rsid w:val="00C41C52"/>
    <w:rsid w:val="00C41C87"/>
    <w:rsid w:val="00C4259F"/>
    <w:rsid w:val="00C42A90"/>
    <w:rsid w:val="00C42C6E"/>
    <w:rsid w:val="00C4303F"/>
    <w:rsid w:val="00C43377"/>
    <w:rsid w:val="00C437D3"/>
    <w:rsid w:val="00C43A72"/>
    <w:rsid w:val="00C43B66"/>
    <w:rsid w:val="00C43D57"/>
    <w:rsid w:val="00C43E71"/>
    <w:rsid w:val="00C444CF"/>
    <w:rsid w:val="00C44BD4"/>
    <w:rsid w:val="00C44C77"/>
    <w:rsid w:val="00C4554E"/>
    <w:rsid w:val="00C4631F"/>
    <w:rsid w:val="00C46DF3"/>
    <w:rsid w:val="00C4761F"/>
    <w:rsid w:val="00C47A9C"/>
    <w:rsid w:val="00C5034C"/>
    <w:rsid w:val="00C506D8"/>
    <w:rsid w:val="00C50BE7"/>
    <w:rsid w:val="00C50E16"/>
    <w:rsid w:val="00C50E54"/>
    <w:rsid w:val="00C514E8"/>
    <w:rsid w:val="00C525E7"/>
    <w:rsid w:val="00C52920"/>
    <w:rsid w:val="00C54529"/>
    <w:rsid w:val="00C54669"/>
    <w:rsid w:val="00C54BA5"/>
    <w:rsid w:val="00C55048"/>
    <w:rsid w:val="00C55258"/>
    <w:rsid w:val="00C55523"/>
    <w:rsid w:val="00C55B04"/>
    <w:rsid w:val="00C55E67"/>
    <w:rsid w:val="00C56408"/>
    <w:rsid w:val="00C5647E"/>
    <w:rsid w:val="00C56C34"/>
    <w:rsid w:val="00C56D74"/>
    <w:rsid w:val="00C574F1"/>
    <w:rsid w:val="00C575E1"/>
    <w:rsid w:val="00C57CBF"/>
    <w:rsid w:val="00C57DD7"/>
    <w:rsid w:val="00C610BD"/>
    <w:rsid w:val="00C61514"/>
    <w:rsid w:val="00C62203"/>
    <w:rsid w:val="00C624EC"/>
    <w:rsid w:val="00C62577"/>
    <w:rsid w:val="00C6285C"/>
    <w:rsid w:val="00C63EAE"/>
    <w:rsid w:val="00C65047"/>
    <w:rsid w:val="00C650E8"/>
    <w:rsid w:val="00C650EB"/>
    <w:rsid w:val="00C6525B"/>
    <w:rsid w:val="00C6588C"/>
    <w:rsid w:val="00C6635D"/>
    <w:rsid w:val="00C6648D"/>
    <w:rsid w:val="00C66940"/>
    <w:rsid w:val="00C67084"/>
    <w:rsid w:val="00C67253"/>
    <w:rsid w:val="00C6739A"/>
    <w:rsid w:val="00C673F0"/>
    <w:rsid w:val="00C70471"/>
    <w:rsid w:val="00C70984"/>
    <w:rsid w:val="00C70B1F"/>
    <w:rsid w:val="00C70E7E"/>
    <w:rsid w:val="00C719C6"/>
    <w:rsid w:val="00C71DB0"/>
    <w:rsid w:val="00C71E7E"/>
    <w:rsid w:val="00C721C8"/>
    <w:rsid w:val="00C72F5C"/>
    <w:rsid w:val="00C7311E"/>
    <w:rsid w:val="00C73261"/>
    <w:rsid w:val="00C733C1"/>
    <w:rsid w:val="00C73954"/>
    <w:rsid w:val="00C73FE9"/>
    <w:rsid w:val="00C74360"/>
    <w:rsid w:val="00C74D24"/>
    <w:rsid w:val="00C75227"/>
    <w:rsid w:val="00C755BC"/>
    <w:rsid w:val="00C75DBF"/>
    <w:rsid w:val="00C76089"/>
    <w:rsid w:val="00C76353"/>
    <w:rsid w:val="00C7645E"/>
    <w:rsid w:val="00C7699A"/>
    <w:rsid w:val="00C76E2D"/>
    <w:rsid w:val="00C76F7A"/>
    <w:rsid w:val="00C7768B"/>
    <w:rsid w:val="00C776BC"/>
    <w:rsid w:val="00C77D81"/>
    <w:rsid w:val="00C80860"/>
    <w:rsid w:val="00C809B1"/>
    <w:rsid w:val="00C80F24"/>
    <w:rsid w:val="00C814AE"/>
    <w:rsid w:val="00C81E8B"/>
    <w:rsid w:val="00C82EEB"/>
    <w:rsid w:val="00C82FD6"/>
    <w:rsid w:val="00C83451"/>
    <w:rsid w:val="00C8354D"/>
    <w:rsid w:val="00C8385E"/>
    <w:rsid w:val="00C8403F"/>
    <w:rsid w:val="00C8490E"/>
    <w:rsid w:val="00C84E53"/>
    <w:rsid w:val="00C8520E"/>
    <w:rsid w:val="00C8614E"/>
    <w:rsid w:val="00C86207"/>
    <w:rsid w:val="00C864CA"/>
    <w:rsid w:val="00C87C29"/>
    <w:rsid w:val="00C87D74"/>
    <w:rsid w:val="00C90203"/>
    <w:rsid w:val="00C9064F"/>
    <w:rsid w:val="00C90931"/>
    <w:rsid w:val="00C90AD2"/>
    <w:rsid w:val="00C91262"/>
    <w:rsid w:val="00C91674"/>
    <w:rsid w:val="00C91932"/>
    <w:rsid w:val="00C927A5"/>
    <w:rsid w:val="00C92BE1"/>
    <w:rsid w:val="00C92D6A"/>
    <w:rsid w:val="00C92E60"/>
    <w:rsid w:val="00C936C1"/>
    <w:rsid w:val="00C9426B"/>
    <w:rsid w:val="00C9511A"/>
    <w:rsid w:val="00C9546C"/>
    <w:rsid w:val="00C9582E"/>
    <w:rsid w:val="00C96EE7"/>
    <w:rsid w:val="00C971DC"/>
    <w:rsid w:val="00C97280"/>
    <w:rsid w:val="00CA01BD"/>
    <w:rsid w:val="00CA0B0D"/>
    <w:rsid w:val="00CA0D0A"/>
    <w:rsid w:val="00CA0E2D"/>
    <w:rsid w:val="00CA162D"/>
    <w:rsid w:val="00CA16B7"/>
    <w:rsid w:val="00CA1D9A"/>
    <w:rsid w:val="00CA1E85"/>
    <w:rsid w:val="00CA212A"/>
    <w:rsid w:val="00CA361E"/>
    <w:rsid w:val="00CA4BE3"/>
    <w:rsid w:val="00CA5689"/>
    <w:rsid w:val="00CA57E0"/>
    <w:rsid w:val="00CA59E1"/>
    <w:rsid w:val="00CA5B24"/>
    <w:rsid w:val="00CA5F5B"/>
    <w:rsid w:val="00CA62AE"/>
    <w:rsid w:val="00CA68DB"/>
    <w:rsid w:val="00CA72EE"/>
    <w:rsid w:val="00CA774A"/>
    <w:rsid w:val="00CA7BCE"/>
    <w:rsid w:val="00CA7C60"/>
    <w:rsid w:val="00CB0A1D"/>
    <w:rsid w:val="00CB0BC8"/>
    <w:rsid w:val="00CB0C47"/>
    <w:rsid w:val="00CB106D"/>
    <w:rsid w:val="00CB13E4"/>
    <w:rsid w:val="00CB18A6"/>
    <w:rsid w:val="00CB1A56"/>
    <w:rsid w:val="00CB1D35"/>
    <w:rsid w:val="00CB2486"/>
    <w:rsid w:val="00CB286E"/>
    <w:rsid w:val="00CB32D7"/>
    <w:rsid w:val="00CB378B"/>
    <w:rsid w:val="00CB3929"/>
    <w:rsid w:val="00CB3993"/>
    <w:rsid w:val="00CB524A"/>
    <w:rsid w:val="00CB5A25"/>
    <w:rsid w:val="00CB5B1A"/>
    <w:rsid w:val="00CB609D"/>
    <w:rsid w:val="00CB6134"/>
    <w:rsid w:val="00CB64C1"/>
    <w:rsid w:val="00CB6788"/>
    <w:rsid w:val="00CB6CDE"/>
    <w:rsid w:val="00CB6E30"/>
    <w:rsid w:val="00CB7659"/>
    <w:rsid w:val="00CB76B6"/>
    <w:rsid w:val="00CB7A09"/>
    <w:rsid w:val="00CB7CFD"/>
    <w:rsid w:val="00CC066E"/>
    <w:rsid w:val="00CC09BC"/>
    <w:rsid w:val="00CC0D81"/>
    <w:rsid w:val="00CC0F2B"/>
    <w:rsid w:val="00CC10FA"/>
    <w:rsid w:val="00CC1207"/>
    <w:rsid w:val="00CC14D7"/>
    <w:rsid w:val="00CC1DF2"/>
    <w:rsid w:val="00CC220B"/>
    <w:rsid w:val="00CC2BE2"/>
    <w:rsid w:val="00CC3245"/>
    <w:rsid w:val="00CC391C"/>
    <w:rsid w:val="00CC393F"/>
    <w:rsid w:val="00CC3BA5"/>
    <w:rsid w:val="00CC40FC"/>
    <w:rsid w:val="00CC4D02"/>
    <w:rsid w:val="00CC4F1D"/>
    <w:rsid w:val="00CC508C"/>
    <w:rsid w:val="00CC5C43"/>
    <w:rsid w:val="00CC606A"/>
    <w:rsid w:val="00CC6550"/>
    <w:rsid w:val="00CD02AE"/>
    <w:rsid w:val="00CD036C"/>
    <w:rsid w:val="00CD0A48"/>
    <w:rsid w:val="00CD138E"/>
    <w:rsid w:val="00CD15BF"/>
    <w:rsid w:val="00CD1E90"/>
    <w:rsid w:val="00CD202E"/>
    <w:rsid w:val="00CD2A4F"/>
    <w:rsid w:val="00CD33C5"/>
    <w:rsid w:val="00CD4823"/>
    <w:rsid w:val="00CD482E"/>
    <w:rsid w:val="00CD4BBC"/>
    <w:rsid w:val="00CD521E"/>
    <w:rsid w:val="00CD5300"/>
    <w:rsid w:val="00CD5390"/>
    <w:rsid w:val="00CD56F2"/>
    <w:rsid w:val="00CD5C3A"/>
    <w:rsid w:val="00CD5D3E"/>
    <w:rsid w:val="00CD6D86"/>
    <w:rsid w:val="00CD6F15"/>
    <w:rsid w:val="00CD7276"/>
    <w:rsid w:val="00CD72C2"/>
    <w:rsid w:val="00CD7AB6"/>
    <w:rsid w:val="00CE0124"/>
    <w:rsid w:val="00CE03CA"/>
    <w:rsid w:val="00CE0E06"/>
    <w:rsid w:val="00CE125F"/>
    <w:rsid w:val="00CE149B"/>
    <w:rsid w:val="00CE1BED"/>
    <w:rsid w:val="00CE1F69"/>
    <w:rsid w:val="00CE22F1"/>
    <w:rsid w:val="00CE27CD"/>
    <w:rsid w:val="00CE2C4C"/>
    <w:rsid w:val="00CE32F1"/>
    <w:rsid w:val="00CE3460"/>
    <w:rsid w:val="00CE40F5"/>
    <w:rsid w:val="00CE45FB"/>
    <w:rsid w:val="00CE4784"/>
    <w:rsid w:val="00CE4905"/>
    <w:rsid w:val="00CE4F30"/>
    <w:rsid w:val="00CE50F2"/>
    <w:rsid w:val="00CE60D3"/>
    <w:rsid w:val="00CE6502"/>
    <w:rsid w:val="00CE6FEA"/>
    <w:rsid w:val="00CE7208"/>
    <w:rsid w:val="00CE75BC"/>
    <w:rsid w:val="00CE76FD"/>
    <w:rsid w:val="00CF03EA"/>
    <w:rsid w:val="00CF05F1"/>
    <w:rsid w:val="00CF097D"/>
    <w:rsid w:val="00CF0A21"/>
    <w:rsid w:val="00CF0E2E"/>
    <w:rsid w:val="00CF1313"/>
    <w:rsid w:val="00CF1F3E"/>
    <w:rsid w:val="00CF26C1"/>
    <w:rsid w:val="00CF2C1D"/>
    <w:rsid w:val="00CF310D"/>
    <w:rsid w:val="00CF3159"/>
    <w:rsid w:val="00CF32A2"/>
    <w:rsid w:val="00CF32CE"/>
    <w:rsid w:val="00CF34C9"/>
    <w:rsid w:val="00CF351A"/>
    <w:rsid w:val="00CF41EA"/>
    <w:rsid w:val="00CF590B"/>
    <w:rsid w:val="00CF5A4A"/>
    <w:rsid w:val="00CF5AA4"/>
    <w:rsid w:val="00CF5B38"/>
    <w:rsid w:val="00CF5C86"/>
    <w:rsid w:val="00CF6488"/>
    <w:rsid w:val="00CF67D8"/>
    <w:rsid w:val="00CF7D3C"/>
    <w:rsid w:val="00D026FA"/>
    <w:rsid w:val="00D0295C"/>
    <w:rsid w:val="00D02AED"/>
    <w:rsid w:val="00D03161"/>
    <w:rsid w:val="00D0338A"/>
    <w:rsid w:val="00D03924"/>
    <w:rsid w:val="00D03933"/>
    <w:rsid w:val="00D03CB0"/>
    <w:rsid w:val="00D03E00"/>
    <w:rsid w:val="00D0404F"/>
    <w:rsid w:val="00D044DD"/>
    <w:rsid w:val="00D045DC"/>
    <w:rsid w:val="00D04B7F"/>
    <w:rsid w:val="00D04E08"/>
    <w:rsid w:val="00D0581B"/>
    <w:rsid w:val="00D05944"/>
    <w:rsid w:val="00D0636D"/>
    <w:rsid w:val="00D063FC"/>
    <w:rsid w:val="00D068EC"/>
    <w:rsid w:val="00D0690C"/>
    <w:rsid w:val="00D06B08"/>
    <w:rsid w:val="00D0751F"/>
    <w:rsid w:val="00D07584"/>
    <w:rsid w:val="00D077E5"/>
    <w:rsid w:val="00D10C57"/>
    <w:rsid w:val="00D114A2"/>
    <w:rsid w:val="00D117E0"/>
    <w:rsid w:val="00D11C24"/>
    <w:rsid w:val="00D11CAF"/>
    <w:rsid w:val="00D127D1"/>
    <w:rsid w:val="00D128A1"/>
    <w:rsid w:val="00D13614"/>
    <w:rsid w:val="00D13BD6"/>
    <w:rsid w:val="00D13F02"/>
    <w:rsid w:val="00D14104"/>
    <w:rsid w:val="00D1417B"/>
    <w:rsid w:val="00D141F7"/>
    <w:rsid w:val="00D1424D"/>
    <w:rsid w:val="00D147EB"/>
    <w:rsid w:val="00D14B8A"/>
    <w:rsid w:val="00D14CA4"/>
    <w:rsid w:val="00D14D69"/>
    <w:rsid w:val="00D156BC"/>
    <w:rsid w:val="00D159C3"/>
    <w:rsid w:val="00D15C03"/>
    <w:rsid w:val="00D15EA8"/>
    <w:rsid w:val="00D16137"/>
    <w:rsid w:val="00D165F4"/>
    <w:rsid w:val="00D168F9"/>
    <w:rsid w:val="00D16B3A"/>
    <w:rsid w:val="00D16F3D"/>
    <w:rsid w:val="00D17953"/>
    <w:rsid w:val="00D17A21"/>
    <w:rsid w:val="00D2071D"/>
    <w:rsid w:val="00D209AA"/>
    <w:rsid w:val="00D20B96"/>
    <w:rsid w:val="00D20F82"/>
    <w:rsid w:val="00D21748"/>
    <w:rsid w:val="00D220AE"/>
    <w:rsid w:val="00D22FB3"/>
    <w:rsid w:val="00D23964"/>
    <w:rsid w:val="00D25108"/>
    <w:rsid w:val="00D2589C"/>
    <w:rsid w:val="00D2646A"/>
    <w:rsid w:val="00D268B3"/>
    <w:rsid w:val="00D2697E"/>
    <w:rsid w:val="00D30B27"/>
    <w:rsid w:val="00D30DC6"/>
    <w:rsid w:val="00D30E41"/>
    <w:rsid w:val="00D31763"/>
    <w:rsid w:val="00D31A40"/>
    <w:rsid w:val="00D31C93"/>
    <w:rsid w:val="00D31FD9"/>
    <w:rsid w:val="00D32059"/>
    <w:rsid w:val="00D3266D"/>
    <w:rsid w:val="00D32770"/>
    <w:rsid w:val="00D32798"/>
    <w:rsid w:val="00D3295F"/>
    <w:rsid w:val="00D32BE9"/>
    <w:rsid w:val="00D32D4C"/>
    <w:rsid w:val="00D33C54"/>
    <w:rsid w:val="00D33ED3"/>
    <w:rsid w:val="00D34667"/>
    <w:rsid w:val="00D349B0"/>
    <w:rsid w:val="00D34CAA"/>
    <w:rsid w:val="00D34E75"/>
    <w:rsid w:val="00D3580B"/>
    <w:rsid w:val="00D35F31"/>
    <w:rsid w:val="00D36084"/>
    <w:rsid w:val="00D3611A"/>
    <w:rsid w:val="00D362E8"/>
    <w:rsid w:val="00D3650F"/>
    <w:rsid w:val="00D36724"/>
    <w:rsid w:val="00D373B1"/>
    <w:rsid w:val="00D374AC"/>
    <w:rsid w:val="00D377EC"/>
    <w:rsid w:val="00D37D5E"/>
    <w:rsid w:val="00D37DC5"/>
    <w:rsid w:val="00D37F63"/>
    <w:rsid w:val="00D401E1"/>
    <w:rsid w:val="00D408B4"/>
    <w:rsid w:val="00D408FB"/>
    <w:rsid w:val="00D40F85"/>
    <w:rsid w:val="00D41143"/>
    <w:rsid w:val="00D4161C"/>
    <w:rsid w:val="00D41642"/>
    <w:rsid w:val="00D421D7"/>
    <w:rsid w:val="00D42306"/>
    <w:rsid w:val="00D423B1"/>
    <w:rsid w:val="00D42771"/>
    <w:rsid w:val="00D43576"/>
    <w:rsid w:val="00D43806"/>
    <w:rsid w:val="00D43AB3"/>
    <w:rsid w:val="00D44388"/>
    <w:rsid w:val="00D4493A"/>
    <w:rsid w:val="00D45294"/>
    <w:rsid w:val="00D4592C"/>
    <w:rsid w:val="00D45D94"/>
    <w:rsid w:val="00D46733"/>
    <w:rsid w:val="00D46836"/>
    <w:rsid w:val="00D471ED"/>
    <w:rsid w:val="00D47435"/>
    <w:rsid w:val="00D47473"/>
    <w:rsid w:val="00D474F4"/>
    <w:rsid w:val="00D4750E"/>
    <w:rsid w:val="00D4753E"/>
    <w:rsid w:val="00D5027D"/>
    <w:rsid w:val="00D504A1"/>
    <w:rsid w:val="00D5140E"/>
    <w:rsid w:val="00D51507"/>
    <w:rsid w:val="00D51FCD"/>
    <w:rsid w:val="00D522F7"/>
    <w:rsid w:val="00D524C8"/>
    <w:rsid w:val="00D52857"/>
    <w:rsid w:val="00D528D1"/>
    <w:rsid w:val="00D52AFD"/>
    <w:rsid w:val="00D52C27"/>
    <w:rsid w:val="00D53DF1"/>
    <w:rsid w:val="00D5423C"/>
    <w:rsid w:val="00D542CE"/>
    <w:rsid w:val="00D547E4"/>
    <w:rsid w:val="00D54805"/>
    <w:rsid w:val="00D55EFE"/>
    <w:rsid w:val="00D564F2"/>
    <w:rsid w:val="00D56C9F"/>
    <w:rsid w:val="00D5704C"/>
    <w:rsid w:val="00D57050"/>
    <w:rsid w:val="00D5705A"/>
    <w:rsid w:val="00D5766F"/>
    <w:rsid w:val="00D5767C"/>
    <w:rsid w:val="00D57880"/>
    <w:rsid w:val="00D57C97"/>
    <w:rsid w:val="00D57CB8"/>
    <w:rsid w:val="00D6087A"/>
    <w:rsid w:val="00D60D42"/>
    <w:rsid w:val="00D60E25"/>
    <w:rsid w:val="00D624E6"/>
    <w:rsid w:val="00D63926"/>
    <w:rsid w:val="00D63B30"/>
    <w:rsid w:val="00D63B94"/>
    <w:rsid w:val="00D63BFA"/>
    <w:rsid w:val="00D648D8"/>
    <w:rsid w:val="00D64D36"/>
    <w:rsid w:val="00D65194"/>
    <w:rsid w:val="00D658A6"/>
    <w:rsid w:val="00D65ECD"/>
    <w:rsid w:val="00D66A03"/>
    <w:rsid w:val="00D66ED9"/>
    <w:rsid w:val="00D6750E"/>
    <w:rsid w:val="00D67921"/>
    <w:rsid w:val="00D67BA2"/>
    <w:rsid w:val="00D70E24"/>
    <w:rsid w:val="00D70FDE"/>
    <w:rsid w:val="00D7189F"/>
    <w:rsid w:val="00D71D51"/>
    <w:rsid w:val="00D722DB"/>
    <w:rsid w:val="00D72496"/>
    <w:rsid w:val="00D72559"/>
    <w:rsid w:val="00D72621"/>
    <w:rsid w:val="00D7270F"/>
    <w:rsid w:val="00D72827"/>
    <w:rsid w:val="00D7288A"/>
    <w:rsid w:val="00D728F0"/>
    <w:rsid w:val="00D72B61"/>
    <w:rsid w:val="00D72C41"/>
    <w:rsid w:val="00D73D49"/>
    <w:rsid w:val="00D73DCB"/>
    <w:rsid w:val="00D744CB"/>
    <w:rsid w:val="00D74691"/>
    <w:rsid w:val="00D75495"/>
    <w:rsid w:val="00D75BB4"/>
    <w:rsid w:val="00D75ED5"/>
    <w:rsid w:val="00D762E9"/>
    <w:rsid w:val="00D76E1F"/>
    <w:rsid w:val="00D773E6"/>
    <w:rsid w:val="00D77E4E"/>
    <w:rsid w:val="00D81458"/>
    <w:rsid w:val="00D81B51"/>
    <w:rsid w:val="00D81CB0"/>
    <w:rsid w:val="00D82AD2"/>
    <w:rsid w:val="00D83652"/>
    <w:rsid w:val="00D83669"/>
    <w:rsid w:val="00D83C04"/>
    <w:rsid w:val="00D83DF2"/>
    <w:rsid w:val="00D84404"/>
    <w:rsid w:val="00D8460F"/>
    <w:rsid w:val="00D84690"/>
    <w:rsid w:val="00D8469A"/>
    <w:rsid w:val="00D852D1"/>
    <w:rsid w:val="00D85555"/>
    <w:rsid w:val="00D85829"/>
    <w:rsid w:val="00D85A62"/>
    <w:rsid w:val="00D85A79"/>
    <w:rsid w:val="00D85BCB"/>
    <w:rsid w:val="00D862D8"/>
    <w:rsid w:val="00D864F7"/>
    <w:rsid w:val="00D865A8"/>
    <w:rsid w:val="00D868B7"/>
    <w:rsid w:val="00D8724E"/>
    <w:rsid w:val="00D87312"/>
    <w:rsid w:val="00D90CB7"/>
    <w:rsid w:val="00D91476"/>
    <w:rsid w:val="00D91CC3"/>
    <w:rsid w:val="00D92620"/>
    <w:rsid w:val="00D92C9B"/>
    <w:rsid w:val="00D92E98"/>
    <w:rsid w:val="00D94163"/>
    <w:rsid w:val="00D94275"/>
    <w:rsid w:val="00D9429C"/>
    <w:rsid w:val="00D952C2"/>
    <w:rsid w:val="00D95842"/>
    <w:rsid w:val="00D95B18"/>
    <w:rsid w:val="00D96BEF"/>
    <w:rsid w:val="00D96E91"/>
    <w:rsid w:val="00D976D0"/>
    <w:rsid w:val="00D97749"/>
    <w:rsid w:val="00D97BC5"/>
    <w:rsid w:val="00DA0141"/>
    <w:rsid w:val="00DA07FA"/>
    <w:rsid w:val="00DA0B47"/>
    <w:rsid w:val="00DA0E0F"/>
    <w:rsid w:val="00DA0F45"/>
    <w:rsid w:val="00DA114B"/>
    <w:rsid w:val="00DA1318"/>
    <w:rsid w:val="00DA201C"/>
    <w:rsid w:val="00DA208F"/>
    <w:rsid w:val="00DA25F3"/>
    <w:rsid w:val="00DA265D"/>
    <w:rsid w:val="00DA280F"/>
    <w:rsid w:val="00DA287C"/>
    <w:rsid w:val="00DA3D1D"/>
    <w:rsid w:val="00DA4400"/>
    <w:rsid w:val="00DA47EF"/>
    <w:rsid w:val="00DA5756"/>
    <w:rsid w:val="00DA6AED"/>
    <w:rsid w:val="00DA6C03"/>
    <w:rsid w:val="00DA6ECE"/>
    <w:rsid w:val="00DA7642"/>
    <w:rsid w:val="00DA793F"/>
    <w:rsid w:val="00DA7C04"/>
    <w:rsid w:val="00DB002E"/>
    <w:rsid w:val="00DB0106"/>
    <w:rsid w:val="00DB0138"/>
    <w:rsid w:val="00DB06FF"/>
    <w:rsid w:val="00DB0F99"/>
    <w:rsid w:val="00DB18D9"/>
    <w:rsid w:val="00DB1B39"/>
    <w:rsid w:val="00DB1EE9"/>
    <w:rsid w:val="00DB2FDB"/>
    <w:rsid w:val="00DB3042"/>
    <w:rsid w:val="00DB33C5"/>
    <w:rsid w:val="00DB3622"/>
    <w:rsid w:val="00DB378D"/>
    <w:rsid w:val="00DB3AA6"/>
    <w:rsid w:val="00DB3C78"/>
    <w:rsid w:val="00DB4C3E"/>
    <w:rsid w:val="00DB4E69"/>
    <w:rsid w:val="00DB5589"/>
    <w:rsid w:val="00DB5894"/>
    <w:rsid w:val="00DB5992"/>
    <w:rsid w:val="00DB5CF0"/>
    <w:rsid w:val="00DB6286"/>
    <w:rsid w:val="00DB645F"/>
    <w:rsid w:val="00DB7472"/>
    <w:rsid w:val="00DB74F2"/>
    <w:rsid w:val="00DB76E9"/>
    <w:rsid w:val="00DB7882"/>
    <w:rsid w:val="00DB78BF"/>
    <w:rsid w:val="00DC0A67"/>
    <w:rsid w:val="00DC0B85"/>
    <w:rsid w:val="00DC0C49"/>
    <w:rsid w:val="00DC15A3"/>
    <w:rsid w:val="00DC16F3"/>
    <w:rsid w:val="00DC193A"/>
    <w:rsid w:val="00DC1949"/>
    <w:rsid w:val="00DC1A31"/>
    <w:rsid w:val="00DC1D5E"/>
    <w:rsid w:val="00DC1F64"/>
    <w:rsid w:val="00DC20CF"/>
    <w:rsid w:val="00DC20F9"/>
    <w:rsid w:val="00DC2282"/>
    <w:rsid w:val="00DC2313"/>
    <w:rsid w:val="00DC25B1"/>
    <w:rsid w:val="00DC268B"/>
    <w:rsid w:val="00DC32F3"/>
    <w:rsid w:val="00DC40D1"/>
    <w:rsid w:val="00DC40DB"/>
    <w:rsid w:val="00DC4684"/>
    <w:rsid w:val="00DC492E"/>
    <w:rsid w:val="00DC4CA0"/>
    <w:rsid w:val="00DC5220"/>
    <w:rsid w:val="00DC52B4"/>
    <w:rsid w:val="00DC5448"/>
    <w:rsid w:val="00DC5508"/>
    <w:rsid w:val="00DC5550"/>
    <w:rsid w:val="00DC59C4"/>
    <w:rsid w:val="00DC5EB7"/>
    <w:rsid w:val="00DC608E"/>
    <w:rsid w:val="00DC675E"/>
    <w:rsid w:val="00DC694B"/>
    <w:rsid w:val="00DC6CB2"/>
    <w:rsid w:val="00DC6E3B"/>
    <w:rsid w:val="00DC7040"/>
    <w:rsid w:val="00DC7910"/>
    <w:rsid w:val="00DC7F86"/>
    <w:rsid w:val="00DD014E"/>
    <w:rsid w:val="00DD01FB"/>
    <w:rsid w:val="00DD05DC"/>
    <w:rsid w:val="00DD07EC"/>
    <w:rsid w:val="00DD0CA5"/>
    <w:rsid w:val="00DD170A"/>
    <w:rsid w:val="00DD2061"/>
    <w:rsid w:val="00DD2111"/>
    <w:rsid w:val="00DD2226"/>
    <w:rsid w:val="00DD29BB"/>
    <w:rsid w:val="00DD2B17"/>
    <w:rsid w:val="00DD2E64"/>
    <w:rsid w:val="00DD315A"/>
    <w:rsid w:val="00DD3EB2"/>
    <w:rsid w:val="00DD3F84"/>
    <w:rsid w:val="00DD46C5"/>
    <w:rsid w:val="00DD4BFD"/>
    <w:rsid w:val="00DD50B3"/>
    <w:rsid w:val="00DD63E7"/>
    <w:rsid w:val="00DD6802"/>
    <w:rsid w:val="00DD6859"/>
    <w:rsid w:val="00DD6906"/>
    <w:rsid w:val="00DD694E"/>
    <w:rsid w:val="00DD7188"/>
    <w:rsid w:val="00DD7A75"/>
    <w:rsid w:val="00DD7DAB"/>
    <w:rsid w:val="00DE04C5"/>
    <w:rsid w:val="00DE0689"/>
    <w:rsid w:val="00DE0E4F"/>
    <w:rsid w:val="00DE128B"/>
    <w:rsid w:val="00DE17E7"/>
    <w:rsid w:val="00DE1B5D"/>
    <w:rsid w:val="00DE1C36"/>
    <w:rsid w:val="00DE2470"/>
    <w:rsid w:val="00DE2803"/>
    <w:rsid w:val="00DE2918"/>
    <w:rsid w:val="00DE3355"/>
    <w:rsid w:val="00DE4911"/>
    <w:rsid w:val="00DE49BC"/>
    <w:rsid w:val="00DE4AB6"/>
    <w:rsid w:val="00DE4C79"/>
    <w:rsid w:val="00DE54AD"/>
    <w:rsid w:val="00DE59BC"/>
    <w:rsid w:val="00DE5CB4"/>
    <w:rsid w:val="00DE62FF"/>
    <w:rsid w:val="00DE6F26"/>
    <w:rsid w:val="00DE71D1"/>
    <w:rsid w:val="00DE78E5"/>
    <w:rsid w:val="00DF016E"/>
    <w:rsid w:val="00DF0433"/>
    <w:rsid w:val="00DF04A2"/>
    <w:rsid w:val="00DF071D"/>
    <w:rsid w:val="00DF0B47"/>
    <w:rsid w:val="00DF0BE5"/>
    <w:rsid w:val="00DF0C62"/>
    <w:rsid w:val="00DF0D5D"/>
    <w:rsid w:val="00DF10FD"/>
    <w:rsid w:val="00DF2278"/>
    <w:rsid w:val="00DF238B"/>
    <w:rsid w:val="00DF2611"/>
    <w:rsid w:val="00DF2E3A"/>
    <w:rsid w:val="00DF4731"/>
    <w:rsid w:val="00DF486F"/>
    <w:rsid w:val="00DF4F07"/>
    <w:rsid w:val="00DF4F94"/>
    <w:rsid w:val="00DF5047"/>
    <w:rsid w:val="00DF54E2"/>
    <w:rsid w:val="00DF5B5B"/>
    <w:rsid w:val="00DF63D6"/>
    <w:rsid w:val="00DF647C"/>
    <w:rsid w:val="00DF7619"/>
    <w:rsid w:val="00E005C5"/>
    <w:rsid w:val="00E00AE0"/>
    <w:rsid w:val="00E00BE7"/>
    <w:rsid w:val="00E00C9F"/>
    <w:rsid w:val="00E01A03"/>
    <w:rsid w:val="00E021CE"/>
    <w:rsid w:val="00E022FF"/>
    <w:rsid w:val="00E02919"/>
    <w:rsid w:val="00E02CD9"/>
    <w:rsid w:val="00E03931"/>
    <w:rsid w:val="00E039AB"/>
    <w:rsid w:val="00E039DE"/>
    <w:rsid w:val="00E03DA6"/>
    <w:rsid w:val="00E042D8"/>
    <w:rsid w:val="00E04B9A"/>
    <w:rsid w:val="00E04C41"/>
    <w:rsid w:val="00E04E8D"/>
    <w:rsid w:val="00E04FB4"/>
    <w:rsid w:val="00E057F0"/>
    <w:rsid w:val="00E05C01"/>
    <w:rsid w:val="00E06665"/>
    <w:rsid w:val="00E06F94"/>
    <w:rsid w:val="00E07273"/>
    <w:rsid w:val="00E077BB"/>
    <w:rsid w:val="00E078DE"/>
    <w:rsid w:val="00E07A0A"/>
    <w:rsid w:val="00E07B83"/>
    <w:rsid w:val="00E07EE7"/>
    <w:rsid w:val="00E10209"/>
    <w:rsid w:val="00E105E7"/>
    <w:rsid w:val="00E1103B"/>
    <w:rsid w:val="00E118A5"/>
    <w:rsid w:val="00E1196F"/>
    <w:rsid w:val="00E11A25"/>
    <w:rsid w:val="00E11F8C"/>
    <w:rsid w:val="00E1229D"/>
    <w:rsid w:val="00E127C8"/>
    <w:rsid w:val="00E12F04"/>
    <w:rsid w:val="00E136F1"/>
    <w:rsid w:val="00E137EF"/>
    <w:rsid w:val="00E13CC2"/>
    <w:rsid w:val="00E1457F"/>
    <w:rsid w:val="00E169D8"/>
    <w:rsid w:val="00E16B5C"/>
    <w:rsid w:val="00E173D6"/>
    <w:rsid w:val="00E17737"/>
    <w:rsid w:val="00E17B44"/>
    <w:rsid w:val="00E203B5"/>
    <w:rsid w:val="00E20E4A"/>
    <w:rsid w:val="00E2136B"/>
    <w:rsid w:val="00E214F9"/>
    <w:rsid w:val="00E21702"/>
    <w:rsid w:val="00E2179F"/>
    <w:rsid w:val="00E21853"/>
    <w:rsid w:val="00E21CDB"/>
    <w:rsid w:val="00E21FDF"/>
    <w:rsid w:val="00E22085"/>
    <w:rsid w:val="00E22ABB"/>
    <w:rsid w:val="00E22EF7"/>
    <w:rsid w:val="00E236AA"/>
    <w:rsid w:val="00E23751"/>
    <w:rsid w:val="00E23D35"/>
    <w:rsid w:val="00E24623"/>
    <w:rsid w:val="00E24B8F"/>
    <w:rsid w:val="00E24D25"/>
    <w:rsid w:val="00E253C5"/>
    <w:rsid w:val="00E258A6"/>
    <w:rsid w:val="00E26A49"/>
    <w:rsid w:val="00E26BF7"/>
    <w:rsid w:val="00E26E3D"/>
    <w:rsid w:val="00E26EAD"/>
    <w:rsid w:val="00E271C2"/>
    <w:rsid w:val="00E27912"/>
    <w:rsid w:val="00E27D61"/>
    <w:rsid w:val="00E27FEA"/>
    <w:rsid w:val="00E30BE0"/>
    <w:rsid w:val="00E31D73"/>
    <w:rsid w:val="00E324EF"/>
    <w:rsid w:val="00E32D10"/>
    <w:rsid w:val="00E33D89"/>
    <w:rsid w:val="00E34BFB"/>
    <w:rsid w:val="00E34D59"/>
    <w:rsid w:val="00E34E83"/>
    <w:rsid w:val="00E35627"/>
    <w:rsid w:val="00E35DCC"/>
    <w:rsid w:val="00E35F30"/>
    <w:rsid w:val="00E3701F"/>
    <w:rsid w:val="00E370DD"/>
    <w:rsid w:val="00E37152"/>
    <w:rsid w:val="00E37590"/>
    <w:rsid w:val="00E37922"/>
    <w:rsid w:val="00E37BD0"/>
    <w:rsid w:val="00E37E88"/>
    <w:rsid w:val="00E40142"/>
    <w:rsid w:val="00E4081C"/>
    <w:rsid w:val="00E4086F"/>
    <w:rsid w:val="00E410A3"/>
    <w:rsid w:val="00E411EE"/>
    <w:rsid w:val="00E42029"/>
    <w:rsid w:val="00E43208"/>
    <w:rsid w:val="00E434FC"/>
    <w:rsid w:val="00E43B3C"/>
    <w:rsid w:val="00E43BAF"/>
    <w:rsid w:val="00E45742"/>
    <w:rsid w:val="00E45C7D"/>
    <w:rsid w:val="00E45E3A"/>
    <w:rsid w:val="00E470D7"/>
    <w:rsid w:val="00E477B8"/>
    <w:rsid w:val="00E50188"/>
    <w:rsid w:val="00E50493"/>
    <w:rsid w:val="00E50857"/>
    <w:rsid w:val="00E50858"/>
    <w:rsid w:val="00E5094A"/>
    <w:rsid w:val="00E51465"/>
    <w:rsid w:val="00E515CB"/>
    <w:rsid w:val="00E517FD"/>
    <w:rsid w:val="00E52260"/>
    <w:rsid w:val="00E52756"/>
    <w:rsid w:val="00E52901"/>
    <w:rsid w:val="00E52C53"/>
    <w:rsid w:val="00E537B9"/>
    <w:rsid w:val="00E537CD"/>
    <w:rsid w:val="00E53B81"/>
    <w:rsid w:val="00E5410D"/>
    <w:rsid w:val="00E54454"/>
    <w:rsid w:val="00E55058"/>
    <w:rsid w:val="00E5531B"/>
    <w:rsid w:val="00E55CBA"/>
    <w:rsid w:val="00E55EBA"/>
    <w:rsid w:val="00E566A2"/>
    <w:rsid w:val="00E57968"/>
    <w:rsid w:val="00E5798A"/>
    <w:rsid w:val="00E57CF4"/>
    <w:rsid w:val="00E57F7A"/>
    <w:rsid w:val="00E600AB"/>
    <w:rsid w:val="00E6020B"/>
    <w:rsid w:val="00E60595"/>
    <w:rsid w:val="00E60702"/>
    <w:rsid w:val="00E61D43"/>
    <w:rsid w:val="00E622FB"/>
    <w:rsid w:val="00E62EF9"/>
    <w:rsid w:val="00E63510"/>
    <w:rsid w:val="00E636BA"/>
    <w:rsid w:val="00E639B6"/>
    <w:rsid w:val="00E63BD1"/>
    <w:rsid w:val="00E63F12"/>
    <w:rsid w:val="00E642FA"/>
    <w:rsid w:val="00E6434B"/>
    <w:rsid w:val="00E64548"/>
    <w:rsid w:val="00E6463D"/>
    <w:rsid w:val="00E647ED"/>
    <w:rsid w:val="00E64910"/>
    <w:rsid w:val="00E64A62"/>
    <w:rsid w:val="00E64AA7"/>
    <w:rsid w:val="00E64E89"/>
    <w:rsid w:val="00E65255"/>
    <w:rsid w:val="00E6527B"/>
    <w:rsid w:val="00E65E43"/>
    <w:rsid w:val="00E67BEF"/>
    <w:rsid w:val="00E67F5E"/>
    <w:rsid w:val="00E71417"/>
    <w:rsid w:val="00E71A36"/>
    <w:rsid w:val="00E71BB7"/>
    <w:rsid w:val="00E71EC5"/>
    <w:rsid w:val="00E72142"/>
    <w:rsid w:val="00E7218A"/>
    <w:rsid w:val="00E72196"/>
    <w:rsid w:val="00E721B1"/>
    <w:rsid w:val="00E72E9B"/>
    <w:rsid w:val="00E732F0"/>
    <w:rsid w:val="00E73773"/>
    <w:rsid w:val="00E73D9C"/>
    <w:rsid w:val="00E74BE4"/>
    <w:rsid w:val="00E75048"/>
    <w:rsid w:val="00E75268"/>
    <w:rsid w:val="00E758CB"/>
    <w:rsid w:val="00E75C60"/>
    <w:rsid w:val="00E765D3"/>
    <w:rsid w:val="00E76B36"/>
    <w:rsid w:val="00E77D5B"/>
    <w:rsid w:val="00E77E08"/>
    <w:rsid w:val="00E803E7"/>
    <w:rsid w:val="00E80461"/>
    <w:rsid w:val="00E809AF"/>
    <w:rsid w:val="00E80CE1"/>
    <w:rsid w:val="00E82075"/>
    <w:rsid w:val="00E8225F"/>
    <w:rsid w:val="00E824AE"/>
    <w:rsid w:val="00E82973"/>
    <w:rsid w:val="00E82CE6"/>
    <w:rsid w:val="00E830A1"/>
    <w:rsid w:val="00E83336"/>
    <w:rsid w:val="00E83B68"/>
    <w:rsid w:val="00E83F26"/>
    <w:rsid w:val="00E83FBE"/>
    <w:rsid w:val="00E843B7"/>
    <w:rsid w:val="00E844A8"/>
    <w:rsid w:val="00E8479B"/>
    <w:rsid w:val="00E849DA"/>
    <w:rsid w:val="00E84AA6"/>
    <w:rsid w:val="00E85301"/>
    <w:rsid w:val="00E85370"/>
    <w:rsid w:val="00E877AD"/>
    <w:rsid w:val="00E8A121"/>
    <w:rsid w:val="00E90154"/>
    <w:rsid w:val="00E908FC"/>
    <w:rsid w:val="00E91E17"/>
    <w:rsid w:val="00E921B8"/>
    <w:rsid w:val="00E92240"/>
    <w:rsid w:val="00E9229B"/>
    <w:rsid w:val="00E927AC"/>
    <w:rsid w:val="00E937F6"/>
    <w:rsid w:val="00E9408E"/>
    <w:rsid w:val="00E94147"/>
    <w:rsid w:val="00E94533"/>
    <w:rsid w:val="00E9462E"/>
    <w:rsid w:val="00E948D1"/>
    <w:rsid w:val="00E94B8C"/>
    <w:rsid w:val="00E94BFB"/>
    <w:rsid w:val="00E94D15"/>
    <w:rsid w:val="00E957D0"/>
    <w:rsid w:val="00E95A8D"/>
    <w:rsid w:val="00E96C95"/>
    <w:rsid w:val="00E97035"/>
    <w:rsid w:val="00E97194"/>
    <w:rsid w:val="00E97ACD"/>
    <w:rsid w:val="00EA0BC4"/>
    <w:rsid w:val="00EA1C74"/>
    <w:rsid w:val="00EA24AB"/>
    <w:rsid w:val="00EA254D"/>
    <w:rsid w:val="00EA2A46"/>
    <w:rsid w:val="00EA4536"/>
    <w:rsid w:val="00EA470E"/>
    <w:rsid w:val="00EA47A7"/>
    <w:rsid w:val="00EA47CE"/>
    <w:rsid w:val="00EA48FC"/>
    <w:rsid w:val="00EA4C2C"/>
    <w:rsid w:val="00EA4C8B"/>
    <w:rsid w:val="00EA4F96"/>
    <w:rsid w:val="00EA4FD8"/>
    <w:rsid w:val="00EA55D0"/>
    <w:rsid w:val="00EA57EB"/>
    <w:rsid w:val="00EA5AE7"/>
    <w:rsid w:val="00EA62C4"/>
    <w:rsid w:val="00EA6363"/>
    <w:rsid w:val="00EA6EA0"/>
    <w:rsid w:val="00EA7611"/>
    <w:rsid w:val="00EA76A1"/>
    <w:rsid w:val="00EB15AD"/>
    <w:rsid w:val="00EB21D1"/>
    <w:rsid w:val="00EB21DC"/>
    <w:rsid w:val="00EB22A3"/>
    <w:rsid w:val="00EB2467"/>
    <w:rsid w:val="00EB2A44"/>
    <w:rsid w:val="00EB3226"/>
    <w:rsid w:val="00EB3633"/>
    <w:rsid w:val="00EB3D85"/>
    <w:rsid w:val="00EB4186"/>
    <w:rsid w:val="00EB4900"/>
    <w:rsid w:val="00EB49E7"/>
    <w:rsid w:val="00EB555B"/>
    <w:rsid w:val="00EB5779"/>
    <w:rsid w:val="00EB5926"/>
    <w:rsid w:val="00EB5EBD"/>
    <w:rsid w:val="00EB643A"/>
    <w:rsid w:val="00EB66BF"/>
    <w:rsid w:val="00EB6C5B"/>
    <w:rsid w:val="00EB6D08"/>
    <w:rsid w:val="00EC12BE"/>
    <w:rsid w:val="00EC1652"/>
    <w:rsid w:val="00EC19D3"/>
    <w:rsid w:val="00EC213A"/>
    <w:rsid w:val="00EC280F"/>
    <w:rsid w:val="00EC29D8"/>
    <w:rsid w:val="00EC38E7"/>
    <w:rsid w:val="00EC4889"/>
    <w:rsid w:val="00EC4A51"/>
    <w:rsid w:val="00EC4C9D"/>
    <w:rsid w:val="00EC4DB6"/>
    <w:rsid w:val="00EC4DFD"/>
    <w:rsid w:val="00EC53D2"/>
    <w:rsid w:val="00EC5548"/>
    <w:rsid w:val="00EC61BC"/>
    <w:rsid w:val="00EC6220"/>
    <w:rsid w:val="00EC6603"/>
    <w:rsid w:val="00EC661B"/>
    <w:rsid w:val="00EC7744"/>
    <w:rsid w:val="00ED05C8"/>
    <w:rsid w:val="00ED0A13"/>
    <w:rsid w:val="00ED0A22"/>
    <w:rsid w:val="00ED0B17"/>
    <w:rsid w:val="00ED0DAD"/>
    <w:rsid w:val="00ED0F46"/>
    <w:rsid w:val="00ED1629"/>
    <w:rsid w:val="00ED2373"/>
    <w:rsid w:val="00ED313E"/>
    <w:rsid w:val="00ED3629"/>
    <w:rsid w:val="00ED3798"/>
    <w:rsid w:val="00ED4C09"/>
    <w:rsid w:val="00ED511B"/>
    <w:rsid w:val="00ED521D"/>
    <w:rsid w:val="00ED61FD"/>
    <w:rsid w:val="00ED66FE"/>
    <w:rsid w:val="00ED6BC0"/>
    <w:rsid w:val="00ED744B"/>
    <w:rsid w:val="00EE07FA"/>
    <w:rsid w:val="00EE0A68"/>
    <w:rsid w:val="00EE0B6D"/>
    <w:rsid w:val="00EE119D"/>
    <w:rsid w:val="00EE1396"/>
    <w:rsid w:val="00EE13B0"/>
    <w:rsid w:val="00EE2FB4"/>
    <w:rsid w:val="00EE30AB"/>
    <w:rsid w:val="00EE3E8A"/>
    <w:rsid w:val="00EE3F3C"/>
    <w:rsid w:val="00EE4497"/>
    <w:rsid w:val="00EE4676"/>
    <w:rsid w:val="00EE46DD"/>
    <w:rsid w:val="00EE4C6B"/>
    <w:rsid w:val="00EE5148"/>
    <w:rsid w:val="00EE61A1"/>
    <w:rsid w:val="00EE647C"/>
    <w:rsid w:val="00EE69FB"/>
    <w:rsid w:val="00EE6C81"/>
    <w:rsid w:val="00EE6CB2"/>
    <w:rsid w:val="00EE7445"/>
    <w:rsid w:val="00EE7650"/>
    <w:rsid w:val="00EE778A"/>
    <w:rsid w:val="00EE7F30"/>
    <w:rsid w:val="00EE7F39"/>
    <w:rsid w:val="00EF0736"/>
    <w:rsid w:val="00EF0D9E"/>
    <w:rsid w:val="00EF19E2"/>
    <w:rsid w:val="00EF1BB6"/>
    <w:rsid w:val="00EF2DDB"/>
    <w:rsid w:val="00EF32A2"/>
    <w:rsid w:val="00EF3C69"/>
    <w:rsid w:val="00EF3DE9"/>
    <w:rsid w:val="00EF3DEB"/>
    <w:rsid w:val="00EF55AB"/>
    <w:rsid w:val="00EF5A1C"/>
    <w:rsid w:val="00EF63DB"/>
    <w:rsid w:val="00EF6E46"/>
    <w:rsid w:val="00EF6EC6"/>
    <w:rsid w:val="00EF6ECA"/>
    <w:rsid w:val="00EF718D"/>
    <w:rsid w:val="00EF747B"/>
    <w:rsid w:val="00EF76CA"/>
    <w:rsid w:val="00F0041A"/>
    <w:rsid w:val="00F01CE5"/>
    <w:rsid w:val="00F01DFF"/>
    <w:rsid w:val="00F024E1"/>
    <w:rsid w:val="00F03691"/>
    <w:rsid w:val="00F036D5"/>
    <w:rsid w:val="00F039C4"/>
    <w:rsid w:val="00F049F6"/>
    <w:rsid w:val="00F05104"/>
    <w:rsid w:val="00F0516D"/>
    <w:rsid w:val="00F0522E"/>
    <w:rsid w:val="00F05263"/>
    <w:rsid w:val="00F053AE"/>
    <w:rsid w:val="00F056EB"/>
    <w:rsid w:val="00F059EB"/>
    <w:rsid w:val="00F05F18"/>
    <w:rsid w:val="00F068FE"/>
    <w:rsid w:val="00F06C10"/>
    <w:rsid w:val="00F071B1"/>
    <w:rsid w:val="00F0730B"/>
    <w:rsid w:val="00F0761B"/>
    <w:rsid w:val="00F077C6"/>
    <w:rsid w:val="00F07FAE"/>
    <w:rsid w:val="00F07FBD"/>
    <w:rsid w:val="00F102A2"/>
    <w:rsid w:val="00F1049E"/>
    <w:rsid w:val="00F10731"/>
    <w:rsid w:val="00F10801"/>
    <w:rsid w:val="00F1096F"/>
    <w:rsid w:val="00F10B56"/>
    <w:rsid w:val="00F10C86"/>
    <w:rsid w:val="00F11953"/>
    <w:rsid w:val="00F11962"/>
    <w:rsid w:val="00F1202D"/>
    <w:rsid w:val="00F12589"/>
    <w:rsid w:val="00F12595"/>
    <w:rsid w:val="00F12B14"/>
    <w:rsid w:val="00F13263"/>
    <w:rsid w:val="00F134D9"/>
    <w:rsid w:val="00F13676"/>
    <w:rsid w:val="00F137EF"/>
    <w:rsid w:val="00F1403D"/>
    <w:rsid w:val="00F143F9"/>
    <w:rsid w:val="00F144B3"/>
    <w:rsid w:val="00F1463F"/>
    <w:rsid w:val="00F14F3C"/>
    <w:rsid w:val="00F155E7"/>
    <w:rsid w:val="00F202EC"/>
    <w:rsid w:val="00F20A23"/>
    <w:rsid w:val="00F212B6"/>
    <w:rsid w:val="00F21302"/>
    <w:rsid w:val="00F21467"/>
    <w:rsid w:val="00F216F5"/>
    <w:rsid w:val="00F21B1B"/>
    <w:rsid w:val="00F220EA"/>
    <w:rsid w:val="00F2225D"/>
    <w:rsid w:val="00F22736"/>
    <w:rsid w:val="00F22798"/>
    <w:rsid w:val="00F22A9B"/>
    <w:rsid w:val="00F22C70"/>
    <w:rsid w:val="00F2377C"/>
    <w:rsid w:val="00F24771"/>
    <w:rsid w:val="00F24CA1"/>
    <w:rsid w:val="00F255A4"/>
    <w:rsid w:val="00F256AE"/>
    <w:rsid w:val="00F26844"/>
    <w:rsid w:val="00F26CBB"/>
    <w:rsid w:val="00F27DCE"/>
    <w:rsid w:val="00F3102F"/>
    <w:rsid w:val="00F3146B"/>
    <w:rsid w:val="00F3179E"/>
    <w:rsid w:val="00F321DE"/>
    <w:rsid w:val="00F3247A"/>
    <w:rsid w:val="00F329B5"/>
    <w:rsid w:val="00F32D09"/>
    <w:rsid w:val="00F33048"/>
    <w:rsid w:val="00F33167"/>
    <w:rsid w:val="00F33777"/>
    <w:rsid w:val="00F337EB"/>
    <w:rsid w:val="00F33C2A"/>
    <w:rsid w:val="00F34028"/>
    <w:rsid w:val="00F34466"/>
    <w:rsid w:val="00F3473E"/>
    <w:rsid w:val="00F354C5"/>
    <w:rsid w:val="00F35C0E"/>
    <w:rsid w:val="00F363DD"/>
    <w:rsid w:val="00F3797A"/>
    <w:rsid w:val="00F40031"/>
    <w:rsid w:val="00F40648"/>
    <w:rsid w:val="00F40745"/>
    <w:rsid w:val="00F40B64"/>
    <w:rsid w:val="00F40C36"/>
    <w:rsid w:val="00F414BA"/>
    <w:rsid w:val="00F41E70"/>
    <w:rsid w:val="00F42112"/>
    <w:rsid w:val="00F42346"/>
    <w:rsid w:val="00F42788"/>
    <w:rsid w:val="00F428DD"/>
    <w:rsid w:val="00F42BF0"/>
    <w:rsid w:val="00F42E04"/>
    <w:rsid w:val="00F42F8F"/>
    <w:rsid w:val="00F43AFE"/>
    <w:rsid w:val="00F447A3"/>
    <w:rsid w:val="00F4480F"/>
    <w:rsid w:val="00F451A7"/>
    <w:rsid w:val="00F454DB"/>
    <w:rsid w:val="00F455F3"/>
    <w:rsid w:val="00F45A04"/>
    <w:rsid w:val="00F464D6"/>
    <w:rsid w:val="00F46EB3"/>
    <w:rsid w:val="00F4705C"/>
    <w:rsid w:val="00F4773D"/>
    <w:rsid w:val="00F47A4A"/>
    <w:rsid w:val="00F47DA2"/>
    <w:rsid w:val="00F50B2A"/>
    <w:rsid w:val="00F513D5"/>
    <w:rsid w:val="00F51475"/>
    <w:rsid w:val="00F51623"/>
    <w:rsid w:val="00F519FC"/>
    <w:rsid w:val="00F524C2"/>
    <w:rsid w:val="00F52620"/>
    <w:rsid w:val="00F52AA2"/>
    <w:rsid w:val="00F53155"/>
    <w:rsid w:val="00F53BE2"/>
    <w:rsid w:val="00F53FB7"/>
    <w:rsid w:val="00F54007"/>
    <w:rsid w:val="00F543E0"/>
    <w:rsid w:val="00F5440A"/>
    <w:rsid w:val="00F5479B"/>
    <w:rsid w:val="00F5489B"/>
    <w:rsid w:val="00F55150"/>
    <w:rsid w:val="00F55290"/>
    <w:rsid w:val="00F55364"/>
    <w:rsid w:val="00F56E08"/>
    <w:rsid w:val="00F571D7"/>
    <w:rsid w:val="00F60336"/>
    <w:rsid w:val="00F60ECE"/>
    <w:rsid w:val="00F614C8"/>
    <w:rsid w:val="00F61513"/>
    <w:rsid w:val="00F6239D"/>
    <w:rsid w:val="00F62D7B"/>
    <w:rsid w:val="00F63A6E"/>
    <w:rsid w:val="00F63F30"/>
    <w:rsid w:val="00F645CF"/>
    <w:rsid w:val="00F64A67"/>
    <w:rsid w:val="00F64AEA"/>
    <w:rsid w:val="00F653C9"/>
    <w:rsid w:val="00F65450"/>
    <w:rsid w:val="00F65A9F"/>
    <w:rsid w:val="00F66331"/>
    <w:rsid w:val="00F6665A"/>
    <w:rsid w:val="00F6729A"/>
    <w:rsid w:val="00F7087C"/>
    <w:rsid w:val="00F71228"/>
    <w:rsid w:val="00F715D2"/>
    <w:rsid w:val="00F71877"/>
    <w:rsid w:val="00F71B8F"/>
    <w:rsid w:val="00F71D85"/>
    <w:rsid w:val="00F72025"/>
    <w:rsid w:val="00F7274F"/>
    <w:rsid w:val="00F7303D"/>
    <w:rsid w:val="00F73179"/>
    <w:rsid w:val="00F73292"/>
    <w:rsid w:val="00F73CB2"/>
    <w:rsid w:val="00F741AB"/>
    <w:rsid w:val="00F743A4"/>
    <w:rsid w:val="00F74410"/>
    <w:rsid w:val="00F74C2C"/>
    <w:rsid w:val="00F7568D"/>
    <w:rsid w:val="00F7679B"/>
    <w:rsid w:val="00F76F93"/>
    <w:rsid w:val="00F76FA8"/>
    <w:rsid w:val="00F77934"/>
    <w:rsid w:val="00F77C2F"/>
    <w:rsid w:val="00F8015D"/>
    <w:rsid w:val="00F802EF"/>
    <w:rsid w:val="00F80A09"/>
    <w:rsid w:val="00F80F92"/>
    <w:rsid w:val="00F8118A"/>
    <w:rsid w:val="00F81482"/>
    <w:rsid w:val="00F81DB6"/>
    <w:rsid w:val="00F82A62"/>
    <w:rsid w:val="00F83235"/>
    <w:rsid w:val="00F83294"/>
    <w:rsid w:val="00F8367C"/>
    <w:rsid w:val="00F836F9"/>
    <w:rsid w:val="00F83A22"/>
    <w:rsid w:val="00F84410"/>
    <w:rsid w:val="00F84FA6"/>
    <w:rsid w:val="00F85196"/>
    <w:rsid w:val="00F852F5"/>
    <w:rsid w:val="00F85426"/>
    <w:rsid w:val="00F854D1"/>
    <w:rsid w:val="00F85DA7"/>
    <w:rsid w:val="00F86192"/>
    <w:rsid w:val="00F86566"/>
    <w:rsid w:val="00F869AE"/>
    <w:rsid w:val="00F86C3A"/>
    <w:rsid w:val="00F87888"/>
    <w:rsid w:val="00F87E2F"/>
    <w:rsid w:val="00F90124"/>
    <w:rsid w:val="00F9091F"/>
    <w:rsid w:val="00F90E62"/>
    <w:rsid w:val="00F912F3"/>
    <w:rsid w:val="00F9163B"/>
    <w:rsid w:val="00F916C3"/>
    <w:rsid w:val="00F92BD7"/>
    <w:rsid w:val="00F92EFB"/>
    <w:rsid w:val="00F934FE"/>
    <w:rsid w:val="00F93F08"/>
    <w:rsid w:val="00F9416F"/>
    <w:rsid w:val="00F9475F"/>
    <w:rsid w:val="00F94BB1"/>
    <w:rsid w:val="00F94CED"/>
    <w:rsid w:val="00F95E28"/>
    <w:rsid w:val="00F960C0"/>
    <w:rsid w:val="00F961FF"/>
    <w:rsid w:val="00F96217"/>
    <w:rsid w:val="00F96984"/>
    <w:rsid w:val="00F970EA"/>
    <w:rsid w:val="00F9739B"/>
    <w:rsid w:val="00F9752A"/>
    <w:rsid w:val="00FA199E"/>
    <w:rsid w:val="00FA1AB7"/>
    <w:rsid w:val="00FA1E6D"/>
    <w:rsid w:val="00FA2163"/>
    <w:rsid w:val="00FA250A"/>
    <w:rsid w:val="00FA2AF0"/>
    <w:rsid w:val="00FA2CEE"/>
    <w:rsid w:val="00FA2DBB"/>
    <w:rsid w:val="00FA2E74"/>
    <w:rsid w:val="00FA2F1C"/>
    <w:rsid w:val="00FA318C"/>
    <w:rsid w:val="00FA33FE"/>
    <w:rsid w:val="00FA480F"/>
    <w:rsid w:val="00FA496A"/>
    <w:rsid w:val="00FA49DC"/>
    <w:rsid w:val="00FA4C79"/>
    <w:rsid w:val="00FA4F30"/>
    <w:rsid w:val="00FA5025"/>
    <w:rsid w:val="00FA50AA"/>
    <w:rsid w:val="00FA60DF"/>
    <w:rsid w:val="00FA6109"/>
    <w:rsid w:val="00FA6363"/>
    <w:rsid w:val="00FA6740"/>
    <w:rsid w:val="00FA6D08"/>
    <w:rsid w:val="00FA7A7F"/>
    <w:rsid w:val="00FA7D9A"/>
    <w:rsid w:val="00FB03B7"/>
    <w:rsid w:val="00FB0BBC"/>
    <w:rsid w:val="00FB0FC3"/>
    <w:rsid w:val="00FB17FB"/>
    <w:rsid w:val="00FB1E8A"/>
    <w:rsid w:val="00FB1E90"/>
    <w:rsid w:val="00FB221F"/>
    <w:rsid w:val="00FB238D"/>
    <w:rsid w:val="00FB24B0"/>
    <w:rsid w:val="00FB2BF3"/>
    <w:rsid w:val="00FB2F92"/>
    <w:rsid w:val="00FB3025"/>
    <w:rsid w:val="00FB312E"/>
    <w:rsid w:val="00FB377B"/>
    <w:rsid w:val="00FB44E7"/>
    <w:rsid w:val="00FB474F"/>
    <w:rsid w:val="00FB4B64"/>
    <w:rsid w:val="00FB4C16"/>
    <w:rsid w:val="00FB4D9F"/>
    <w:rsid w:val="00FB50BA"/>
    <w:rsid w:val="00FB5965"/>
    <w:rsid w:val="00FB5B2B"/>
    <w:rsid w:val="00FB608F"/>
    <w:rsid w:val="00FB6F92"/>
    <w:rsid w:val="00FB735F"/>
    <w:rsid w:val="00FB77F0"/>
    <w:rsid w:val="00FB7996"/>
    <w:rsid w:val="00FC0184"/>
    <w:rsid w:val="00FC026E"/>
    <w:rsid w:val="00FC11BD"/>
    <w:rsid w:val="00FC11FD"/>
    <w:rsid w:val="00FC1653"/>
    <w:rsid w:val="00FC1812"/>
    <w:rsid w:val="00FC1EC7"/>
    <w:rsid w:val="00FC2063"/>
    <w:rsid w:val="00FC2ECE"/>
    <w:rsid w:val="00FC3B18"/>
    <w:rsid w:val="00FC3E1E"/>
    <w:rsid w:val="00FC4FAF"/>
    <w:rsid w:val="00FC5124"/>
    <w:rsid w:val="00FC5381"/>
    <w:rsid w:val="00FC58F5"/>
    <w:rsid w:val="00FC5949"/>
    <w:rsid w:val="00FC6DEE"/>
    <w:rsid w:val="00FC71D1"/>
    <w:rsid w:val="00FC7DCC"/>
    <w:rsid w:val="00FD00FF"/>
    <w:rsid w:val="00FD058B"/>
    <w:rsid w:val="00FD1159"/>
    <w:rsid w:val="00FD1268"/>
    <w:rsid w:val="00FD154B"/>
    <w:rsid w:val="00FD1615"/>
    <w:rsid w:val="00FD16F8"/>
    <w:rsid w:val="00FD18E6"/>
    <w:rsid w:val="00FD1E77"/>
    <w:rsid w:val="00FD1EE5"/>
    <w:rsid w:val="00FD1F82"/>
    <w:rsid w:val="00FD2A59"/>
    <w:rsid w:val="00FD2AA4"/>
    <w:rsid w:val="00FD2E03"/>
    <w:rsid w:val="00FD37D4"/>
    <w:rsid w:val="00FD3846"/>
    <w:rsid w:val="00FD39FD"/>
    <w:rsid w:val="00FD3C83"/>
    <w:rsid w:val="00FD3FF4"/>
    <w:rsid w:val="00FD4096"/>
    <w:rsid w:val="00FD4731"/>
    <w:rsid w:val="00FD4F71"/>
    <w:rsid w:val="00FD4F84"/>
    <w:rsid w:val="00FD5926"/>
    <w:rsid w:val="00FD5A03"/>
    <w:rsid w:val="00FD65B6"/>
    <w:rsid w:val="00FD66C7"/>
    <w:rsid w:val="00FD7588"/>
    <w:rsid w:val="00FD7932"/>
    <w:rsid w:val="00FD793B"/>
    <w:rsid w:val="00FE05E3"/>
    <w:rsid w:val="00FE0EBE"/>
    <w:rsid w:val="00FE10A3"/>
    <w:rsid w:val="00FE135F"/>
    <w:rsid w:val="00FE185D"/>
    <w:rsid w:val="00FE22FB"/>
    <w:rsid w:val="00FE269C"/>
    <w:rsid w:val="00FE2987"/>
    <w:rsid w:val="00FE2ED8"/>
    <w:rsid w:val="00FE3108"/>
    <w:rsid w:val="00FE31FE"/>
    <w:rsid w:val="00FE346E"/>
    <w:rsid w:val="00FE40CF"/>
    <w:rsid w:val="00FE4403"/>
    <w:rsid w:val="00FE46AD"/>
    <w:rsid w:val="00FE5F5F"/>
    <w:rsid w:val="00FE63DA"/>
    <w:rsid w:val="00FE6A47"/>
    <w:rsid w:val="00FE6ADA"/>
    <w:rsid w:val="00FE6D42"/>
    <w:rsid w:val="00FE7DC7"/>
    <w:rsid w:val="00FE7DFB"/>
    <w:rsid w:val="00FF01CF"/>
    <w:rsid w:val="00FF0368"/>
    <w:rsid w:val="00FF0AB0"/>
    <w:rsid w:val="00FF12DF"/>
    <w:rsid w:val="00FF151A"/>
    <w:rsid w:val="00FF17E3"/>
    <w:rsid w:val="00FF1B08"/>
    <w:rsid w:val="00FF246F"/>
    <w:rsid w:val="00FF28AC"/>
    <w:rsid w:val="00FF2EEA"/>
    <w:rsid w:val="00FF2F6C"/>
    <w:rsid w:val="00FF3166"/>
    <w:rsid w:val="00FF43AB"/>
    <w:rsid w:val="00FF4833"/>
    <w:rsid w:val="00FF4E3F"/>
    <w:rsid w:val="00FF4E84"/>
    <w:rsid w:val="00FF6148"/>
    <w:rsid w:val="00FF64CE"/>
    <w:rsid w:val="00FF6550"/>
    <w:rsid w:val="00FF6750"/>
    <w:rsid w:val="00FF68E3"/>
    <w:rsid w:val="00FF6A7C"/>
    <w:rsid w:val="00FF77D3"/>
    <w:rsid w:val="00FF7877"/>
    <w:rsid w:val="00FF7C8C"/>
    <w:rsid w:val="00FF7DA5"/>
    <w:rsid w:val="00FF7F62"/>
    <w:rsid w:val="03399844"/>
    <w:rsid w:val="0362C0F8"/>
    <w:rsid w:val="03760EC7"/>
    <w:rsid w:val="037E03D0"/>
    <w:rsid w:val="049C2F69"/>
    <w:rsid w:val="0506200D"/>
    <w:rsid w:val="05662F06"/>
    <w:rsid w:val="05C982B4"/>
    <w:rsid w:val="06070643"/>
    <w:rsid w:val="06B08BBA"/>
    <w:rsid w:val="072B4159"/>
    <w:rsid w:val="07939639"/>
    <w:rsid w:val="08491F81"/>
    <w:rsid w:val="0887DB58"/>
    <w:rsid w:val="089F17A8"/>
    <w:rsid w:val="09040935"/>
    <w:rsid w:val="091E1206"/>
    <w:rsid w:val="098CA437"/>
    <w:rsid w:val="09ACD3E0"/>
    <w:rsid w:val="0A358010"/>
    <w:rsid w:val="0A931E27"/>
    <w:rsid w:val="0AA3E614"/>
    <w:rsid w:val="0ACB9723"/>
    <w:rsid w:val="0BC99233"/>
    <w:rsid w:val="0BE1B6B4"/>
    <w:rsid w:val="0E5DDF53"/>
    <w:rsid w:val="0E63CB76"/>
    <w:rsid w:val="0E791487"/>
    <w:rsid w:val="0E857ECC"/>
    <w:rsid w:val="0EC1462F"/>
    <w:rsid w:val="0F1E68CE"/>
    <w:rsid w:val="104D08CB"/>
    <w:rsid w:val="106F8582"/>
    <w:rsid w:val="1152869D"/>
    <w:rsid w:val="1167A82D"/>
    <w:rsid w:val="1278D4B6"/>
    <w:rsid w:val="1440B6F8"/>
    <w:rsid w:val="144F6DD6"/>
    <w:rsid w:val="1452BA27"/>
    <w:rsid w:val="14766CE8"/>
    <w:rsid w:val="156F241E"/>
    <w:rsid w:val="16414C4C"/>
    <w:rsid w:val="16BE1DE9"/>
    <w:rsid w:val="175984AD"/>
    <w:rsid w:val="183CA555"/>
    <w:rsid w:val="18DEAC65"/>
    <w:rsid w:val="1A6447C9"/>
    <w:rsid w:val="1C22CD9F"/>
    <w:rsid w:val="1C742DED"/>
    <w:rsid w:val="1DA52E38"/>
    <w:rsid w:val="1E1B676E"/>
    <w:rsid w:val="1E719F5F"/>
    <w:rsid w:val="1EB774CA"/>
    <w:rsid w:val="1ED38533"/>
    <w:rsid w:val="1FBC96A0"/>
    <w:rsid w:val="204CB336"/>
    <w:rsid w:val="216E8A9D"/>
    <w:rsid w:val="2206E15D"/>
    <w:rsid w:val="22F6728D"/>
    <w:rsid w:val="2390AF40"/>
    <w:rsid w:val="24633A67"/>
    <w:rsid w:val="258FBB98"/>
    <w:rsid w:val="261D3997"/>
    <w:rsid w:val="26267DD5"/>
    <w:rsid w:val="269E5208"/>
    <w:rsid w:val="2AC2273E"/>
    <w:rsid w:val="2B0C5EAB"/>
    <w:rsid w:val="2BE4A6B5"/>
    <w:rsid w:val="2C1B7A48"/>
    <w:rsid w:val="2E111CD4"/>
    <w:rsid w:val="2FFF64C0"/>
    <w:rsid w:val="30B15735"/>
    <w:rsid w:val="30E22591"/>
    <w:rsid w:val="3595A123"/>
    <w:rsid w:val="3595F862"/>
    <w:rsid w:val="35BD45FF"/>
    <w:rsid w:val="3796D72D"/>
    <w:rsid w:val="37AF2BDB"/>
    <w:rsid w:val="3A580018"/>
    <w:rsid w:val="3AF6033A"/>
    <w:rsid w:val="3B0A7A49"/>
    <w:rsid w:val="3B151957"/>
    <w:rsid w:val="3BF838C7"/>
    <w:rsid w:val="3C91A163"/>
    <w:rsid w:val="3D31D5A6"/>
    <w:rsid w:val="3E9FCF77"/>
    <w:rsid w:val="3EE9CCBD"/>
    <w:rsid w:val="3F2FCD80"/>
    <w:rsid w:val="401193ED"/>
    <w:rsid w:val="4025E865"/>
    <w:rsid w:val="40816A71"/>
    <w:rsid w:val="41306BC2"/>
    <w:rsid w:val="41580955"/>
    <w:rsid w:val="424F3677"/>
    <w:rsid w:val="42918562"/>
    <w:rsid w:val="43E3F833"/>
    <w:rsid w:val="4417FA02"/>
    <w:rsid w:val="44DEAF3D"/>
    <w:rsid w:val="45B78E75"/>
    <w:rsid w:val="48A64133"/>
    <w:rsid w:val="4A440A79"/>
    <w:rsid w:val="4A45E07D"/>
    <w:rsid w:val="4A7A8BE3"/>
    <w:rsid w:val="4AB7EA5A"/>
    <w:rsid w:val="4B8420C5"/>
    <w:rsid w:val="4C0D12A5"/>
    <w:rsid w:val="4C75BEDA"/>
    <w:rsid w:val="4D5990EB"/>
    <w:rsid w:val="4E8F1F79"/>
    <w:rsid w:val="4EBAFC9C"/>
    <w:rsid w:val="4ECA02D6"/>
    <w:rsid w:val="4F0B6E6D"/>
    <w:rsid w:val="4F14007F"/>
    <w:rsid w:val="4F352167"/>
    <w:rsid w:val="4FC25C25"/>
    <w:rsid w:val="4FC519B8"/>
    <w:rsid w:val="506F201A"/>
    <w:rsid w:val="51A86824"/>
    <w:rsid w:val="52DF26DF"/>
    <w:rsid w:val="52E44F72"/>
    <w:rsid w:val="55054939"/>
    <w:rsid w:val="551E9AD7"/>
    <w:rsid w:val="55982CBC"/>
    <w:rsid w:val="55C9CA8F"/>
    <w:rsid w:val="56BDB6C1"/>
    <w:rsid w:val="57E9D4B4"/>
    <w:rsid w:val="5826C7BF"/>
    <w:rsid w:val="589DABEB"/>
    <w:rsid w:val="59750BDC"/>
    <w:rsid w:val="5AA51721"/>
    <w:rsid w:val="5B739B9C"/>
    <w:rsid w:val="5D57622E"/>
    <w:rsid w:val="5D5A5A08"/>
    <w:rsid w:val="5E36085C"/>
    <w:rsid w:val="5ED1A487"/>
    <w:rsid w:val="5F5EF491"/>
    <w:rsid w:val="5FFBAB3A"/>
    <w:rsid w:val="60697AEA"/>
    <w:rsid w:val="613DFCEE"/>
    <w:rsid w:val="61882748"/>
    <w:rsid w:val="61CD98A4"/>
    <w:rsid w:val="6236FC62"/>
    <w:rsid w:val="62667AA7"/>
    <w:rsid w:val="62C66AF8"/>
    <w:rsid w:val="62F318CC"/>
    <w:rsid w:val="636B30E8"/>
    <w:rsid w:val="640CCAC2"/>
    <w:rsid w:val="6489FC0B"/>
    <w:rsid w:val="64E7B2AD"/>
    <w:rsid w:val="65B3DFBE"/>
    <w:rsid w:val="667D1A47"/>
    <w:rsid w:val="66CB3E55"/>
    <w:rsid w:val="6884957A"/>
    <w:rsid w:val="68BED74C"/>
    <w:rsid w:val="68CC1B37"/>
    <w:rsid w:val="6905B085"/>
    <w:rsid w:val="69EE2545"/>
    <w:rsid w:val="6C33F6FD"/>
    <w:rsid w:val="6D3A4004"/>
    <w:rsid w:val="6D58602F"/>
    <w:rsid w:val="6D7A439D"/>
    <w:rsid w:val="6DE7A1F4"/>
    <w:rsid w:val="6F10BCA2"/>
    <w:rsid w:val="6F6177EA"/>
    <w:rsid w:val="6FB2A204"/>
    <w:rsid w:val="6FBA3082"/>
    <w:rsid w:val="6FD7FD0D"/>
    <w:rsid w:val="706E0815"/>
    <w:rsid w:val="70BFFF4A"/>
    <w:rsid w:val="722EDBAC"/>
    <w:rsid w:val="72325D39"/>
    <w:rsid w:val="72E1A1A8"/>
    <w:rsid w:val="73696EAD"/>
    <w:rsid w:val="7391E332"/>
    <w:rsid w:val="77309B1B"/>
    <w:rsid w:val="775F6807"/>
    <w:rsid w:val="7794D121"/>
    <w:rsid w:val="78D1AF7E"/>
    <w:rsid w:val="79B0024F"/>
    <w:rsid w:val="79F673A7"/>
    <w:rsid w:val="7B66B31C"/>
    <w:rsid w:val="7B9E8AE7"/>
    <w:rsid w:val="7D26D712"/>
    <w:rsid w:val="7D4C00C7"/>
    <w:rsid w:val="7E15C169"/>
    <w:rsid w:val="7E542001"/>
    <w:rsid w:val="7E65BF60"/>
    <w:rsid w:val="7ED5282A"/>
    <w:rsid w:val="7F04A65B"/>
    <w:rsid w:val="7F50889A"/>
    <w:rsid w:val="7FCA759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B96F5D"/>
  <w15:docId w15:val="{6250E31E-4D45-4228-BF5D-B0ACD8CA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837E6"/>
    <w:pPr>
      <w:spacing w:before="120" w:after="120" w:line="276" w:lineRule="auto"/>
    </w:pPr>
    <w:rPr>
      <w:rFonts w:ascii="Arial" w:hAnsi="Arial"/>
      <w:color w:val="1E1545" w:themeColor="text1"/>
      <w:sz w:val="24"/>
      <w:szCs w:val="24"/>
      <w:lang w:eastAsia="en-US"/>
    </w:rPr>
  </w:style>
  <w:style w:type="paragraph" w:styleId="Heading1">
    <w:name w:val="heading 1"/>
    <w:next w:val="Normal"/>
    <w:qFormat/>
    <w:rsid w:val="00271D9E"/>
    <w:pPr>
      <w:keepNext/>
      <w:numPr>
        <w:numId w:val="57"/>
      </w:numPr>
      <w:spacing w:before="600" w:after="240"/>
      <w:ind w:left="993" w:hanging="993"/>
      <w:outlineLvl w:val="0"/>
    </w:pPr>
    <w:rPr>
      <w:rFonts w:ascii="Arial" w:hAnsi="Arial" w:cs="Arial"/>
      <w:b/>
      <w:bCs/>
      <w:color w:val="1E1545" w:themeColor="text1"/>
      <w:kern w:val="28"/>
      <w:sz w:val="60"/>
      <w:szCs w:val="36"/>
      <w:lang w:eastAsia="en-US"/>
    </w:rPr>
  </w:style>
  <w:style w:type="paragraph" w:styleId="Heading2">
    <w:name w:val="heading 2"/>
    <w:next w:val="Normal"/>
    <w:link w:val="Heading2Char"/>
    <w:qFormat/>
    <w:rsid w:val="00271D9E"/>
    <w:pPr>
      <w:keepNext/>
      <w:numPr>
        <w:ilvl w:val="1"/>
        <w:numId w:val="57"/>
      </w:numPr>
      <w:spacing w:before="360" w:after="240"/>
      <w:ind w:left="851" w:hanging="851"/>
      <w:outlineLvl w:val="1"/>
    </w:pPr>
    <w:rPr>
      <w:rFonts w:ascii="Arial" w:hAnsi="Arial" w:cs="Arial"/>
      <w:b/>
      <w:bCs/>
      <w:iCs/>
      <w:color w:val="1E1545" w:themeColor="text1"/>
      <w:sz w:val="36"/>
      <w:szCs w:val="28"/>
      <w:lang w:eastAsia="en-US"/>
    </w:rPr>
  </w:style>
  <w:style w:type="paragraph" w:styleId="Heading3">
    <w:name w:val="heading 3"/>
    <w:next w:val="Normal"/>
    <w:link w:val="Heading3Char"/>
    <w:qFormat/>
    <w:rsid w:val="00D471ED"/>
    <w:pPr>
      <w:keepNext/>
      <w:numPr>
        <w:ilvl w:val="2"/>
        <w:numId w:val="57"/>
      </w:numPr>
      <w:spacing w:before="240" w:after="120"/>
      <w:ind w:left="851" w:hanging="851"/>
      <w:outlineLvl w:val="2"/>
    </w:pPr>
    <w:rPr>
      <w:rFonts w:ascii="Arial" w:hAnsi="Arial" w:cs="Arial"/>
      <w:b/>
      <w:bCs/>
      <w:color w:val="2AB1BB" w:themeColor="accent1"/>
      <w:sz w:val="24"/>
      <w:szCs w:val="22"/>
      <w:lang w:eastAsia="en-US"/>
    </w:rPr>
  </w:style>
  <w:style w:type="paragraph" w:styleId="Heading4">
    <w:name w:val="heading 4"/>
    <w:next w:val="Normal"/>
    <w:link w:val="Heading4Char"/>
    <w:qFormat/>
    <w:rsid w:val="00E169D8"/>
    <w:pPr>
      <w:keepNext/>
      <w:numPr>
        <w:ilvl w:val="3"/>
        <w:numId w:val="57"/>
      </w:numPr>
      <w:spacing w:before="240" w:after="60"/>
      <w:outlineLvl w:val="3"/>
    </w:pPr>
    <w:rPr>
      <w:rFonts w:ascii="Arial" w:hAnsi="Arial"/>
      <w:b/>
      <w:bCs/>
      <w:iCs/>
      <w:color w:val="1E1545" w:themeColor="text1"/>
      <w:sz w:val="24"/>
      <w:szCs w:val="24"/>
      <w:lang w:eastAsia="en-US"/>
    </w:rPr>
  </w:style>
  <w:style w:type="paragraph" w:styleId="Heading5">
    <w:name w:val="heading 5"/>
    <w:next w:val="Normal"/>
    <w:rsid w:val="00AA723B"/>
    <w:pPr>
      <w:keepNext/>
      <w:numPr>
        <w:ilvl w:val="4"/>
        <w:numId w:val="57"/>
      </w:numPr>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numPr>
        <w:ilvl w:val="5"/>
        <w:numId w:val="57"/>
      </w:numPr>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numPr>
        <w:ilvl w:val="6"/>
        <w:numId w:val="57"/>
      </w:numPr>
      <w:spacing w:before="40"/>
      <w:outlineLvl w:val="6"/>
    </w:pPr>
    <w:rPr>
      <w:rFonts w:ascii="Arial" w:eastAsiaTheme="majorEastAsia" w:hAnsi="Arial" w:cstheme="majorBidi"/>
      <w:b/>
      <w:i/>
      <w:iCs/>
      <w:color w:val="15575D" w:themeColor="accent1" w:themeShade="7F"/>
      <w:sz w:val="22"/>
      <w:szCs w:val="24"/>
      <w:lang w:eastAsia="en-US"/>
    </w:rPr>
  </w:style>
  <w:style w:type="paragraph" w:styleId="Heading8">
    <w:name w:val="heading 8"/>
    <w:basedOn w:val="Normal"/>
    <w:next w:val="Normal"/>
    <w:link w:val="Heading8Char"/>
    <w:semiHidden/>
    <w:unhideWhenUsed/>
    <w:qFormat/>
    <w:rsid w:val="00271D9E"/>
    <w:pPr>
      <w:keepNext/>
      <w:keepLines/>
      <w:numPr>
        <w:ilvl w:val="7"/>
        <w:numId w:val="57"/>
      </w:numPr>
      <w:spacing w:before="40" w:after="0"/>
      <w:outlineLvl w:val="7"/>
    </w:pPr>
    <w:rPr>
      <w:rFonts w:asciiTheme="majorHAnsi" w:eastAsiaTheme="majorEastAsia" w:hAnsiTheme="majorHAnsi" w:cstheme="majorBidi"/>
      <w:color w:val="332476" w:themeColor="text1" w:themeTint="D8"/>
      <w:sz w:val="21"/>
      <w:szCs w:val="21"/>
    </w:rPr>
  </w:style>
  <w:style w:type="paragraph" w:styleId="Heading9">
    <w:name w:val="heading 9"/>
    <w:basedOn w:val="Normal"/>
    <w:next w:val="Normal"/>
    <w:link w:val="Heading9Char"/>
    <w:semiHidden/>
    <w:unhideWhenUsed/>
    <w:qFormat/>
    <w:rsid w:val="00271D9E"/>
    <w:pPr>
      <w:keepNext/>
      <w:keepLines/>
      <w:numPr>
        <w:ilvl w:val="8"/>
        <w:numId w:val="57"/>
      </w:numPr>
      <w:spacing w:before="40" w:after="0"/>
      <w:outlineLvl w:val="8"/>
    </w:pPr>
    <w:rPr>
      <w:rFonts w:asciiTheme="majorHAnsi" w:eastAsiaTheme="majorEastAsia" w:hAnsiTheme="majorHAnsi" w:cstheme="majorBidi"/>
      <w:i/>
      <w:iCs/>
      <w:color w:val="33247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2837E6"/>
    <w:pPr>
      <w:numPr>
        <w:ilvl w:val="1"/>
      </w:numPr>
      <w:spacing w:before="120" w:after="60"/>
    </w:pPr>
    <w:rPr>
      <w:rFonts w:ascii="Arial" w:eastAsiaTheme="majorEastAsia" w:hAnsi="Arial" w:cs="Arial"/>
      <w:iCs/>
      <w:color w:val="3F4A75"/>
      <w:spacing w:val="15"/>
      <w:sz w:val="56"/>
      <w:szCs w:val="56"/>
      <w:lang w:eastAsia="en-US"/>
    </w:rPr>
  </w:style>
  <w:style w:type="character" w:customStyle="1" w:styleId="SubtitleChar">
    <w:name w:val="Subtitle Char"/>
    <w:basedOn w:val="DefaultParagraphFont"/>
    <w:link w:val="Subtitle"/>
    <w:rsid w:val="002837E6"/>
    <w:rPr>
      <w:rFonts w:ascii="Arial" w:eastAsiaTheme="majorEastAsia" w:hAnsi="Arial" w:cs="Arial"/>
      <w:iCs/>
      <w:color w:val="3F4A75"/>
      <w:spacing w:val="15"/>
      <w:sz w:val="56"/>
      <w:szCs w:val="56"/>
      <w:lang w:eastAsia="en-US"/>
    </w:rPr>
  </w:style>
  <w:style w:type="paragraph" w:styleId="Title">
    <w:name w:val="Title"/>
    <w:next w:val="Normal"/>
    <w:link w:val="TitleChar"/>
    <w:qFormat/>
    <w:rsid w:val="002837E6"/>
    <w:pPr>
      <w:spacing w:before="1560" w:after="120"/>
      <w:contextualSpacing/>
    </w:pPr>
    <w:rPr>
      <w:rFonts w:ascii="Arial" w:eastAsiaTheme="majorEastAsia" w:hAnsi="Arial" w:cs="Arial"/>
      <w:b/>
      <w:color w:val="3F4A75"/>
      <w:kern w:val="28"/>
      <w:sz w:val="80"/>
      <w:szCs w:val="80"/>
      <w:lang w:eastAsia="en-US"/>
    </w:rPr>
  </w:style>
  <w:style w:type="character" w:customStyle="1" w:styleId="TitleChar">
    <w:name w:val="Title Char"/>
    <w:basedOn w:val="DefaultParagraphFont"/>
    <w:link w:val="Title"/>
    <w:rsid w:val="002837E6"/>
    <w:rPr>
      <w:rFonts w:ascii="Arial" w:eastAsiaTheme="majorEastAsia" w:hAnsi="Arial" w:cs="Arial"/>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Normal"/>
    <w:rsid w:val="00D57880"/>
    <w:pPr>
      <w:numPr>
        <w:ilvl w:val="1"/>
        <w:numId w:val="46"/>
      </w:numPr>
      <w:contextualSpacing/>
    </w:pPr>
    <w:rPr>
      <w:rFonts w:cs="Arial"/>
    </w:rPr>
  </w:style>
  <w:style w:type="paragraph" w:styleId="ListNumber2">
    <w:name w:val="List Number 2"/>
    <w:basedOn w:val="Normal"/>
    <w:qFormat/>
    <w:rsid w:val="00B87988"/>
    <w:pPr>
      <w:numPr>
        <w:numId w:val="2"/>
      </w:numPr>
      <w:tabs>
        <w:tab w:val="left" w:pos="340"/>
        <w:tab w:val="left" w:pos="680"/>
      </w:tabs>
      <w:spacing w:before="60" w:after="60"/>
    </w:pPr>
  </w:style>
  <w:style w:type="paragraph" w:customStyle="1" w:styleId="BasicParagraph">
    <w:name w:val="[Basic Paragraph]"/>
    <w:basedOn w:val="Normal"/>
    <w:uiPriority w:val="99"/>
    <w:rsid w:val="00D0690C"/>
    <w:pPr>
      <w:autoSpaceDE w:val="0"/>
      <w:autoSpaceDN w:val="0"/>
      <w:adjustRightInd w:val="0"/>
      <w:spacing w:before="0" w:after="0" w:line="288" w:lineRule="auto"/>
      <w:textAlignment w:val="center"/>
    </w:pPr>
    <w:rPr>
      <w:rFonts w:ascii="Minion Pro" w:hAnsi="Minion Pro" w:cs="Minion Pro"/>
      <w:color w:val="000000"/>
      <w:lang w:val="en-US" w:eastAsia="en-AU"/>
    </w:rPr>
  </w:style>
  <w:style w:type="paragraph" w:customStyle="1" w:styleId="Heading3nonumbers">
    <w:name w:val="Heading 3 no numbers"/>
    <w:link w:val="Heading3nonumbersChar"/>
    <w:qFormat/>
    <w:rsid w:val="00D471ED"/>
    <w:pPr>
      <w:outlineLvl w:val="2"/>
    </w:pPr>
    <w:rPr>
      <w:rFonts w:ascii="Arial" w:hAnsi="Arial" w:cs="Arial"/>
      <w:b/>
      <w:bCs/>
      <w:color w:val="2AB1BB" w:themeColor="accent1"/>
      <w:sz w:val="24"/>
      <w:szCs w:val="22"/>
      <w:lang w:eastAsia="en-US"/>
    </w:rPr>
  </w:style>
  <w:style w:type="paragraph" w:styleId="ListNumber3">
    <w:name w:val="List Number 3"/>
    <w:aliases w:val="List Third Level"/>
    <w:basedOn w:val="ListNumber2"/>
    <w:rsid w:val="00E22085"/>
    <w:pPr>
      <w:numPr>
        <w:numId w:val="4"/>
      </w:numPr>
      <w:tabs>
        <w:tab w:val="clear" w:pos="340"/>
        <w:tab w:val="clear" w:pos="680"/>
      </w:tabs>
      <w:ind w:left="1134" w:hanging="850"/>
    </w:pPr>
    <w:rPr>
      <w:rFonts w:eastAsia="Cambria" w:cs="Arial"/>
      <w:color w:val="1E1545" w:themeColor="text2"/>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uiPriority w:val="59"/>
    <w:locked/>
    <w:rsid w:val="00E22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1E1545" w:themeColor="text2"/>
      </w:rPr>
      <w:tblPr/>
      <w:tcPr>
        <w:shd w:val="clear" w:color="auto" w:fill="2AB1BB" w:themeFill="accent1"/>
      </w:tcPr>
    </w:tblStyle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E22085"/>
    <w:tblPr>
      <w:tblBorders>
        <w:top w:val="single" w:sz="4" w:space="0" w:color="1E1545" w:themeColor="text2"/>
        <w:left w:val="single" w:sz="4" w:space="0" w:color="1E1545" w:themeColor="text2"/>
        <w:bottom w:val="single" w:sz="4" w:space="0" w:color="1E1545" w:themeColor="text2"/>
        <w:right w:val="single" w:sz="4" w:space="0" w:color="1E1545" w:themeColor="text2"/>
        <w:insideH w:val="single" w:sz="4" w:space="0" w:color="1E1545" w:themeColor="text2"/>
        <w:insideV w:val="single" w:sz="4" w:space="0" w:color="1E1545" w:themeColor="text2"/>
      </w:tblBorders>
    </w:tblPr>
    <w:tcPr>
      <w:shd w:val="clear" w:color="auto" w:fill="auto"/>
    </w:tcPr>
    <w:tblStylePr w:type="firstRow">
      <w:rPr>
        <w:b/>
        <w:bCs/>
        <w:color w:val="FFFFFF"/>
      </w:rPr>
      <w:tblPr/>
      <w:tcPr>
        <w:shd w:val="clear" w:color="auto" w:fill="1E1545" w:themeFill="text2"/>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BF7AD7"/>
    <w:pPr>
      <w:spacing w:before="80" w:after="80"/>
    </w:pPr>
    <w:rPr>
      <w:rFonts w:eastAsia="Cambria"/>
      <w:b/>
      <w:color w:val="F1F2F2"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A3380"/>
    <w:rPr>
      <w:b/>
      <w:bCs/>
      <w:color w:val="F1F2F2" w:themeColor="background1"/>
      <w:sz w:val="20"/>
      <w:szCs w:val="20"/>
    </w:rPr>
  </w:style>
  <w:style w:type="paragraph" w:customStyle="1" w:styleId="FigureTitle">
    <w:name w:val="Figure Title"/>
    <w:basedOn w:val="Tablehead"/>
    <w:next w:val="Normal"/>
    <w:qFormat/>
    <w:rsid w:val="00E37590"/>
    <w:rPr>
      <w:color w:val="1E1545" w:themeColor="text1"/>
      <w:sz w:val="24"/>
      <w:szCs w:val="24"/>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2AB1BB"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Tabletext"/>
    <w:qFormat/>
    <w:rsid w:val="00BF7AD7"/>
    <w:pPr>
      <w:numPr>
        <w:numId w:val="5"/>
      </w:numPr>
    </w:pPr>
  </w:style>
  <w:style w:type="paragraph" w:customStyle="1" w:styleId="Tablelistnumber">
    <w:name w:val="Table list number"/>
    <w:basedOn w:val="Tabletext"/>
    <w:qFormat/>
    <w:rsid w:val="00BF7AD7"/>
    <w:pPr>
      <w:numPr>
        <w:numId w:val="6"/>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rsid w:val="00BF7AD7"/>
    <w:rPr>
      <w:rFonts w:ascii="Arial" w:hAnsi="Arial"/>
      <w:lang w:eastAsia="en-US"/>
    </w:rPr>
  </w:style>
  <w:style w:type="character" w:customStyle="1" w:styleId="FootnoteTextChar">
    <w:name w:val="Footnote Text Char"/>
    <w:basedOn w:val="DefaultParagraphFont"/>
    <w:link w:val="FootnoteText"/>
    <w:rsid w:val="00BF7AD7"/>
    <w:rPr>
      <w:rFonts w:ascii="Arial" w:hAnsi="Arial"/>
      <w:lang w:eastAsia="en-US"/>
    </w:rPr>
  </w:style>
  <w:style w:type="paragraph" w:styleId="Caption">
    <w:name w:val="caption"/>
    <w:basedOn w:val="Normal"/>
    <w:next w:val="Normal"/>
    <w:unhideWhenUsed/>
    <w:qFormat/>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paragraph" w:customStyle="1" w:styleId="Style1">
    <w:name w:val="Style1"/>
    <w:next w:val="Normal"/>
    <w:rsid w:val="00BF7AD7"/>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1E1545"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141935"/>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color w:val="1E1545" w:themeColor="text1"/>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984611"/>
    <w:pPr>
      <w:spacing w:before="480" w:after="240" w:line="400" w:lineRule="exact"/>
    </w:pPr>
    <w:rPr>
      <w:color w:val="2AB1BB" w:themeColor="accent1"/>
      <w:sz w:val="32"/>
      <w:szCs w:val="28"/>
    </w:rPr>
  </w:style>
  <w:style w:type="paragraph" w:customStyle="1" w:styleId="TableTextcentre-strong">
    <w:name w:val="Table Text (centre-strong)"/>
    <w:basedOn w:val="Tabletext"/>
    <w:rsid w:val="00322243"/>
    <w:pPr>
      <w:jc w:val="center"/>
    </w:pPr>
    <w:rPr>
      <w:b/>
      <w:sz w:val="24"/>
    </w:rPr>
  </w:style>
  <w:style w:type="paragraph" w:customStyle="1" w:styleId="Tabletextright">
    <w:name w:val="Table text right"/>
    <w:basedOn w:val="Tabletext"/>
    <w:rsid w:val="00BF7AD7"/>
    <w:pPr>
      <w:jc w:val="right"/>
    </w:pPr>
  </w:style>
  <w:style w:type="paragraph" w:customStyle="1" w:styleId="Tabletextcentre">
    <w:name w:val="Table text centre"/>
    <w:basedOn w:val="Tabletext"/>
    <w:rsid w:val="00322243"/>
    <w:pPr>
      <w:jc w:val="center"/>
    </w:pPr>
    <w:rPr>
      <w:sz w:val="24"/>
    </w:rPr>
  </w:style>
  <w:style w:type="paragraph" w:customStyle="1" w:styleId="Boxheading">
    <w:name w:val="Box heading"/>
    <w:basedOn w:val="Boxtype"/>
    <w:qFormat/>
    <w:rsid w:val="00BF7AD7"/>
    <w:pPr>
      <w:spacing w:before="240"/>
    </w:pPr>
    <w:rPr>
      <w:rFonts w:cs="Times New Roman"/>
      <w:b/>
      <w:bCs/>
      <w:caps/>
      <w:color w:val="358189"/>
      <w:szCs w:val="20"/>
    </w:rPr>
  </w:style>
  <w:style w:type="paragraph" w:customStyle="1" w:styleId="Boxtype">
    <w:name w:val="Box type"/>
    <w:next w:val="Normal"/>
    <w:qFormat/>
    <w:rsid w:val="00BF7AD7"/>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1E1545" w:themeColor="text1"/>
      <w:sz w:val="22"/>
      <w:szCs w:val="24"/>
      <w:lang w:val="en" w:eastAsia="en-US"/>
    </w:rPr>
  </w:style>
  <w:style w:type="paragraph" w:styleId="BodyText">
    <w:name w:val="Body Text"/>
    <w:basedOn w:val="Normal"/>
    <w:link w:val="BodyTextChar"/>
    <w:unhideWhenUsed/>
    <w:qFormat/>
    <w:rsid w:val="00BF7AD7"/>
  </w:style>
  <w:style w:type="character" w:customStyle="1" w:styleId="BodyTextChar">
    <w:name w:val="Body Text Char"/>
    <w:basedOn w:val="DefaultParagraphFont"/>
    <w:link w:val="BodyText"/>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Normal"/>
    <w:link w:val="TABLENumberChar"/>
    <w:qFormat/>
    <w:rsid w:val="00D57880"/>
    <w:pPr>
      <w:numPr>
        <w:numId w:val="7"/>
      </w:numPr>
      <w:contextualSpacing/>
    </w:pPr>
    <w:rPr>
      <w:noProof/>
      <w:color w:val="1E1545"/>
      <w:sz w:val="20"/>
      <w:szCs w:val="20"/>
      <w:shd w:val="clear" w:color="auto" w:fill="FFFFFF"/>
      <w:lang w:val="en-US" w:eastAsia="en-GB"/>
    </w:rPr>
  </w:style>
  <w:style w:type="paragraph" w:customStyle="1" w:styleId="TABLEbulletpoint">
    <w:name w:val="TABLE bullet point"/>
    <w:basedOn w:val="Normal"/>
    <w:link w:val="TABLEbulletpointChar"/>
    <w:qFormat/>
    <w:rsid w:val="00D57880"/>
    <w:pPr>
      <w:numPr>
        <w:numId w:val="8"/>
      </w:numPr>
      <w:contextualSpacing/>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5274C5"/>
    <w:pPr>
      <w:numPr>
        <w:numId w:val="56"/>
      </w:numPr>
      <w:contextualSpacing/>
    </w:pPr>
  </w:style>
  <w:style w:type="paragraph" w:customStyle="1" w:styleId="SectionTitle">
    <w:name w:val="Section Title"/>
    <w:basedOn w:val="Normal"/>
    <w:link w:val="SectionTitleChar"/>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9"/>
      </w:numPr>
    </w:pPr>
  </w:style>
  <w:style w:type="numbering" w:customStyle="1" w:styleId="CurrentList1">
    <w:name w:val="Current List1"/>
    <w:uiPriority w:val="99"/>
    <w:rsid w:val="008E6354"/>
    <w:pPr>
      <w:numPr>
        <w:numId w:val="10"/>
      </w:numPr>
    </w:pPr>
  </w:style>
  <w:style w:type="paragraph" w:styleId="TOCHeading">
    <w:name w:val="TOC Heading"/>
    <w:basedOn w:val="Heading1"/>
    <w:next w:val="Normal"/>
    <w:uiPriority w:val="39"/>
    <w:unhideWhenUsed/>
    <w:qFormat/>
    <w:rsid w:val="00715B3D"/>
    <w:pPr>
      <w:keepLines/>
      <w:spacing w:before="240" w:after="0" w:line="259" w:lineRule="auto"/>
      <w:outlineLvl w:val="9"/>
    </w:pPr>
    <w:rPr>
      <w:rFonts w:asciiTheme="majorHAnsi" w:eastAsiaTheme="majorEastAsia" w:hAnsiTheme="majorHAnsi" w:cstheme="majorBidi"/>
      <w:b w:val="0"/>
      <w:bCs w:val="0"/>
      <w:color w:val="1F848B" w:themeColor="accent1" w:themeShade="BF"/>
      <w:kern w:val="0"/>
      <w:sz w:val="32"/>
      <w:szCs w:val="32"/>
      <w:lang w:val="en-US"/>
    </w:rPr>
  </w:style>
  <w:style w:type="paragraph" w:styleId="TOC1">
    <w:name w:val="toc 1"/>
    <w:basedOn w:val="Normal"/>
    <w:next w:val="Normal"/>
    <w:autoRedefine/>
    <w:uiPriority w:val="39"/>
    <w:unhideWhenUsed/>
    <w:rsid w:val="008B5433"/>
    <w:pPr>
      <w:pBdr>
        <w:top w:val="single" w:sz="6" w:space="1" w:color="2AB1BB" w:themeColor="accent1"/>
        <w:bottom w:val="single" w:sz="6" w:space="1" w:color="2AB1BB" w:themeColor="accent1"/>
        <w:between w:val="single" w:sz="6" w:space="1" w:color="2AB1BB" w:themeColor="accent1"/>
      </w:pBdr>
      <w:tabs>
        <w:tab w:val="right" w:pos="9061"/>
      </w:tabs>
    </w:pPr>
    <w:rPr>
      <w:b/>
      <w:bCs/>
      <w:szCs w:val="20"/>
    </w:rPr>
  </w:style>
  <w:style w:type="paragraph" w:styleId="TOC2">
    <w:name w:val="toc 2"/>
    <w:basedOn w:val="Normal"/>
    <w:next w:val="Normal"/>
    <w:uiPriority w:val="39"/>
    <w:unhideWhenUsed/>
    <w:rsid w:val="00DD6906"/>
    <w:pPr>
      <w:pBdr>
        <w:top w:val="single" w:sz="6" w:space="1" w:color="2AB1BB" w:themeColor="accent1"/>
        <w:bottom w:val="single" w:sz="6" w:space="1" w:color="2AB1BB" w:themeColor="accent1"/>
        <w:between w:val="single" w:sz="6" w:space="1" w:color="2AB1BB" w:themeColor="accent1"/>
      </w:pBdr>
      <w:tabs>
        <w:tab w:val="right" w:pos="9060"/>
      </w:tabs>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iPriority w:val="39"/>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DD6906"/>
    <w:pPr>
      <w:spacing w:before="0" w:after="0"/>
      <w:ind w:left="168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character" w:styleId="UnresolvedMention">
    <w:name w:val="Unresolved Mention"/>
    <w:basedOn w:val="DefaultParagraphFont"/>
    <w:uiPriority w:val="99"/>
    <w:semiHidden/>
    <w:unhideWhenUsed/>
    <w:rsid w:val="00566E8C"/>
    <w:rPr>
      <w:color w:val="605E5C"/>
      <w:shd w:val="clear" w:color="auto" w:fill="E1DFDD"/>
    </w:rPr>
  </w:style>
  <w:style w:type="paragraph" w:customStyle="1" w:styleId="Style3">
    <w:name w:val="Style3"/>
    <w:basedOn w:val="Heading4"/>
    <w:link w:val="Style3Char"/>
    <w:qFormat/>
    <w:rsid w:val="00F73179"/>
    <w:rPr>
      <w:rFonts w:ascii="Aptos" w:hAnsi="Aptos"/>
      <w:color w:val="2AB1BB" w:themeColor="accent1"/>
    </w:rPr>
  </w:style>
  <w:style w:type="character" w:customStyle="1" w:styleId="Heading4Char">
    <w:name w:val="Heading 4 Char"/>
    <w:basedOn w:val="DefaultParagraphFont"/>
    <w:link w:val="Heading4"/>
    <w:rsid w:val="00F73179"/>
    <w:rPr>
      <w:rFonts w:ascii="Arial" w:hAnsi="Arial"/>
      <w:b/>
      <w:bCs/>
      <w:iCs/>
      <w:color w:val="1E1545" w:themeColor="text1"/>
      <w:sz w:val="24"/>
      <w:szCs w:val="24"/>
      <w:lang w:eastAsia="en-US"/>
    </w:rPr>
  </w:style>
  <w:style w:type="character" w:customStyle="1" w:styleId="Style3Char">
    <w:name w:val="Style3 Char"/>
    <w:basedOn w:val="Heading4Char"/>
    <w:link w:val="Style3"/>
    <w:rsid w:val="00F73179"/>
    <w:rPr>
      <w:rFonts w:ascii="Aptos" w:hAnsi="Aptos"/>
      <w:b/>
      <w:bCs/>
      <w:iCs/>
      <w:color w:val="2AB1BB" w:themeColor="accent1"/>
      <w:sz w:val="24"/>
      <w:szCs w:val="24"/>
      <w:lang w:eastAsia="en-US"/>
    </w:rPr>
  </w:style>
  <w:style w:type="character" w:styleId="CommentReference">
    <w:name w:val="annotation reference"/>
    <w:basedOn w:val="DefaultParagraphFont"/>
    <w:uiPriority w:val="99"/>
    <w:unhideWhenUsed/>
    <w:rsid w:val="009432BF"/>
    <w:rPr>
      <w:sz w:val="16"/>
      <w:szCs w:val="16"/>
    </w:rPr>
  </w:style>
  <w:style w:type="paragraph" w:styleId="CommentText">
    <w:name w:val="annotation text"/>
    <w:basedOn w:val="Normal"/>
    <w:link w:val="CommentTextChar"/>
    <w:uiPriority w:val="99"/>
    <w:unhideWhenUsed/>
    <w:rsid w:val="009432BF"/>
    <w:pPr>
      <w:spacing w:line="240" w:lineRule="auto"/>
    </w:pPr>
    <w:rPr>
      <w:sz w:val="20"/>
      <w:szCs w:val="20"/>
    </w:rPr>
  </w:style>
  <w:style w:type="character" w:customStyle="1" w:styleId="CommentTextChar">
    <w:name w:val="Comment Text Char"/>
    <w:basedOn w:val="DefaultParagraphFont"/>
    <w:link w:val="CommentText"/>
    <w:uiPriority w:val="99"/>
    <w:rsid w:val="009432BF"/>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9432BF"/>
    <w:rPr>
      <w:b/>
      <w:bCs/>
    </w:rPr>
  </w:style>
  <w:style w:type="character" w:customStyle="1" w:styleId="CommentSubjectChar">
    <w:name w:val="Comment Subject Char"/>
    <w:basedOn w:val="CommentTextChar"/>
    <w:link w:val="CommentSubject"/>
    <w:semiHidden/>
    <w:rsid w:val="009432BF"/>
    <w:rPr>
      <w:rFonts w:ascii="Arial" w:hAnsi="Arial"/>
      <w:b/>
      <w:bCs/>
      <w:color w:val="1E1545" w:themeColor="text1"/>
      <w:lang w:eastAsia="en-US"/>
    </w:rPr>
  </w:style>
  <w:style w:type="paragraph" w:styleId="Revision">
    <w:name w:val="Revision"/>
    <w:hidden/>
    <w:uiPriority w:val="99"/>
    <w:semiHidden/>
    <w:rsid w:val="009D7EAB"/>
    <w:rPr>
      <w:rFonts w:ascii="Arial" w:hAnsi="Arial"/>
      <w:color w:val="1E1545" w:themeColor="text1"/>
      <w:sz w:val="24"/>
      <w:szCs w:val="24"/>
      <w:lang w:eastAsia="en-US"/>
    </w:rPr>
  </w:style>
  <w:style w:type="paragraph" w:styleId="ListBullet">
    <w:name w:val="List Bullet"/>
    <w:basedOn w:val="Normal"/>
    <w:unhideWhenUsed/>
    <w:qFormat/>
    <w:rsid w:val="00E22085"/>
    <w:pPr>
      <w:numPr>
        <w:numId w:val="11"/>
      </w:numPr>
      <w:tabs>
        <w:tab w:val="clear" w:pos="360"/>
      </w:tabs>
      <w:spacing w:before="60" w:after="60"/>
      <w:ind w:left="584" w:hanging="357"/>
    </w:pPr>
  </w:style>
  <w:style w:type="character" w:styleId="FollowedHyperlink">
    <w:name w:val="FollowedHyperlink"/>
    <w:basedOn w:val="DefaultParagraphFont"/>
    <w:semiHidden/>
    <w:unhideWhenUsed/>
    <w:rsid w:val="005F28C9"/>
    <w:rPr>
      <w:color w:val="000000" w:themeColor="followedHyperlink"/>
      <w:u w:val="single"/>
    </w:rPr>
  </w:style>
  <w:style w:type="paragraph" w:customStyle="1" w:styleId="Header3">
    <w:name w:val="Header 3"/>
    <w:basedOn w:val="Normal"/>
    <w:qFormat/>
    <w:rsid w:val="00D72C41"/>
    <w:pPr>
      <w:spacing w:before="360"/>
    </w:pPr>
    <w:rPr>
      <w:rFonts w:cstheme="minorBidi"/>
      <w:b/>
      <w:bCs/>
      <w:noProof/>
      <w:color w:val="1E1644"/>
      <w:shd w:val="clear" w:color="auto" w:fill="FFFFFF"/>
      <w:lang w:eastAsia="en-GB"/>
    </w:rPr>
  </w:style>
  <w:style w:type="paragraph" w:customStyle="1" w:styleId="paragraph">
    <w:name w:val="paragraph"/>
    <w:basedOn w:val="Normal"/>
    <w:rsid w:val="00B7636C"/>
    <w:pPr>
      <w:spacing w:before="100" w:beforeAutospacing="1" w:after="100" w:afterAutospacing="1" w:line="240" w:lineRule="auto"/>
    </w:pPr>
    <w:rPr>
      <w:rFonts w:ascii="Times New Roman" w:hAnsi="Times New Roman"/>
      <w:color w:val="auto"/>
      <w:lang w:eastAsia="en-AU"/>
    </w:rPr>
  </w:style>
  <w:style w:type="character" w:customStyle="1" w:styleId="normaltextrun">
    <w:name w:val="normaltextrun"/>
    <w:basedOn w:val="DefaultParagraphFont"/>
    <w:rsid w:val="00B7636C"/>
  </w:style>
  <w:style w:type="character" w:customStyle="1" w:styleId="eop">
    <w:name w:val="eop"/>
    <w:basedOn w:val="DefaultParagraphFont"/>
    <w:rsid w:val="00B7636C"/>
  </w:style>
  <w:style w:type="character" w:customStyle="1" w:styleId="Heading3nonumbersChar">
    <w:name w:val="Heading 3 no numbers Char"/>
    <w:basedOn w:val="DefaultParagraphFont"/>
    <w:link w:val="Heading3nonumbers"/>
    <w:rsid w:val="00D471ED"/>
    <w:rPr>
      <w:rFonts w:ascii="Arial" w:hAnsi="Arial" w:cs="Arial"/>
      <w:b/>
      <w:bCs/>
      <w:color w:val="2AB1BB" w:themeColor="accent1"/>
      <w:sz w:val="24"/>
      <w:szCs w:val="22"/>
      <w:lang w:eastAsia="en-US"/>
    </w:rPr>
  </w:style>
  <w:style w:type="paragraph" w:customStyle="1" w:styleId="NormalText">
    <w:name w:val="Normal Text"/>
    <w:basedOn w:val="Normal"/>
    <w:qFormat/>
    <w:rsid w:val="009464E9"/>
    <w:pPr>
      <w:spacing w:line="288" w:lineRule="auto"/>
    </w:pPr>
    <w:rPr>
      <w:rFonts w:cstheme="minorBidi"/>
      <w:szCs w:val="20"/>
      <w:shd w:val="clear" w:color="auto" w:fill="FFFFFF"/>
      <w:lang w:eastAsia="en-GB"/>
    </w:rPr>
  </w:style>
  <w:style w:type="character" w:styleId="Mention">
    <w:name w:val="Mention"/>
    <w:basedOn w:val="DefaultParagraphFont"/>
    <w:uiPriority w:val="99"/>
    <w:unhideWhenUsed/>
    <w:rsid w:val="00CA72EE"/>
    <w:rPr>
      <w:color w:val="2B579A"/>
      <w:shd w:val="clear" w:color="auto" w:fill="E1DFDD"/>
    </w:rPr>
  </w:style>
  <w:style w:type="paragraph" w:customStyle="1" w:styleId="Titleforpagesbetweensections">
    <w:name w:val="Title for pages between sections"/>
    <w:basedOn w:val="SectionTitle"/>
    <w:link w:val="TitleforpagesbetweensectionsChar"/>
    <w:qFormat/>
    <w:rsid w:val="002837E6"/>
    <w:pPr>
      <w:shd w:val="clear" w:color="auto" w:fill="auto"/>
    </w:pPr>
    <w:rPr>
      <w:rFonts w:cs="Arial"/>
    </w:rPr>
  </w:style>
  <w:style w:type="character" w:customStyle="1" w:styleId="SectionTitleChar">
    <w:name w:val="Section Title Char"/>
    <w:basedOn w:val="DefaultParagraphFont"/>
    <w:link w:val="SectionTitle"/>
    <w:rsid w:val="002C13D1"/>
    <w:rPr>
      <w:rFonts w:ascii="Arial" w:hAnsi="Arial"/>
      <w:b/>
      <w:bCs/>
      <w:color w:val="F1F2F2" w:themeColor="background1"/>
      <w:sz w:val="80"/>
      <w:szCs w:val="80"/>
      <w:shd w:val="clear" w:color="auto" w:fill="1E1545" w:themeFill="text1"/>
      <w:lang w:eastAsia="en-US"/>
    </w:rPr>
  </w:style>
  <w:style w:type="character" w:customStyle="1" w:styleId="TitleforpagesbetweensectionsChar">
    <w:name w:val="Title for pages between sections Char"/>
    <w:basedOn w:val="SectionTitleChar"/>
    <w:link w:val="Titleforpagesbetweensections"/>
    <w:rsid w:val="002837E6"/>
    <w:rPr>
      <w:rFonts w:ascii="Arial" w:hAnsi="Arial" w:cs="Arial"/>
      <w:b/>
      <w:bCs/>
      <w:color w:val="F1F2F2" w:themeColor="background1"/>
      <w:sz w:val="80"/>
      <w:szCs w:val="80"/>
      <w:shd w:val="clear" w:color="auto" w:fill="1E1545" w:themeFill="text1"/>
      <w:lang w:eastAsia="en-US"/>
    </w:rPr>
  </w:style>
  <w:style w:type="paragraph" w:customStyle="1" w:styleId="Sub-headingforsections">
    <w:name w:val="Sub-heading for sections"/>
    <w:basedOn w:val="Heading3"/>
    <w:link w:val="Sub-headingforsectionsChar"/>
    <w:qFormat/>
    <w:rsid w:val="003D7067"/>
  </w:style>
  <w:style w:type="character" w:customStyle="1" w:styleId="Heading3Char">
    <w:name w:val="Heading 3 Char"/>
    <w:basedOn w:val="DefaultParagraphFont"/>
    <w:link w:val="Heading3"/>
    <w:rsid w:val="00D471ED"/>
    <w:rPr>
      <w:rFonts w:ascii="Arial" w:hAnsi="Arial" w:cs="Arial"/>
      <w:b/>
      <w:bCs/>
      <w:color w:val="2AB1BB" w:themeColor="accent1"/>
      <w:sz w:val="24"/>
      <w:szCs w:val="22"/>
      <w:lang w:eastAsia="en-US"/>
    </w:rPr>
  </w:style>
  <w:style w:type="character" w:customStyle="1" w:styleId="Sub-headingforsectionsChar">
    <w:name w:val="Sub-heading for sections Char"/>
    <w:basedOn w:val="Heading3Char"/>
    <w:link w:val="Sub-headingforsections"/>
    <w:rsid w:val="003D7067"/>
    <w:rPr>
      <w:rFonts w:ascii="Arial" w:hAnsi="Arial" w:cs="Arial"/>
      <w:b/>
      <w:bCs/>
      <w:color w:val="2AB1BB" w:themeColor="accent1"/>
      <w:sz w:val="24"/>
      <w:szCs w:val="22"/>
      <w:lang w:eastAsia="en-US"/>
    </w:rPr>
  </w:style>
  <w:style w:type="paragraph" w:customStyle="1" w:styleId="SubjectHeading">
    <w:name w:val="Subject Heading"/>
    <w:basedOn w:val="Normal"/>
    <w:link w:val="SubjectHeadingChar"/>
    <w:qFormat/>
    <w:rsid w:val="00C47A9C"/>
    <w:pPr>
      <w:pBdr>
        <w:top w:val="single" w:sz="6" w:space="1" w:color="2AB1BB" w:themeColor="accent1"/>
        <w:bottom w:val="single" w:sz="6" w:space="1" w:color="2AB1BB" w:themeColor="accent1"/>
        <w:between w:val="single" w:sz="6" w:space="1" w:color="2AB1BB" w:themeColor="accent1"/>
      </w:pBdr>
      <w:tabs>
        <w:tab w:val="left" w:pos="480"/>
        <w:tab w:val="right" w:pos="9061"/>
      </w:tabs>
      <w:spacing w:before="240" w:after="240"/>
      <w:outlineLvl w:val="1"/>
    </w:pPr>
    <w:rPr>
      <w:rFonts w:cs="Arial"/>
      <w:b/>
    </w:rPr>
  </w:style>
  <w:style w:type="character" w:customStyle="1" w:styleId="SubjectHeadingChar">
    <w:name w:val="Subject Heading Char"/>
    <w:basedOn w:val="DefaultParagraphFont"/>
    <w:link w:val="SubjectHeading"/>
    <w:rsid w:val="00C47A9C"/>
    <w:rPr>
      <w:rFonts w:ascii="Arial" w:hAnsi="Arial" w:cs="Arial"/>
      <w:b/>
      <w:color w:val="1E1545" w:themeColor="text1"/>
      <w:sz w:val="24"/>
      <w:szCs w:val="24"/>
      <w:lang w:eastAsia="en-US"/>
    </w:rPr>
  </w:style>
  <w:style w:type="paragraph" w:customStyle="1" w:styleId="NewHeading1">
    <w:name w:val="New Heading 1"/>
    <w:basedOn w:val="Heading1"/>
    <w:link w:val="NewHeading1Char"/>
    <w:qFormat/>
    <w:rsid w:val="005A558E"/>
  </w:style>
  <w:style w:type="character" w:customStyle="1" w:styleId="NewHeading1Char">
    <w:name w:val="New Heading 1 Char"/>
    <w:basedOn w:val="DefaultParagraphFont"/>
    <w:link w:val="NewHeading1"/>
    <w:rsid w:val="005A558E"/>
    <w:rPr>
      <w:rFonts w:ascii="Arial" w:hAnsi="Arial" w:cs="Arial"/>
      <w:b/>
      <w:bCs/>
      <w:color w:val="1E1545" w:themeColor="text1"/>
      <w:kern w:val="28"/>
      <w:sz w:val="60"/>
      <w:szCs w:val="36"/>
      <w:lang w:eastAsia="en-US"/>
    </w:rPr>
  </w:style>
  <w:style w:type="paragraph" w:customStyle="1" w:styleId="NewHeading2">
    <w:name w:val="New Heading 2"/>
    <w:basedOn w:val="Heading2"/>
    <w:link w:val="NewHeading2Char"/>
    <w:qFormat/>
    <w:rsid w:val="00782AD7"/>
    <w:rPr>
      <w:sz w:val="32"/>
      <w:szCs w:val="24"/>
    </w:rPr>
  </w:style>
  <w:style w:type="character" w:customStyle="1" w:styleId="Heading2Char">
    <w:name w:val="Heading 2 Char"/>
    <w:basedOn w:val="DefaultParagraphFont"/>
    <w:link w:val="Heading2"/>
    <w:rsid w:val="00271D9E"/>
    <w:rPr>
      <w:rFonts w:ascii="Arial" w:hAnsi="Arial" w:cs="Arial"/>
      <w:b/>
      <w:bCs/>
      <w:iCs/>
      <w:color w:val="1E1545" w:themeColor="text1"/>
      <w:sz w:val="36"/>
      <w:szCs w:val="28"/>
      <w:lang w:eastAsia="en-US"/>
    </w:rPr>
  </w:style>
  <w:style w:type="character" w:customStyle="1" w:styleId="NewHeading2Char">
    <w:name w:val="New Heading 2 Char"/>
    <w:basedOn w:val="Heading2Char"/>
    <w:link w:val="NewHeading2"/>
    <w:rsid w:val="00782AD7"/>
    <w:rPr>
      <w:rFonts w:ascii="Arial" w:hAnsi="Arial" w:cs="Arial"/>
      <w:b/>
      <w:bCs/>
      <w:iCs/>
      <w:color w:val="1E1545" w:themeColor="text1"/>
      <w:sz w:val="32"/>
      <w:szCs w:val="24"/>
      <w:lang w:eastAsia="en-US"/>
    </w:rPr>
  </w:style>
  <w:style w:type="paragraph" w:customStyle="1" w:styleId="Tabletextleft">
    <w:name w:val="Table text left"/>
    <w:qFormat/>
    <w:locked/>
    <w:rsid w:val="00331752"/>
    <w:pPr>
      <w:spacing w:before="60" w:after="60"/>
    </w:pPr>
    <w:rPr>
      <w:rFonts w:ascii="Arial" w:hAnsi="Arial"/>
      <w:color w:val="1E1544"/>
      <w:sz w:val="22"/>
      <w:szCs w:val="24"/>
      <w:lang w:eastAsia="en-US"/>
    </w:rPr>
  </w:style>
  <w:style w:type="character" w:customStyle="1" w:styleId="Heading8Char">
    <w:name w:val="Heading 8 Char"/>
    <w:basedOn w:val="DefaultParagraphFont"/>
    <w:link w:val="Heading8"/>
    <w:semiHidden/>
    <w:rsid w:val="00271D9E"/>
    <w:rPr>
      <w:rFonts w:asciiTheme="majorHAnsi" w:eastAsiaTheme="majorEastAsia" w:hAnsiTheme="majorHAnsi" w:cstheme="majorBidi"/>
      <w:color w:val="332476" w:themeColor="text1" w:themeTint="D8"/>
      <w:sz w:val="21"/>
      <w:szCs w:val="21"/>
      <w:lang w:eastAsia="en-US"/>
    </w:rPr>
  </w:style>
  <w:style w:type="character" w:customStyle="1" w:styleId="Heading9Char">
    <w:name w:val="Heading 9 Char"/>
    <w:basedOn w:val="DefaultParagraphFont"/>
    <w:link w:val="Heading9"/>
    <w:semiHidden/>
    <w:rsid w:val="00271D9E"/>
    <w:rPr>
      <w:rFonts w:asciiTheme="majorHAnsi" w:eastAsiaTheme="majorEastAsia" w:hAnsiTheme="majorHAnsi" w:cstheme="majorBidi"/>
      <w:i/>
      <w:iCs/>
      <w:color w:val="332476" w:themeColor="text1" w:themeTint="D8"/>
      <w:sz w:val="21"/>
      <w:szCs w:val="21"/>
      <w:lang w:eastAsia="en-US"/>
    </w:rPr>
  </w:style>
  <w:style w:type="paragraph" w:customStyle="1" w:styleId="Chapternumbers">
    <w:name w:val="Chapter numbers"/>
    <w:basedOn w:val="Titleforpagesbetweensections"/>
    <w:link w:val="ChapternumbersChar"/>
    <w:qFormat/>
    <w:rsid w:val="00F255A4"/>
    <w:pPr>
      <w:pBdr>
        <w:bottom w:val="single" w:sz="12" w:space="1" w:color="2AB1BB" w:themeColor="accent1"/>
      </w:pBdr>
    </w:pPr>
    <w:rPr>
      <w:b w:val="0"/>
      <w:sz w:val="40"/>
    </w:rPr>
  </w:style>
  <w:style w:type="character" w:customStyle="1" w:styleId="ChapternumbersChar">
    <w:name w:val="Chapter numbers Char"/>
    <w:basedOn w:val="TitleforpagesbetweensectionsChar"/>
    <w:link w:val="Chapternumbers"/>
    <w:rsid w:val="00F255A4"/>
    <w:rPr>
      <w:rFonts w:ascii="Arial" w:hAnsi="Arial" w:cs="Arial"/>
      <w:b w:val="0"/>
      <w:bCs/>
      <w:color w:val="F1F2F2" w:themeColor="background1"/>
      <w:sz w:val="40"/>
      <w:szCs w:val="80"/>
      <w:shd w:val="clear" w:color="auto" w:fill="1E1545" w:themeFill="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53583014">
      <w:bodyDiv w:val="1"/>
      <w:marLeft w:val="0"/>
      <w:marRight w:val="0"/>
      <w:marTop w:val="0"/>
      <w:marBottom w:val="0"/>
      <w:divBdr>
        <w:top w:val="none" w:sz="0" w:space="0" w:color="auto"/>
        <w:left w:val="none" w:sz="0" w:space="0" w:color="auto"/>
        <w:bottom w:val="none" w:sz="0" w:space="0" w:color="auto"/>
        <w:right w:val="none" w:sz="0" w:space="0" w:color="auto"/>
      </w:divBdr>
    </w:div>
    <w:div w:id="608661081">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40690229">
      <w:bodyDiv w:val="1"/>
      <w:marLeft w:val="0"/>
      <w:marRight w:val="0"/>
      <w:marTop w:val="0"/>
      <w:marBottom w:val="0"/>
      <w:divBdr>
        <w:top w:val="none" w:sz="0" w:space="0" w:color="auto"/>
        <w:left w:val="none" w:sz="0" w:space="0" w:color="auto"/>
        <w:bottom w:val="none" w:sz="0" w:space="0" w:color="auto"/>
        <w:right w:val="none" w:sz="0" w:space="0" w:color="auto"/>
      </w:divBdr>
      <w:divsChild>
        <w:div w:id="318384873">
          <w:marLeft w:val="0"/>
          <w:marRight w:val="0"/>
          <w:marTop w:val="0"/>
          <w:marBottom w:val="0"/>
          <w:divBdr>
            <w:top w:val="none" w:sz="0" w:space="0" w:color="auto"/>
            <w:left w:val="none" w:sz="0" w:space="0" w:color="auto"/>
            <w:bottom w:val="none" w:sz="0" w:space="0" w:color="auto"/>
            <w:right w:val="none" w:sz="0" w:space="0" w:color="auto"/>
          </w:divBdr>
        </w:div>
        <w:div w:id="1005789634">
          <w:marLeft w:val="0"/>
          <w:marRight w:val="0"/>
          <w:marTop w:val="0"/>
          <w:marBottom w:val="0"/>
          <w:divBdr>
            <w:top w:val="none" w:sz="0" w:space="0" w:color="auto"/>
            <w:left w:val="none" w:sz="0" w:space="0" w:color="auto"/>
            <w:bottom w:val="none" w:sz="0" w:space="0" w:color="auto"/>
            <w:right w:val="none" w:sz="0" w:space="0" w:color="auto"/>
          </w:divBdr>
        </w:div>
      </w:divsChild>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50084598">
      <w:bodyDiv w:val="1"/>
      <w:marLeft w:val="0"/>
      <w:marRight w:val="0"/>
      <w:marTop w:val="0"/>
      <w:marBottom w:val="0"/>
      <w:divBdr>
        <w:top w:val="none" w:sz="0" w:space="0" w:color="auto"/>
        <w:left w:val="none" w:sz="0" w:space="0" w:color="auto"/>
        <w:bottom w:val="none" w:sz="0" w:space="0" w:color="auto"/>
        <w:right w:val="none" w:sz="0" w:space="0" w:color="auto"/>
      </w:divBdr>
      <w:divsChild>
        <w:div w:id="15740135">
          <w:marLeft w:val="0"/>
          <w:marRight w:val="0"/>
          <w:marTop w:val="0"/>
          <w:marBottom w:val="0"/>
          <w:divBdr>
            <w:top w:val="none" w:sz="0" w:space="0" w:color="auto"/>
            <w:left w:val="none" w:sz="0" w:space="0" w:color="auto"/>
            <w:bottom w:val="none" w:sz="0" w:space="0" w:color="auto"/>
            <w:right w:val="none" w:sz="0" w:space="0" w:color="auto"/>
          </w:divBdr>
          <w:divsChild>
            <w:div w:id="1217397280">
              <w:marLeft w:val="0"/>
              <w:marRight w:val="0"/>
              <w:marTop w:val="0"/>
              <w:marBottom w:val="0"/>
              <w:divBdr>
                <w:top w:val="none" w:sz="0" w:space="0" w:color="auto"/>
                <w:left w:val="none" w:sz="0" w:space="0" w:color="auto"/>
                <w:bottom w:val="none" w:sz="0" w:space="0" w:color="auto"/>
                <w:right w:val="none" w:sz="0" w:space="0" w:color="auto"/>
              </w:divBdr>
            </w:div>
          </w:divsChild>
        </w:div>
        <w:div w:id="40058025">
          <w:marLeft w:val="0"/>
          <w:marRight w:val="0"/>
          <w:marTop w:val="0"/>
          <w:marBottom w:val="0"/>
          <w:divBdr>
            <w:top w:val="none" w:sz="0" w:space="0" w:color="auto"/>
            <w:left w:val="none" w:sz="0" w:space="0" w:color="auto"/>
            <w:bottom w:val="none" w:sz="0" w:space="0" w:color="auto"/>
            <w:right w:val="none" w:sz="0" w:space="0" w:color="auto"/>
          </w:divBdr>
          <w:divsChild>
            <w:div w:id="1008362626">
              <w:marLeft w:val="0"/>
              <w:marRight w:val="0"/>
              <w:marTop w:val="0"/>
              <w:marBottom w:val="0"/>
              <w:divBdr>
                <w:top w:val="none" w:sz="0" w:space="0" w:color="auto"/>
                <w:left w:val="none" w:sz="0" w:space="0" w:color="auto"/>
                <w:bottom w:val="none" w:sz="0" w:space="0" w:color="auto"/>
                <w:right w:val="none" w:sz="0" w:space="0" w:color="auto"/>
              </w:divBdr>
            </w:div>
          </w:divsChild>
        </w:div>
        <w:div w:id="42559001">
          <w:marLeft w:val="0"/>
          <w:marRight w:val="0"/>
          <w:marTop w:val="0"/>
          <w:marBottom w:val="0"/>
          <w:divBdr>
            <w:top w:val="none" w:sz="0" w:space="0" w:color="auto"/>
            <w:left w:val="none" w:sz="0" w:space="0" w:color="auto"/>
            <w:bottom w:val="none" w:sz="0" w:space="0" w:color="auto"/>
            <w:right w:val="none" w:sz="0" w:space="0" w:color="auto"/>
          </w:divBdr>
          <w:divsChild>
            <w:div w:id="77748934">
              <w:marLeft w:val="0"/>
              <w:marRight w:val="0"/>
              <w:marTop w:val="0"/>
              <w:marBottom w:val="0"/>
              <w:divBdr>
                <w:top w:val="none" w:sz="0" w:space="0" w:color="auto"/>
                <w:left w:val="none" w:sz="0" w:space="0" w:color="auto"/>
                <w:bottom w:val="none" w:sz="0" w:space="0" w:color="auto"/>
                <w:right w:val="none" w:sz="0" w:space="0" w:color="auto"/>
              </w:divBdr>
            </w:div>
          </w:divsChild>
        </w:div>
        <w:div w:id="85810443">
          <w:marLeft w:val="0"/>
          <w:marRight w:val="0"/>
          <w:marTop w:val="0"/>
          <w:marBottom w:val="0"/>
          <w:divBdr>
            <w:top w:val="none" w:sz="0" w:space="0" w:color="auto"/>
            <w:left w:val="none" w:sz="0" w:space="0" w:color="auto"/>
            <w:bottom w:val="none" w:sz="0" w:space="0" w:color="auto"/>
            <w:right w:val="none" w:sz="0" w:space="0" w:color="auto"/>
          </w:divBdr>
          <w:divsChild>
            <w:div w:id="617838861">
              <w:marLeft w:val="0"/>
              <w:marRight w:val="0"/>
              <w:marTop w:val="0"/>
              <w:marBottom w:val="0"/>
              <w:divBdr>
                <w:top w:val="none" w:sz="0" w:space="0" w:color="auto"/>
                <w:left w:val="none" w:sz="0" w:space="0" w:color="auto"/>
                <w:bottom w:val="none" w:sz="0" w:space="0" w:color="auto"/>
                <w:right w:val="none" w:sz="0" w:space="0" w:color="auto"/>
              </w:divBdr>
            </w:div>
          </w:divsChild>
        </w:div>
        <w:div w:id="107437798">
          <w:marLeft w:val="0"/>
          <w:marRight w:val="0"/>
          <w:marTop w:val="0"/>
          <w:marBottom w:val="0"/>
          <w:divBdr>
            <w:top w:val="none" w:sz="0" w:space="0" w:color="auto"/>
            <w:left w:val="none" w:sz="0" w:space="0" w:color="auto"/>
            <w:bottom w:val="none" w:sz="0" w:space="0" w:color="auto"/>
            <w:right w:val="none" w:sz="0" w:space="0" w:color="auto"/>
          </w:divBdr>
          <w:divsChild>
            <w:div w:id="547957846">
              <w:marLeft w:val="0"/>
              <w:marRight w:val="0"/>
              <w:marTop w:val="0"/>
              <w:marBottom w:val="0"/>
              <w:divBdr>
                <w:top w:val="none" w:sz="0" w:space="0" w:color="auto"/>
                <w:left w:val="none" w:sz="0" w:space="0" w:color="auto"/>
                <w:bottom w:val="none" w:sz="0" w:space="0" w:color="auto"/>
                <w:right w:val="none" w:sz="0" w:space="0" w:color="auto"/>
              </w:divBdr>
            </w:div>
          </w:divsChild>
        </w:div>
        <w:div w:id="115293872">
          <w:marLeft w:val="0"/>
          <w:marRight w:val="0"/>
          <w:marTop w:val="0"/>
          <w:marBottom w:val="0"/>
          <w:divBdr>
            <w:top w:val="none" w:sz="0" w:space="0" w:color="auto"/>
            <w:left w:val="none" w:sz="0" w:space="0" w:color="auto"/>
            <w:bottom w:val="none" w:sz="0" w:space="0" w:color="auto"/>
            <w:right w:val="none" w:sz="0" w:space="0" w:color="auto"/>
          </w:divBdr>
          <w:divsChild>
            <w:div w:id="1375421682">
              <w:marLeft w:val="0"/>
              <w:marRight w:val="0"/>
              <w:marTop w:val="0"/>
              <w:marBottom w:val="0"/>
              <w:divBdr>
                <w:top w:val="none" w:sz="0" w:space="0" w:color="auto"/>
                <w:left w:val="none" w:sz="0" w:space="0" w:color="auto"/>
                <w:bottom w:val="none" w:sz="0" w:space="0" w:color="auto"/>
                <w:right w:val="none" w:sz="0" w:space="0" w:color="auto"/>
              </w:divBdr>
            </w:div>
          </w:divsChild>
        </w:div>
        <w:div w:id="123894425">
          <w:marLeft w:val="0"/>
          <w:marRight w:val="0"/>
          <w:marTop w:val="0"/>
          <w:marBottom w:val="0"/>
          <w:divBdr>
            <w:top w:val="none" w:sz="0" w:space="0" w:color="auto"/>
            <w:left w:val="none" w:sz="0" w:space="0" w:color="auto"/>
            <w:bottom w:val="none" w:sz="0" w:space="0" w:color="auto"/>
            <w:right w:val="none" w:sz="0" w:space="0" w:color="auto"/>
          </w:divBdr>
          <w:divsChild>
            <w:div w:id="1234202782">
              <w:marLeft w:val="0"/>
              <w:marRight w:val="0"/>
              <w:marTop w:val="0"/>
              <w:marBottom w:val="0"/>
              <w:divBdr>
                <w:top w:val="none" w:sz="0" w:space="0" w:color="auto"/>
                <w:left w:val="none" w:sz="0" w:space="0" w:color="auto"/>
                <w:bottom w:val="none" w:sz="0" w:space="0" w:color="auto"/>
                <w:right w:val="none" w:sz="0" w:space="0" w:color="auto"/>
              </w:divBdr>
            </w:div>
          </w:divsChild>
        </w:div>
        <w:div w:id="179515763">
          <w:marLeft w:val="0"/>
          <w:marRight w:val="0"/>
          <w:marTop w:val="0"/>
          <w:marBottom w:val="0"/>
          <w:divBdr>
            <w:top w:val="none" w:sz="0" w:space="0" w:color="auto"/>
            <w:left w:val="none" w:sz="0" w:space="0" w:color="auto"/>
            <w:bottom w:val="none" w:sz="0" w:space="0" w:color="auto"/>
            <w:right w:val="none" w:sz="0" w:space="0" w:color="auto"/>
          </w:divBdr>
          <w:divsChild>
            <w:div w:id="318267012">
              <w:marLeft w:val="0"/>
              <w:marRight w:val="0"/>
              <w:marTop w:val="0"/>
              <w:marBottom w:val="0"/>
              <w:divBdr>
                <w:top w:val="none" w:sz="0" w:space="0" w:color="auto"/>
                <w:left w:val="none" w:sz="0" w:space="0" w:color="auto"/>
                <w:bottom w:val="none" w:sz="0" w:space="0" w:color="auto"/>
                <w:right w:val="none" w:sz="0" w:space="0" w:color="auto"/>
              </w:divBdr>
            </w:div>
          </w:divsChild>
        </w:div>
        <w:div w:id="219443535">
          <w:marLeft w:val="0"/>
          <w:marRight w:val="0"/>
          <w:marTop w:val="0"/>
          <w:marBottom w:val="0"/>
          <w:divBdr>
            <w:top w:val="none" w:sz="0" w:space="0" w:color="auto"/>
            <w:left w:val="none" w:sz="0" w:space="0" w:color="auto"/>
            <w:bottom w:val="none" w:sz="0" w:space="0" w:color="auto"/>
            <w:right w:val="none" w:sz="0" w:space="0" w:color="auto"/>
          </w:divBdr>
          <w:divsChild>
            <w:div w:id="216085541">
              <w:marLeft w:val="0"/>
              <w:marRight w:val="0"/>
              <w:marTop w:val="0"/>
              <w:marBottom w:val="0"/>
              <w:divBdr>
                <w:top w:val="none" w:sz="0" w:space="0" w:color="auto"/>
                <w:left w:val="none" w:sz="0" w:space="0" w:color="auto"/>
                <w:bottom w:val="none" w:sz="0" w:space="0" w:color="auto"/>
                <w:right w:val="none" w:sz="0" w:space="0" w:color="auto"/>
              </w:divBdr>
            </w:div>
          </w:divsChild>
        </w:div>
        <w:div w:id="240796794">
          <w:marLeft w:val="0"/>
          <w:marRight w:val="0"/>
          <w:marTop w:val="0"/>
          <w:marBottom w:val="0"/>
          <w:divBdr>
            <w:top w:val="none" w:sz="0" w:space="0" w:color="auto"/>
            <w:left w:val="none" w:sz="0" w:space="0" w:color="auto"/>
            <w:bottom w:val="none" w:sz="0" w:space="0" w:color="auto"/>
            <w:right w:val="none" w:sz="0" w:space="0" w:color="auto"/>
          </w:divBdr>
          <w:divsChild>
            <w:div w:id="1530333125">
              <w:marLeft w:val="0"/>
              <w:marRight w:val="0"/>
              <w:marTop w:val="0"/>
              <w:marBottom w:val="0"/>
              <w:divBdr>
                <w:top w:val="none" w:sz="0" w:space="0" w:color="auto"/>
                <w:left w:val="none" w:sz="0" w:space="0" w:color="auto"/>
                <w:bottom w:val="none" w:sz="0" w:space="0" w:color="auto"/>
                <w:right w:val="none" w:sz="0" w:space="0" w:color="auto"/>
              </w:divBdr>
            </w:div>
          </w:divsChild>
        </w:div>
        <w:div w:id="262420023">
          <w:marLeft w:val="0"/>
          <w:marRight w:val="0"/>
          <w:marTop w:val="0"/>
          <w:marBottom w:val="0"/>
          <w:divBdr>
            <w:top w:val="none" w:sz="0" w:space="0" w:color="auto"/>
            <w:left w:val="none" w:sz="0" w:space="0" w:color="auto"/>
            <w:bottom w:val="none" w:sz="0" w:space="0" w:color="auto"/>
            <w:right w:val="none" w:sz="0" w:space="0" w:color="auto"/>
          </w:divBdr>
          <w:divsChild>
            <w:div w:id="275985512">
              <w:marLeft w:val="0"/>
              <w:marRight w:val="0"/>
              <w:marTop w:val="0"/>
              <w:marBottom w:val="0"/>
              <w:divBdr>
                <w:top w:val="none" w:sz="0" w:space="0" w:color="auto"/>
                <w:left w:val="none" w:sz="0" w:space="0" w:color="auto"/>
                <w:bottom w:val="none" w:sz="0" w:space="0" w:color="auto"/>
                <w:right w:val="none" w:sz="0" w:space="0" w:color="auto"/>
              </w:divBdr>
            </w:div>
          </w:divsChild>
        </w:div>
        <w:div w:id="354624012">
          <w:marLeft w:val="0"/>
          <w:marRight w:val="0"/>
          <w:marTop w:val="0"/>
          <w:marBottom w:val="0"/>
          <w:divBdr>
            <w:top w:val="none" w:sz="0" w:space="0" w:color="auto"/>
            <w:left w:val="none" w:sz="0" w:space="0" w:color="auto"/>
            <w:bottom w:val="none" w:sz="0" w:space="0" w:color="auto"/>
            <w:right w:val="none" w:sz="0" w:space="0" w:color="auto"/>
          </w:divBdr>
          <w:divsChild>
            <w:div w:id="446894415">
              <w:marLeft w:val="0"/>
              <w:marRight w:val="0"/>
              <w:marTop w:val="0"/>
              <w:marBottom w:val="0"/>
              <w:divBdr>
                <w:top w:val="none" w:sz="0" w:space="0" w:color="auto"/>
                <w:left w:val="none" w:sz="0" w:space="0" w:color="auto"/>
                <w:bottom w:val="none" w:sz="0" w:space="0" w:color="auto"/>
                <w:right w:val="none" w:sz="0" w:space="0" w:color="auto"/>
              </w:divBdr>
            </w:div>
          </w:divsChild>
        </w:div>
        <w:div w:id="359161502">
          <w:marLeft w:val="0"/>
          <w:marRight w:val="0"/>
          <w:marTop w:val="0"/>
          <w:marBottom w:val="0"/>
          <w:divBdr>
            <w:top w:val="none" w:sz="0" w:space="0" w:color="auto"/>
            <w:left w:val="none" w:sz="0" w:space="0" w:color="auto"/>
            <w:bottom w:val="none" w:sz="0" w:space="0" w:color="auto"/>
            <w:right w:val="none" w:sz="0" w:space="0" w:color="auto"/>
          </w:divBdr>
          <w:divsChild>
            <w:div w:id="1061249265">
              <w:marLeft w:val="0"/>
              <w:marRight w:val="0"/>
              <w:marTop w:val="0"/>
              <w:marBottom w:val="0"/>
              <w:divBdr>
                <w:top w:val="none" w:sz="0" w:space="0" w:color="auto"/>
                <w:left w:val="none" w:sz="0" w:space="0" w:color="auto"/>
                <w:bottom w:val="none" w:sz="0" w:space="0" w:color="auto"/>
                <w:right w:val="none" w:sz="0" w:space="0" w:color="auto"/>
              </w:divBdr>
            </w:div>
          </w:divsChild>
        </w:div>
        <w:div w:id="379281363">
          <w:marLeft w:val="0"/>
          <w:marRight w:val="0"/>
          <w:marTop w:val="0"/>
          <w:marBottom w:val="0"/>
          <w:divBdr>
            <w:top w:val="none" w:sz="0" w:space="0" w:color="auto"/>
            <w:left w:val="none" w:sz="0" w:space="0" w:color="auto"/>
            <w:bottom w:val="none" w:sz="0" w:space="0" w:color="auto"/>
            <w:right w:val="none" w:sz="0" w:space="0" w:color="auto"/>
          </w:divBdr>
          <w:divsChild>
            <w:div w:id="112990283">
              <w:marLeft w:val="0"/>
              <w:marRight w:val="0"/>
              <w:marTop w:val="0"/>
              <w:marBottom w:val="0"/>
              <w:divBdr>
                <w:top w:val="none" w:sz="0" w:space="0" w:color="auto"/>
                <w:left w:val="none" w:sz="0" w:space="0" w:color="auto"/>
                <w:bottom w:val="none" w:sz="0" w:space="0" w:color="auto"/>
                <w:right w:val="none" w:sz="0" w:space="0" w:color="auto"/>
              </w:divBdr>
            </w:div>
          </w:divsChild>
        </w:div>
        <w:div w:id="414909782">
          <w:marLeft w:val="0"/>
          <w:marRight w:val="0"/>
          <w:marTop w:val="0"/>
          <w:marBottom w:val="0"/>
          <w:divBdr>
            <w:top w:val="none" w:sz="0" w:space="0" w:color="auto"/>
            <w:left w:val="none" w:sz="0" w:space="0" w:color="auto"/>
            <w:bottom w:val="none" w:sz="0" w:space="0" w:color="auto"/>
            <w:right w:val="none" w:sz="0" w:space="0" w:color="auto"/>
          </w:divBdr>
          <w:divsChild>
            <w:div w:id="1887378238">
              <w:marLeft w:val="0"/>
              <w:marRight w:val="0"/>
              <w:marTop w:val="0"/>
              <w:marBottom w:val="0"/>
              <w:divBdr>
                <w:top w:val="none" w:sz="0" w:space="0" w:color="auto"/>
                <w:left w:val="none" w:sz="0" w:space="0" w:color="auto"/>
                <w:bottom w:val="none" w:sz="0" w:space="0" w:color="auto"/>
                <w:right w:val="none" w:sz="0" w:space="0" w:color="auto"/>
              </w:divBdr>
            </w:div>
          </w:divsChild>
        </w:div>
        <w:div w:id="430009670">
          <w:marLeft w:val="0"/>
          <w:marRight w:val="0"/>
          <w:marTop w:val="0"/>
          <w:marBottom w:val="0"/>
          <w:divBdr>
            <w:top w:val="none" w:sz="0" w:space="0" w:color="auto"/>
            <w:left w:val="none" w:sz="0" w:space="0" w:color="auto"/>
            <w:bottom w:val="none" w:sz="0" w:space="0" w:color="auto"/>
            <w:right w:val="none" w:sz="0" w:space="0" w:color="auto"/>
          </w:divBdr>
          <w:divsChild>
            <w:div w:id="352390566">
              <w:marLeft w:val="0"/>
              <w:marRight w:val="0"/>
              <w:marTop w:val="0"/>
              <w:marBottom w:val="0"/>
              <w:divBdr>
                <w:top w:val="none" w:sz="0" w:space="0" w:color="auto"/>
                <w:left w:val="none" w:sz="0" w:space="0" w:color="auto"/>
                <w:bottom w:val="none" w:sz="0" w:space="0" w:color="auto"/>
                <w:right w:val="none" w:sz="0" w:space="0" w:color="auto"/>
              </w:divBdr>
            </w:div>
          </w:divsChild>
        </w:div>
        <w:div w:id="439031462">
          <w:marLeft w:val="0"/>
          <w:marRight w:val="0"/>
          <w:marTop w:val="0"/>
          <w:marBottom w:val="0"/>
          <w:divBdr>
            <w:top w:val="none" w:sz="0" w:space="0" w:color="auto"/>
            <w:left w:val="none" w:sz="0" w:space="0" w:color="auto"/>
            <w:bottom w:val="none" w:sz="0" w:space="0" w:color="auto"/>
            <w:right w:val="none" w:sz="0" w:space="0" w:color="auto"/>
          </w:divBdr>
          <w:divsChild>
            <w:div w:id="1012878112">
              <w:marLeft w:val="0"/>
              <w:marRight w:val="0"/>
              <w:marTop w:val="0"/>
              <w:marBottom w:val="0"/>
              <w:divBdr>
                <w:top w:val="none" w:sz="0" w:space="0" w:color="auto"/>
                <w:left w:val="none" w:sz="0" w:space="0" w:color="auto"/>
                <w:bottom w:val="none" w:sz="0" w:space="0" w:color="auto"/>
                <w:right w:val="none" w:sz="0" w:space="0" w:color="auto"/>
              </w:divBdr>
            </w:div>
          </w:divsChild>
        </w:div>
        <w:div w:id="448671568">
          <w:marLeft w:val="0"/>
          <w:marRight w:val="0"/>
          <w:marTop w:val="0"/>
          <w:marBottom w:val="0"/>
          <w:divBdr>
            <w:top w:val="none" w:sz="0" w:space="0" w:color="auto"/>
            <w:left w:val="none" w:sz="0" w:space="0" w:color="auto"/>
            <w:bottom w:val="none" w:sz="0" w:space="0" w:color="auto"/>
            <w:right w:val="none" w:sz="0" w:space="0" w:color="auto"/>
          </w:divBdr>
          <w:divsChild>
            <w:div w:id="1876386009">
              <w:marLeft w:val="0"/>
              <w:marRight w:val="0"/>
              <w:marTop w:val="0"/>
              <w:marBottom w:val="0"/>
              <w:divBdr>
                <w:top w:val="none" w:sz="0" w:space="0" w:color="auto"/>
                <w:left w:val="none" w:sz="0" w:space="0" w:color="auto"/>
                <w:bottom w:val="none" w:sz="0" w:space="0" w:color="auto"/>
                <w:right w:val="none" w:sz="0" w:space="0" w:color="auto"/>
              </w:divBdr>
            </w:div>
          </w:divsChild>
        </w:div>
        <w:div w:id="477191204">
          <w:marLeft w:val="0"/>
          <w:marRight w:val="0"/>
          <w:marTop w:val="0"/>
          <w:marBottom w:val="0"/>
          <w:divBdr>
            <w:top w:val="none" w:sz="0" w:space="0" w:color="auto"/>
            <w:left w:val="none" w:sz="0" w:space="0" w:color="auto"/>
            <w:bottom w:val="none" w:sz="0" w:space="0" w:color="auto"/>
            <w:right w:val="none" w:sz="0" w:space="0" w:color="auto"/>
          </w:divBdr>
          <w:divsChild>
            <w:div w:id="309410497">
              <w:marLeft w:val="0"/>
              <w:marRight w:val="0"/>
              <w:marTop w:val="0"/>
              <w:marBottom w:val="0"/>
              <w:divBdr>
                <w:top w:val="none" w:sz="0" w:space="0" w:color="auto"/>
                <w:left w:val="none" w:sz="0" w:space="0" w:color="auto"/>
                <w:bottom w:val="none" w:sz="0" w:space="0" w:color="auto"/>
                <w:right w:val="none" w:sz="0" w:space="0" w:color="auto"/>
              </w:divBdr>
            </w:div>
          </w:divsChild>
        </w:div>
        <w:div w:id="499082676">
          <w:marLeft w:val="0"/>
          <w:marRight w:val="0"/>
          <w:marTop w:val="0"/>
          <w:marBottom w:val="0"/>
          <w:divBdr>
            <w:top w:val="none" w:sz="0" w:space="0" w:color="auto"/>
            <w:left w:val="none" w:sz="0" w:space="0" w:color="auto"/>
            <w:bottom w:val="none" w:sz="0" w:space="0" w:color="auto"/>
            <w:right w:val="none" w:sz="0" w:space="0" w:color="auto"/>
          </w:divBdr>
          <w:divsChild>
            <w:div w:id="1904171819">
              <w:marLeft w:val="0"/>
              <w:marRight w:val="0"/>
              <w:marTop w:val="0"/>
              <w:marBottom w:val="0"/>
              <w:divBdr>
                <w:top w:val="none" w:sz="0" w:space="0" w:color="auto"/>
                <w:left w:val="none" w:sz="0" w:space="0" w:color="auto"/>
                <w:bottom w:val="none" w:sz="0" w:space="0" w:color="auto"/>
                <w:right w:val="none" w:sz="0" w:space="0" w:color="auto"/>
              </w:divBdr>
            </w:div>
          </w:divsChild>
        </w:div>
        <w:div w:id="522207335">
          <w:marLeft w:val="0"/>
          <w:marRight w:val="0"/>
          <w:marTop w:val="0"/>
          <w:marBottom w:val="0"/>
          <w:divBdr>
            <w:top w:val="none" w:sz="0" w:space="0" w:color="auto"/>
            <w:left w:val="none" w:sz="0" w:space="0" w:color="auto"/>
            <w:bottom w:val="none" w:sz="0" w:space="0" w:color="auto"/>
            <w:right w:val="none" w:sz="0" w:space="0" w:color="auto"/>
          </w:divBdr>
          <w:divsChild>
            <w:div w:id="1338070927">
              <w:marLeft w:val="0"/>
              <w:marRight w:val="0"/>
              <w:marTop w:val="0"/>
              <w:marBottom w:val="0"/>
              <w:divBdr>
                <w:top w:val="none" w:sz="0" w:space="0" w:color="auto"/>
                <w:left w:val="none" w:sz="0" w:space="0" w:color="auto"/>
                <w:bottom w:val="none" w:sz="0" w:space="0" w:color="auto"/>
                <w:right w:val="none" w:sz="0" w:space="0" w:color="auto"/>
              </w:divBdr>
            </w:div>
          </w:divsChild>
        </w:div>
        <w:div w:id="547033832">
          <w:marLeft w:val="0"/>
          <w:marRight w:val="0"/>
          <w:marTop w:val="0"/>
          <w:marBottom w:val="0"/>
          <w:divBdr>
            <w:top w:val="none" w:sz="0" w:space="0" w:color="auto"/>
            <w:left w:val="none" w:sz="0" w:space="0" w:color="auto"/>
            <w:bottom w:val="none" w:sz="0" w:space="0" w:color="auto"/>
            <w:right w:val="none" w:sz="0" w:space="0" w:color="auto"/>
          </w:divBdr>
          <w:divsChild>
            <w:div w:id="9719177">
              <w:marLeft w:val="0"/>
              <w:marRight w:val="0"/>
              <w:marTop w:val="0"/>
              <w:marBottom w:val="0"/>
              <w:divBdr>
                <w:top w:val="none" w:sz="0" w:space="0" w:color="auto"/>
                <w:left w:val="none" w:sz="0" w:space="0" w:color="auto"/>
                <w:bottom w:val="none" w:sz="0" w:space="0" w:color="auto"/>
                <w:right w:val="none" w:sz="0" w:space="0" w:color="auto"/>
              </w:divBdr>
            </w:div>
          </w:divsChild>
        </w:div>
        <w:div w:id="584799324">
          <w:marLeft w:val="0"/>
          <w:marRight w:val="0"/>
          <w:marTop w:val="0"/>
          <w:marBottom w:val="0"/>
          <w:divBdr>
            <w:top w:val="none" w:sz="0" w:space="0" w:color="auto"/>
            <w:left w:val="none" w:sz="0" w:space="0" w:color="auto"/>
            <w:bottom w:val="none" w:sz="0" w:space="0" w:color="auto"/>
            <w:right w:val="none" w:sz="0" w:space="0" w:color="auto"/>
          </w:divBdr>
          <w:divsChild>
            <w:div w:id="1689678994">
              <w:marLeft w:val="0"/>
              <w:marRight w:val="0"/>
              <w:marTop w:val="0"/>
              <w:marBottom w:val="0"/>
              <w:divBdr>
                <w:top w:val="none" w:sz="0" w:space="0" w:color="auto"/>
                <w:left w:val="none" w:sz="0" w:space="0" w:color="auto"/>
                <w:bottom w:val="none" w:sz="0" w:space="0" w:color="auto"/>
                <w:right w:val="none" w:sz="0" w:space="0" w:color="auto"/>
              </w:divBdr>
            </w:div>
          </w:divsChild>
        </w:div>
        <w:div w:id="630936915">
          <w:marLeft w:val="0"/>
          <w:marRight w:val="0"/>
          <w:marTop w:val="0"/>
          <w:marBottom w:val="0"/>
          <w:divBdr>
            <w:top w:val="none" w:sz="0" w:space="0" w:color="auto"/>
            <w:left w:val="none" w:sz="0" w:space="0" w:color="auto"/>
            <w:bottom w:val="none" w:sz="0" w:space="0" w:color="auto"/>
            <w:right w:val="none" w:sz="0" w:space="0" w:color="auto"/>
          </w:divBdr>
          <w:divsChild>
            <w:div w:id="627663026">
              <w:marLeft w:val="0"/>
              <w:marRight w:val="0"/>
              <w:marTop w:val="0"/>
              <w:marBottom w:val="0"/>
              <w:divBdr>
                <w:top w:val="none" w:sz="0" w:space="0" w:color="auto"/>
                <w:left w:val="none" w:sz="0" w:space="0" w:color="auto"/>
                <w:bottom w:val="none" w:sz="0" w:space="0" w:color="auto"/>
                <w:right w:val="none" w:sz="0" w:space="0" w:color="auto"/>
              </w:divBdr>
            </w:div>
          </w:divsChild>
        </w:div>
        <w:div w:id="644428877">
          <w:marLeft w:val="0"/>
          <w:marRight w:val="0"/>
          <w:marTop w:val="0"/>
          <w:marBottom w:val="0"/>
          <w:divBdr>
            <w:top w:val="none" w:sz="0" w:space="0" w:color="auto"/>
            <w:left w:val="none" w:sz="0" w:space="0" w:color="auto"/>
            <w:bottom w:val="none" w:sz="0" w:space="0" w:color="auto"/>
            <w:right w:val="none" w:sz="0" w:space="0" w:color="auto"/>
          </w:divBdr>
          <w:divsChild>
            <w:div w:id="584918210">
              <w:marLeft w:val="0"/>
              <w:marRight w:val="0"/>
              <w:marTop w:val="0"/>
              <w:marBottom w:val="0"/>
              <w:divBdr>
                <w:top w:val="none" w:sz="0" w:space="0" w:color="auto"/>
                <w:left w:val="none" w:sz="0" w:space="0" w:color="auto"/>
                <w:bottom w:val="none" w:sz="0" w:space="0" w:color="auto"/>
                <w:right w:val="none" w:sz="0" w:space="0" w:color="auto"/>
              </w:divBdr>
            </w:div>
          </w:divsChild>
        </w:div>
        <w:div w:id="647444112">
          <w:marLeft w:val="0"/>
          <w:marRight w:val="0"/>
          <w:marTop w:val="0"/>
          <w:marBottom w:val="0"/>
          <w:divBdr>
            <w:top w:val="none" w:sz="0" w:space="0" w:color="auto"/>
            <w:left w:val="none" w:sz="0" w:space="0" w:color="auto"/>
            <w:bottom w:val="none" w:sz="0" w:space="0" w:color="auto"/>
            <w:right w:val="none" w:sz="0" w:space="0" w:color="auto"/>
          </w:divBdr>
          <w:divsChild>
            <w:div w:id="1784809210">
              <w:marLeft w:val="0"/>
              <w:marRight w:val="0"/>
              <w:marTop w:val="0"/>
              <w:marBottom w:val="0"/>
              <w:divBdr>
                <w:top w:val="none" w:sz="0" w:space="0" w:color="auto"/>
                <w:left w:val="none" w:sz="0" w:space="0" w:color="auto"/>
                <w:bottom w:val="none" w:sz="0" w:space="0" w:color="auto"/>
                <w:right w:val="none" w:sz="0" w:space="0" w:color="auto"/>
              </w:divBdr>
            </w:div>
          </w:divsChild>
        </w:div>
        <w:div w:id="665329299">
          <w:marLeft w:val="0"/>
          <w:marRight w:val="0"/>
          <w:marTop w:val="0"/>
          <w:marBottom w:val="0"/>
          <w:divBdr>
            <w:top w:val="none" w:sz="0" w:space="0" w:color="auto"/>
            <w:left w:val="none" w:sz="0" w:space="0" w:color="auto"/>
            <w:bottom w:val="none" w:sz="0" w:space="0" w:color="auto"/>
            <w:right w:val="none" w:sz="0" w:space="0" w:color="auto"/>
          </w:divBdr>
          <w:divsChild>
            <w:div w:id="239340509">
              <w:marLeft w:val="0"/>
              <w:marRight w:val="0"/>
              <w:marTop w:val="0"/>
              <w:marBottom w:val="0"/>
              <w:divBdr>
                <w:top w:val="none" w:sz="0" w:space="0" w:color="auto"/>
                <w:left w:val="none" w:sz="0" w:space="0" w:color="auto"/>
                <w:bottom w:val="none" w:sz="0" w:space="0" w:color="auto"/>
                <w:right w:val="none" w:sz="0" w:space="0" w:color="auto"/>
              </w:divBdr>
            </w:div>
          </w:divsChild>
        </w:div>
        <w:div w:id="671185580">
          <w:marLeft w:val="0"/>
          <w:marRight w:val="0"/>
          <w:marTop w:val="0"/>
          <w:marBottom w:val="0"/>
          <w:divBdr>
            <w:top w:val="none" w:sz="0" w:space="0" w:color="auto"/>
            <w:left w:val="none" w:sz="0" w:space="0" w:color="auto"/>
            <w:bottom w:val="none" w:sz="0" w:space="0" w:color="auto"/>
            <w:right w:val="none" w:sz="0" w:space="0" w:color="auto"/>
          </w:divBdr>
          <w:divsChild>
            <w:div w:id="1826848371">
              <w:marLeft w:val="0"/>
              <w:marRight w:val="0"/>
              <w:marTop w:val="0"/>
              <w:marBottom w:val="0"/>
              <w:divBdr>
                <w:top w:val="none" w:sz="0" w:space="0" w:color="auto"/>
                <w:left w:val="none" w:sz="0" w:space="0" w:color="auto"/>
                <w:bottom w:val="none" w:sz="0" w:space="0" w:color="auto"/>
                <w:right w:val="none" w:sz="0" w:space="0" w:color="auto"/>
              </w:divBdr>
            </w:div>
          </w:divsChild>
        </w:div>
        <w:div w:id="690034612">
          <w:marLeft w:val="0"/>
          <w:marRight w:val="0"/>
          <w:marTop w:val="0"/>
          <w:marBottom w:val="0"/>
          <w:divBdr>
            <w:top w:val="none" w:sz="0" w:space="0" w:color="auto"/>
            <w:left w:val="none" w:sz="0" w:space="0" w:color="auto"/>
            <w:bottom w:val="none" w:sz="0" w:space="0" w:color="auto"/>
            <w:right w:val="none" w:sz="0" w:space="0" w:color="auto"/>
          </w:divBdr>
          <w:divsChild>
            <w:div w:id="780954536">
              <w:marLeft w:val="0"/>
              <w:marRight w:val="0"/>
              <w:marTop w:val="0"/>
              <w:marBottom w:val="0"/>
              <w:divBdr>
                <w:top w:val="none" w:sz="0" w:space="0" w:color="auto"/>
                <w:left w:val="none" w:sz="0" w:space="0" w:color="auto"/>
                <w:bottom w:val="none" w:sz="0" w:space="0" w:color="auto"/>
                <w:right w:val="none" w:sz="0" w:space="0" w:color="auto"/>
              </w:divBdr>
            </w:div>
          </w:divsChild>
        </w:div>
        <w:div w:id="789931809">
          <w:marLeft w:val="0"/>
          <w:marRight w:val="0"/>
          <w:marTop w:val="0"/>
          <w:marBottom w:val="0"/>
          <w:divBdr>
            <w:top w:val="none" w:sz="0" w:space="0" w:color="auto"/>
            <w:left w:val="none" w:sz="0" w:space="0" w:color="auto"/>
            <w:bottom w:val="none" w:sz="0" w:space="0" w:color="auto"/>
            <w:right w:val="none" w:sz="0" w:space="0" w:color="auto"/>
          </w:divBdr>
          <w:divsChild>
            <w:div w:id="1592158610">
              <w:marLeft w:val="0"/>
              <w:marRight w:val="0"/>
              <w:marTop w:val="0"/>
              <w:marBottom w:val="0"/>
              <w:divBdr>
                <w:top w:val="none" w:sz="0" w:space="0" w:color="auto"/>
                <w:left w:val="none" w:sz="0" w:space="0" w:color="auto"/>
                <w:bottom w:val="none" w:sz="0" w:space="0" w:color="auto"/>
                <w:right w:val="none" w:sz="0" w:space="0" w:color="auto"/>
              </w:divBdr>
            </w:div>
          </w:divsChild>
        </w:div>
        <w:div w:id="848643970">
          <w:marLeft w:val="0"/>
          <w:marRight w:val="0"/>
          <w:marTop w:val="0"/>
          <w:marBottom w:val="0"/>
          <w:divBdr>
            <w:top w:val="none" w:sz="0" w:space="0" w:color="auto"/>
            <w:left w:val="none" w:sz="0" w:space="0" w:color="auto"/>
            <w:bottom w:val="none" w:sz="0" w:space="0" w:color="auto"/>
            <w:right w:val="none" w:sz="0" w:space="0" w:color="auto"/>
          </w:divBdr>
          <w:divsChild>
            <w:div w:id="1994262430">
              <w:marLeft w:val="0"/>
              <w:marRight w:val="0"/>
              <w:marTop w:val="0"/>
              <w:marBottom w:val="0"/>
              <w:divBdr>
                <w:top w:val="none" w:sz="0" w:space="0" w:color="auto"/>
                <w:left w:val="none" w:sz="0" w:space="0" w:color="auto"/>
                <w:bottom w:val="none" w:sz="0" w:space="0" w:color="auto"/>
                <w:right w:val="none" w:sz="0" w:space="0" w:color="auto"/>
              </w:divBdr>
            </w:div>
          </w:divsChild>
        </w:div>
        <w:div w:id="923339901">
          <w:marLeft w:val="0"/>
          <w:marRight w:val="0"/>
          <w:marTop w:val="0"/>
          <w:marBottom w:val="0"/>
          <w:divBdr>
            <w:top w:val="none" w:sz="0" w:space="0" w:color="auto"/>
            <w:left w:val="none" w:sz="0" w:space="0" w:color="auto"/>
            <w:bottom w:val="none" w:sz="0" w:space="0" w:color="auto"/>
            <w:right w:val="none" w:sz="0" w:space="0" w:color="auto"/>
          </w:divBdr>
          <w:divsChild>
            <w:div w:id="1666199400">
              <w:marLeft w:val="0"/>
              <w:marRight w:val="0"/>
              <w:marTop w:val="0"/>
              <w:marBottom w:val="0"/>
              <w:divBdr>
                <w:top w:val="none" w:sz="0" w:space="0" w:color="auto"/>
                <w:left w:val="none" w:sz="0" w:space="0" w:color="auto"/>
                <w:bottom w:val="none" w:sz="0" w:space="0" w:color="auto"/>
                <w:right w:val="none" w:sz="0" w:space="0" w:color="auto"/>
              </w:divBdr>
            </w:div>
          </w:divsChild>
        </w:div>
        <w:div w:id="928587538">
          <w:marLeft w:val="0"/>
          <w:marRight w:val="0"/>
          <w:marTop w:val="0"/>
          <w:marBottom w:val="0"/>
          <w:divBdr>
            <w:top w:val="none" w:sz="0" w:space="0" w:color="auto"/>
            <w:left w:val="none" w:sz="0" w:space="0" w:color="auto"/>
            <w:bottom w:val="none" w:sz="0" w:space="0" w:color="auto"/>
            <w:right w:val="none" w:sz="0" w:space="0" w:color="auto"/>
          </w:divBdr>
          <w:divsChild>
            <w:div w:id="1957173992">
              <w:marLeft w:val="0"/>
              <w:marRight w:val="0"/>
              <w:marTop w:val="0"/>
              <w:marBottom w:val="0"/>
              <w:divBdr>
                <w:top w:val="none" w:sz="0" w:space="0" w:color="auto"/>
                <w:left w:val="none" w:sz="0" w:space="0" w:color="auto"/>
                <w:bottom w:val="none" w:sz="0" w:space="0" w:color="auto"/>
                <w:right w:val="none" w:sz="0" w:space="0" w:color="auto"/>
              </w:divBdr>
            </w:div>
          </w:divsChild>
        </w:div>
        <w:div w:id="956640897">
          <w:marLeft w:val="0"/>
          <w:marRight w:val="0"/>
          <w:marTop w:val="0"/>
          <w:marBottom w:val="0"/>
          <w:divBdr>
            <w:top w:val="none" w:sz="0" w:space="0" w:color="auto"/>
            <w:left w:val="none" w:sz="0" w:space="0" w:color="auto"/>
            <w:bottom w:val="none" w:sz="0" w:space="0" w:color="auto"/>
            <w:right w:val="none" w:sz="0" w:space="0" w:color="auto"/>
          </w:divBdr>
          <w:divsChild>
            <w:div w:id="1385135561">
              <w:marLeft w:val="0"/>
              <w:marRight w:val="0"/>
              <w:marTop w:val="0"/>
              <w:marBottom w:val="0"/>
              <w:divBdr>
                <w:top w:val="none" w:sz="0" w:space="0" w:color="auto"/>
                <w:left w:val="none" w:sz="0" w:space="0" w:color="auto"/>
                <w:bottom w:val="none" w:sz="0" w:space="0" w:color="auto"/>
                <w:right w:val="none" w:sz="0" w:space="0" w:color="auto"/>
              </w:divBdr>
            </w:div>
          </w:divsChild>
        </w:div>
        <w:div w:id="995298899">
          <w:marLeft w:val="0"/>
          <w:marRight w:val="0"/>
          <w:marTop w:val="0"/>
          <w:marBottom w:val="0"/>
          <w:divBdr>
            <w:top w:val="none" w:sz="0" w:space="0" w:color="auto"/>
            <w:left w:val="none" w:sz="0" w:space="0" w:color="auto"/>
            <w:bottom w:val="none" w:sz="0" w:space="0" w:color="auto"/>
            <w:right w:val="none" w:sz="0" w:space="0" w:color="auto"/>
          </w:divBdr>
          <w:divsChild>
            <w:div w:id="306856646">
              <w:marLeft w:val="0"/>
              <w:marRight w:val="0"/>
              <w:marTop w:val="0"/>
              <w:marBottom w:val="0"/>
              <w:divBdr>
                <w:top w:val="none" w:sz="0" w:space="0" w:color="auto"/>
                <w:left w:val="none" w:sz="0" w:space="0" w:color="auto"/>
                <w:bottom w:val="none" w:sz="0" w:space="0" w:color="auto"/>
                <w:right w:val="none" w:sz="0" w:space="0" w:color="auto"/>
              </w:divBdr>
            </w:div>
          </w:divsChild>
        </w:div>
        <w:div w:id="1016930277">
          <w:marLeft w:val="0"/>
          <w:marRight w:val="0"/>
          <w:marTop w:val="0"/>
          <w:marBottom w:val="0"/>
          <w:divBdr>
            <w:top w:val="none" w:sz="0" w:space="0" w:color="auto"/>
            <w:left w:val="none" w:sz="0" w:space="0" w:color="auto"/>
            <w:bottom w:val="none" w:sz="0" w:space="0" w:color="auto"/>
            <w:right w:val="none" w:sz="0" w:space="0" w:color="auto"/>
          </w:divBdr>
          <w:divsChild>
            <w:div w:id="679893370">
              <w:marLeft w:val="0"/>
              <w:marRight w:val="0"/>
              <w:marTop w:val="0"/>
              <w:marBottom w:val="0"/>
              <w:divBdr>
                <w:top w:val="none" w:sz="0" w:space="0" w:color="auto"/>
                <w:left w:val="none" w:sz="0" w:space="0" w:color="auto"/>
                <w:bottom w:val="none" w:sz="0" w:space="0" w:color="auto"/>
                <w:right w:val="none" w:sz="0" w:space="0" w:color="auto"/>
              </w:divBdr>
            </w:div>
          </w:divsChild>
        </w:div>
        <w:div w:id="1129740124">
          <w:marLeft w:val="0"/>
          <w:marRight w:val="0"/>
          <w:marTop w:val="0"/>
          <w:marBottom w:val="0"/>
          <w:divBdr>
            <w:top w:val="none" w:sz="0" w:space="0" w:color="auto"/>
            <w:left w:val="none" w:sz="0" w:space="0" w:color="auto"/>
            <w:bottom w:val="none" w:sz="0" w:space="0" w:color="auto"/>
            <w:right w:val="none" w:sz="0" w:space="0" w:color="auto"/>
          </w:divBdr>
          <w:divsChild>
            <w:div w:id="1885016073">
              <w:marLeft w:val="0"/>
              <w:marRight w:val="0"/>
              <w:marTop w:val="0"/>
              <w:marBottom w:val="0"/>
              <w:divBdr>
                <w:top w:val="none" w:sz="0" w:space="0" w:color="auto"/>
                <w:left w:val="none" w:sz="0" w:space="0" w:color="auto"/>
                <w:bottom w:val="none" w:sz="0" w:space="0" w:color="auto"/>
                <w:right w:val="none" w:sz="0" w:space="0" w:color="auto"/>
              </w:divBdr>
            </w:div>
          </w:divsChild>
        </w:div>
        <w:div w:id="1141536498">
          <w:marLeft w:val="0"/>
          <w:marRight w:val="0"/>
          <w:marTop w:val="0"/>
          <w:marBottom w:val="0"/>
          <w:divBdr>
            <w:top w:val="none" w:sz="0" w:space="0" w:color="auto"/>
            <w:left w:val="none" w:sz="0" w:space="0" w:color="auto"/>
            <w:bottom w:val="none" w:sz="0" w:space="0" w:color="auto"/>
            <w:right w:val="none" w:sz="0" w:space="0" w:color="auto"/>
          </w:divBdr>
          <w:divsChild>
            <w:div w:id="824666318">
              <w:marLeft w:val="0"/>
              <w:marRight w:val="0"/>
              <w:marTop w:val="0"/>
              <w:marBottom w:val="0"/>
              <w:divBdr>
                <w:top w:val="none" w:sz="0" w:space="0" w:color="auto"/>
                <w:left w:val="none" w:sz="0" w:space="0" w:color="auto"/>
                <w:bottom w:val="none" w:sz="0" w:space="0" w:color="auto"/>
                <w:right w:val="none" w:sz="0" w:space="0" w:color="auto"/>
              </w:divBdr>
            </w:div>
          </w:divsChild>
        </w:div>
        <w:div w:id="1214318128">
          <w:marLeft w:val="0"/>
          <w:marRight w:val="0"/>
          <w:marTop w:val="0"/>
          <w:marBottom w:val="0"/>
          <w:divBdr>
            <w:top w:val="none" w:sz="0" w:space="0" w:color="auto"/>
            <w:left w:val="none" w:sz="0" w:space="0" w:color="auto"/>
            <w:bottom w:val="none" w:sz="0" w:space="0" w:color="auto"/>
            <w:right w:val="none" w:sz="0" w:space="0" w:color="auto"/>
          </w:divBdr>
          <w:divsChild>
            <w:div w:id="1961380017">
              <w:marLeft w:val="0"/>
              <w:marRight w:val="0"/>
              <w:marTop w:val="0"/>
              <w:marBottom w:val="0"/>
              <w:divBdr>
                <w:top w:val="none" w:sz="0" w:space="0" w:color="auto"/>
                <w:left w:val="none" w:sz="0" w:space="0" w:color="auto"/>
                <w:bottom w:val="none" w:sz="0" w:space="0" w:color="auto"/>
                <w:right w:val="none" w:sz="0" w:space="0" w:color="auto"/>
              </w:divBdr>
            </w:div>
          </w:divsChild>
        </w:div>
        <w:div w:id="1256522064">
          <w:marLeft w:val="0"/>
          <w:marRight w:val="0"/>
          <w:marTop w:val="0"/>
          <w:marBottom w:val="0"/>
          <w:divBdr>
            <w:top w:val="none" w:sz="0" w:space="0" w:color="auto"/>
            <w:left w:val="none" w:sz="0" w:space="0" w:color="auto"/>
            <w:bottom w:val="none" w:sz="0" w:space="0" w:color="auto"/>
            <w:right w:val="none" w:sz="0" w:space="0" w:color="auto"/>
          </w:divBdr>
          <w:divsChild>
            <w:div w:id="1402825210">
              <w:marLeft w:val="0"/>
              <w:marRight w:val="0"/>
              <w:marTop w:val="0"/>
              <w:marBottom w:val="0"/>
              <w:divBdr>
                <w:top w:val="none" w:sz="0" w:space="0" w:color="auto"/>
                <w:left w:val="none" w:sz="0" w:space="0" w:color="auto"/>
                <w:bottom w:val="none" w:sz="0" w:space="0" w:color="auto"/>
                <w:right w:val="none" w:sz="0" w:space="0" w:color="auto"/>
              </w:divBdr>
            </w:div>
          </w:divsChild>
        </w:div>
        <w:div w:id="1322612984">
          <w:marLeft w:val="0"/>
          <w:marRight w:val="0"/>
          <w:marTop w:val="0"/>
          <w:marBottom w:val="0"/>
          <w:divBdr>
            <w:top w:val="none" w:sz="0" w:space="0" w:color="auto"/>
            <w:left w:val="none" w:sz="0" w:space="0" w:color="auto"/>
            <w:bottom w:val="none" w:sz="0" w:space="0" w:color="auto"/>
            <w:right w:val="none" w:sz="0" w:space="0" w:color="auto"/>
          </w:divBdr>
          <w:divsChild>
            <w:div w:id="551115891">
              <w:marLeft w:val="0"/>
              <w:marRight w:val="0"/>
              <w:marTop w:val="0"/>
              <w:marBottom w:val="0"/>
              <w:divBdr>
                <w:top w:val="none" w:sz="0" w:space="0" w:color="auto"/>
                <w:left w:val="none" w:sz="0" w:space="0" w:color="auto"/>
                <w:bottom w:val="none" w:sz="0" w:space="0" w:color="auto"/>
                <w:right w:val="none" w:sz="0" w:space="0" w:color="auto"/>
              </w:divBdr>
            </w:div>
          </w:divsChild>
        </w:div>
        <w:div w:id="1337221724">
          <w:marLeft w:val="0"/>
          <w:marRight w:val="0"/>
          <w:marTop w:val="0"/>
          <w:marBottom w:val="0"/>
          <w:divBdr>
            <w:top w:val="none" w:sz="0" w:space="0" w:color="auto"/>
            <w:left w:val="none" w:sz="0" w:space="0" w:color="auto"/>
            <w:bottom w:val="none" w:sz="0" w:space="0" w:color="auto"/>
            <w:right w:val="none" w:sz="0" w:space="0" w:color="auto"/>
          </w:divBdr>
          <w:divsChild>
            <w:div w:id="1826626827">
              <w:marLeft w:val="0"/>
              <w:marRight w:val="0"/>
              <w:marTop w:val="0"/>
              <w:marBottom w:val="0"/>
              <w:divBdr>
                <w:top w:val="none" w:sz="0" w:space="0" w:color="auto"/>
                <w:left w:val="none" w:sz="0" w:space="0" w:color="auto"/>
                <w:bottom w:val="none" w:sz="0" w:space="0" w:color="auto"/>
                <w:right w:val="none" w:sz="0" w:space="0" w:color="auto"/>
              </w:divBdr>
            </w:div>
          </w:divsChild>
        </w:div>
        <w:div w:id="1342656699">
          <w:marLeft w:val="0"/>
          <w:marRight w:val="0"/>
          <w:marTop w:val="0"/>
          <w:marBottom w:val="0"/>
          <w:divBdr>
            <w:top w:val="none" w:sz="0" w:space="0" w:color="auto"/>
            <w:left w:val="none" w:sz="0" w:space="0" w:color="auto"/>
            <w:bottom w:val="none" w:sz="0" w:space="0" w:color="auto"/>
            <w:right w:val="none" w:sz="0" w:space="0" w:color="auto"/>
          </w:divBdr>
          <w:divsChild>
            <w:div w:id="98453244">
              <w:marLeft w:val="0"/>
              <w:marRight w:val="0"/>
              <w:marTop w:val="0"/>
              <w:marBottom w:val="0"/>
              <w:divBdr>
                <w:top w:val="none" w:sz="0" w:space="0" w:color="auto"/>
                <w:left w:val="none" w:sz="0" w:space="0" w:color="auto"/>
                <w:bottom w:val="none" w:sz="0" w:space="0" w:color="auto"/>
                <w:right w:val="none" w:sz="0" w:space="0" w:color="auto"/>
              </w:divBdr>
            </w:div>
          </w:divsChild>
        </w:div>
        <w:div w:id="1550144206">
          <w:marLeft w:val="0"/>
          <w:marRight w:val="0"/>
          <w:marTop w:val="0"/>
          <w:marBottom w:val="0"/>
          <w:divBdr>
            <w:top w:val="none" w:sz="0" w:space="0" w:color="auto"/>
            <w:left w:val="none" w:sz="0" w:space="0" w:color="auto"/>
            <w:bottom w:val="none" w:sz="0" w:space="0" w:color="auto"/>
            <w:right w:val="none" w:sz="0" w:space="0" w:color="auto"/>
          </w:divBdr>
          <w:divsChild>
            <w:div w:id="798767234">
              <w:marLeft w:val="0"/>
              <w:marRight w:val="0"/>
              <w:marTop w:val="0"/>
              <w:marBottom w:val="0"/>
              <w:divBdr>
                <w:top w:val="none" w:sz="0" w:space="0" w:color="auto"/>
                <w:left w:val="none" w:sz="0" w:space="0" w:color="auto"/>
                <w:bottom w:val="none" w:sz="0" w:space="0" w:color="auto"/>
                <w:right w:val="none" w:sz="0" w:space="0" w:color="auto"/>
              </w:divBdr>
            </w:div>
          </w:divsChild>
        </w:div>
        <w:div w:id="1632394092">
          <w:marLeft w:val="0"/>
          <w:marRight w:val="0"/>
          <w:marTop w:val="0"/>
          <w:marBottom w:val="0"/>
          <w:divBdr>
            <w:top w:val="none" w:sz="0" w:space="0" w:color="auto"/>
            <w:left w:val="none" w:sz="0" w:space="0" w:color="auto"/>
            <w:bottom w:val="none" w:sz="0" w:space="0" w:color="auto"/>
            <w:right w:val="none" w:sz="0" w:space="0" w:color="auto"/>
          </w:divBdr>
          <w:divsChild>
            <w:div w:id="139730038">
              <w:marLeft w:val="0"/>
              <w:marRight w:val="0"/>
              <w:marTop w:val="0"/>
              <w:marBottom w:val="0"/>
              <w:divBdr>
                <w:top w:val="none" w:sz="0" w:space="0" w:color="auto"/>
                <w:left w:val="none" w:sz="0" w:space="0" w:color="auto"/>
                <w:bottom w:val="none" w:sz="0" w:space="0" w:color="auto"/>
                <w:right w:val="none" w:sz="0" w:space="0" w:color="auto"/>
              </w:divBdr>
            </w:div>
          </w:divsChild>
        </w:div>
        <w:div w:id="1649480759">
          <w:marLeft w:val="0"/>
          <w:marRight w:val="0"/>
          <w:marTop w:val="0"/>
          <w:marBottom w:val="0"/>
          <w:divBdr>
            <w:top w:val="none" w:sz="0" w:space="0" w:color="auto"/>
            <w:left w:val="none" w:sz="0" w:space="0" w:color="auto"/>
            <w:bottom w:val="none" w:sz="0" w:space="0" w:color="auto"/>
            <w:right w:val="none" w:sz="0" w:space="0" w:color="auto"/>
          </w:divBdr>
          <w:divsChild>
            <w:div w:id="129128060">
              <w:marLeft w:val="0"/>
              <w:marRight w:val="0"/>
              <w:marTop w:val="0"/>
              <w:marBottom w:val="0"/>
              <w:divBdr>
                <w:top w:val="none" w:sz="0" w:space="0" w:color="auto"/>
                <w:left w:val="none" w:sz="0" w:space="0" w:color="auto"/>
                <w:bottom w:val="none" w:sz="0" w:space="0" w:color="auto"/>
                <w:right w:val="none" w:sz="0" w:space="0" w:color="auto"/>
              </w:divBdr>
            </w:div>
          </w:divsChild>
        </w:div>
        <w:div w:id="1662538557">
          <w:marLeft w:val="0"/>
          <w:marRight w:val="0"/>
          <w:marTop w:val="0"/>
          <w:marBottom w:val="0"/>
          <w:divBdr>
            <w:top w:val="none" w:sz="0" w:space="0" w:color="auto"/>
            <w:left w:val="none" w:sz="0" w:space="0" w:color="auto"/>
            <w:bottom w:val="none" w:sz="0" w:space="0" w:color="auto"/>
            <w:right w:val="none" w:sz="0" w:space="0" w:color="auto"/>
          </w:divBdr>
          <w:divsChild>
            <w:div w:id="2031103382">
              <w:marLeft w:val="0"/>
              <w:marRight w:val="0"/>
              <w:marTop w:val="0"/>
              <w:marBottom w:val="0"/>
              <w:divBdr>
                <w:top w:val="none" w:sz="0" w:space="0" w:color="auto"/>
                <w:left w:val="none" w:sz="0" w:space="0" w:color="auto"/>
                <w:bottom w:val="none" w:sz="0" w:space="0" w:color="auto"/>
                <w:right w:val="none" w:sz="0" w:space="0" w:color="auto"/>
              </w:divBdr>
            </w:div>
          </w:divsChild>
        </w:div>
        <w:div w:id="1689986312">
          <w:marLeft w:val="0"/>
          <w:marRight w:val="0"/>
          <w:marTop w:val="0"/>
          <w:marBottom w:val="0"/>
          <w:divBdr>
            <w:top w:val="none" w:sz="0" w:space="0" w:color="auto"/>
            <w:left w:val="none" w:sz="0" w:space="0" w:color="auto"/>
            <w:bottom w:val="none" w:sz="0" w:space="0" w:color="auto"/>
            <w:right w:val="none" w:sz="0" w:space="0" w:color="auto"/>
          </w:divBdr>
          <w:divsChild>
            <w:div w:id="982806578">
              <w:marLeft w:val="0"/>
              <w:marRight w:val="0"/>
              <w:marTop w:val="0"/>
              <w:marBottom w:val="0"/>
              <w:divBdr>
                <w:top w:val="none" w:sz="0" w:space="0" w:color="auto"/>
                <w:left w:val="none" w:sz="0" w:space="0" w:color="auto"/>
                <w:bottom w:val="none" w:sz="0" w:space="0" w:color="auto"/>
                <w:right w:val="none" w:sz="0" w:space="0" w:color="auto"/>
              </w:divBdr>
            </w:div>
          </w:divsChild>
        </w:div>
        <w:div w:id="1707025516">
          <w:marLeft w:val="0"/>
          <w:marRight w:val="0"/>
          <w:marTop w:val="0"/>
          <w:marBottom w:val="0"/>
          <w:divBdr>
            <w:top w:val="none" w:sz="0" w:space="0" w:color="auto"/>
            <w:left w:val="none" w:sz="0" w:space="0" w:color="auto"/>
            <w:bottom w:val="none" w:sz="0" w:space="0" w:color="auto"/>
            <w:right w:val="none" w:sz="0" w:space="0" w:color="auto"/>
          </w:divBdr>
          <w:divsChild>
            <w:div w:id="524099072">
              <w:marLeft w:val="0"/>
              <w:marRight w:val="0"/>
              <w:marTop w:val="0"/>
              <w:marBottom w:val="0"/>
              <w:divBdr>
                <w:top w:val="none" w:sz="0" w:space="0" w:color="auto"/>
                <w:left w:val="none" w:sz="0" w:space="0" w:color="auto"/>
                <w:bottom w:val="none" w:sz="0" w:space="0" w:color="auto"/>
                <w:right w:val="none" w:sz="0" w:space="0" w:color="auto"/>
              </w:divBdr>
            </w:div>
          </w:divsChild>
        </w:div>
        <w:div w:id="1729062957">
          <w:marLeft w:val="0"/>
          <w:marRight w:val="0"/>
          <w:marTop w:val="0"/>
          <w:marBottom w:val="0"/>
          <w:divBdr>
            <w:top w:val="none" w:sz="0" w:space="0" w:color="auto"/>
            <w:left w:val="none" w:sz="0" w:space="0" w:color="auto"/>
            <w:bottom w:val="none" w:sz="0" w:space="0" w:color="auto"/>
            <w:right w:val="none" w:sz="0" w:space="0" w:color="auto"/>
          </w:divBdr>
          <w:divsChild>
            <w:div w:id="486558431">
              <w:marLeft w:val="0"/>
              <w:marRight w:val="0"/>
              <w:marTop w:val="0"/>
              <w:marBottom w:val="0"/>
              <w:divBdr>
                <w:top w:val="none" w:sz="0" w:space="0" w:color="auto"/>
                <w:left w:val="none" w:sz="0" w:space="0" w:color="auto"/>
                <w:bottom w:val="none" w:sz="0" w:space="0" w:color="auto"/>
                <w:right w:val="none" w:sz="0" w:space="0" w:color="auto"/>
              </w:divBdr>
            </w:div>
          </w:divsChild>
        </w:div>
        <w:div w:id="1729257829">
          <w:marLeft w:val="0"/>
          <w:marRight w:val="0"/>
          <w:marTop w:val="0"/>
          <w:marBottom w:val="0"/>
          <w:divBdr>
            <w:top w:val="none" w:sz="0" w:space="0" w:color="auto"/>
            <w:left w:val="none" w:sz="0" w:space="0" w:color="auto"/>
            <w:bottom w:val="none" w:sz="0" w:space="0" w:color="auto"/>
            <w:right w:val="none" w:sz="0" w:space="0" w:color="auto"/>
          </w:divBdr>
          <w:divsChild>
            <w:div w:id="764306365">
              <w:marLeft w:val="0"/>
              <w:marRight w:val="0"/>
              <w:marTop w:val="0"/>
              <w:marBottom w:val="0"/>
              <w:divBdr>
                <w:top w:val="none" w:sz="0" w:space="0" w:color="auto"/>
                <w:left w:val="none" w:sz="0" w:space="0" w:color="auto"/>
                <w:bottom w:val="none" w:sz="0" w:space="0" w:color="auto"/>
                <w:right w:val="none" w:sz="0" w:space="0" w:color="auto"/>
              </w:divBdr>
            </w:div>
          </w:divsChild>
        </w:div>
        <w:div w:id="1834489681">
          <w:marLeft w:val="0"/>
          <w:marRight w:val="0"/>
          <w:marTop w:val="0"/>
          <w:marBottom w:val="0"/>
          <w:divBdr>
            <w:top w:val="none" w:sz="0" w:space="0" w:color="auto"/>
            <w:left w:val="none" w:sz="0" w:space="0" w:color="auto"/>
            <w:bottom w:val="none" w:sz="0" w:space="0" w:color="auto"/>
            <w:right w:val="none" w:sz="0" w:space="0" w:color="auto"/>
          </w:divBdr>
          <w:divsChild>
            <w:div w:id="1917812251">
              <w:marLeft w:val="0"/>
              <w:marRight w:val="0"/>
              <w:marTop w:val="0"/>
              <w:marBottom w:val="0"/>
              <w:divBdr>
                <w:top w:val="none" w:sz="0" w:space="0" w:color="auto"/>
                <w:left w:val="none" w:sz="0" w:space="0" w:color="auto"/>
                <w:bottom w:val="none" w:sz="0" w:space="0" w:color="auto"/>
                <w:right w:val="none" w:sz="0" w:space="0" w:color="auto"/>
              </w:divBdr>
            </w:div>
          </w:divsChild>
        </w:div>
        <w:div w:id="1834567719">
          <w:marLeft w:val="0"/>
          <w:marRight w:val="0"/>
          <w:marTop w:val="0"/>
          <w:marBottom w:val="0"/>
          <w:divBdr>
            <w:top w:val="none" w:sz="0" w:space="0" w:color="auto"/>
            <w:left w:val="none" w:sz="0" w:space="0" w:color="auto"/>
            <w:bottom w:val="none" w:sz="0" w:space="0" w:color="auto"/>
            <w:right w:val="none" w:sz="0" w:space="0" w:color="auto"/>
          </w:divBdr>
          <w:divsChild>
            <w:div w:id="2112701654">
              <w:marLeft w:val="0"/>
              <w:marRight w:val="0"/>
              <w:marTop w:val="0"/>
              <w:marBottom w:val="0"/>
              <w:divBdr>
                <w:top w:val="none" w:sz="0" w:space="0" w:color="auto"/>
                <w:left w:val="none" w:sz="0" w:space="0" w:color="auto"/>
                <w:bottom w:val="none" w:sz="0" w:space="0" w:color="auto"/>
                <w:right w:val="none" w:sz="0" w:space="0" w:color="auto"/>
              </w:divBdr>
            </w:div>
          </w:divsChild>
        </w:div>
        <w:div w:id="1898280948">
          <w:marLeft w:val="0"/>
          <w:marRight w:val="0"/>
          <w:marTop w:val="0"/>
          <w:marBottom w:val="0"/>
          <w:divBdr>
            <w:top w:val="none" w:sz="0" w:space="0" w:color="auto"/>
            <w:left w:val="none" w:sz="0" w:space="0" w:color="auto"/>
            <w:bottom w:val="none" w:sz="0" w:space="0" w:color="auto"/>
            <w:right w:val="none" w:sz="0" w:space="0" w:color="auto"/>
          </w:divBdr>
          <w:divsChild>
            <w:div w:id="804127807">
              <w:marLeft w:val="0"/>
              <w:marRight w:val="0"/>
              <w:marTop w:val="0"/>
              <w:marBottom w:val="0"/>
              <w:divBdr>
                <w:top w:val="none" w:sz="0" w:space="0" w:color="auto"/>
                <w:left w:val="none" w:sz="0" w:space="0" w:color="auto"/>
                <w:bottom w:val="none" w:sz="0" w:space="0" w:color="auto"/>
                <w:right w:val="none" w:sz="0" w:space="0" w:color="auto"/>
              </w:divBdr>
            </w:div>
          </w:divsChild>
        </w:div>
        <w:div w:id="1909685446">
          <w:marLeft w:val="0"/>
          <w:marRight w:val="0"/>
          <w:marTop w:val="0"/>
          <w:marBottom w:val="0"/>
          <w:divBdr>
            <w:top w:val="none" w:sz="0" w:space="0" w:color="auto"/>
            <w:left w:val="none" w:sz="0" w:space="0" w:color="auto"/>
            <w:bottom w:val="none" w:sz="0" w:space="0" w:color="auto"/>
            <w:right w:val="none" w:sz="0" w:space="0" w:color="auto"/>
          </w:divBdr>
          <w:divsChild>
            <w:div w:id="1362589110">
              <w:marLeft w:val="0"/>
              <w:marRight w:val="0"/>
              <w:marTop w:val="0"/>
              <w:marBottom w:val="0"/>
              <w:divBdr>
                <w:top w:val="none" w:sz="0" w:space="0" w:color="auto"/>
                <w:left w:val="none" w:sz="0" w:space="0" w:color="auto"/>
                <w:bottom w:val="none" w:sz="0" w:space="0" w:color="auto"/>
                <w:right w:val="none" w:sz="0" w:space="0" w:color="auto"/>
              </w:divBdr>
            </w:div>
          </w:divsChild>
        </w:div>
        <w:div w:id="1982300018">
          <w:marLeft w:val="0"/>
          <w:marRight w:val="0"/>
          <w:marTop w:val="0"/>
          <w:marBottom w:val="0"/>
          <w:divBdr>
            <w:top w:val="none" w:sz="0" w:space="0" w:color="auto"/>
            <w:left w:val="none" w:sz="0" w:space="0" w:color="auto"/>
            <w:bottom w:val="none" w:sz="0" w:space="0" w:color="auto"/>
            <w:right w:val="none" w:sz="0" w:space="0" w:color="auto"/>
          </w:divBdr>
          <w:divsChild>
            <w:div w:id="1122923891">
              <w:marLeft w:val="0"/>
              <w:marRight w:val="0"/>
              <w:marTop w:val="0"/>
              <w:marBottom w:val="0"/>
              <w:divBdr>
                <w:top w:val="none" w:sz="0" w:space="0" w:color="auto"/>
                <w:left w:val="none" w:sz="0" w:space="0" w:color="auto"/>
                <w:bottom w:val="none" w:sz="0" w:space="0" w:color="auto"/>
                <w:right w:val="none" w:sz="0" w:space="0" w:color="auto"/>
              </w:divBdr>
            </w:div>
          </w:divsChild>
        </w:div>
        <w:div w:id="2065792416">
          <w:marLeft w:val="0"/>
          <w:marRight w:val="0"/>
          <w:marTop w:val="0"/>
          <w:marBottom w:val="0"/>
          <w:divBdr>
            <w:top w:val="none" w:sz="0" w:space="0" w:color="auto"/>
            <w:left w:val="none" w:sz="0" w:space="0" w:color="auto"/>
            <w:bottom w:val="none" w:sz="0" w:space="0" w:color="auto"/>
            <w:right w:val="none" w:sz="0" w:space="0" w:color="auto"/>
          </w:divBdr>
          <w:divsChild>
            <w:div w:id="891887328">
              <w:marLeft w:val="0"/>
              <w:marRight w:val="0"/>
              <w:marTop w:val="0"/>
              <w:marBottom w:val="0"/>
              <w:divBdr>
                <w:top w:val="none" w:sz="0" w:space="0" w:color="auto"/>
                <w:left w:val="none" w:sz="0" w:space="0" w:color="auto"/>
                <w:bottom w:val="none" w:sz="0" w:space="0" w:color="auto"/>
                <w:right w:val="none" w:sz="0" w:space="0" w:color="auto"/>
              </w:divBdr>
            </w:div>
          </w:divsChild>
        </w:div>
        <w:div w:id="2099985780">
          <w:marLeft w:val="0"/>
          <w:marRight w:val="0"/>
          <w:marTop w:val="0"/>
          <w:marBottom w:val="0"/>
          <w:divBdr>
            <w:top w:val="none" w:sz="0" w:space="0" w:color="auto"/>
            <w:left w:val="none" w:sz="0" w:space="0" w:color="auto"/>
            <w:bottom w:val="none" w:sz="0" w:space="0" w:color="auto"/>
            <w:right w:val="none" w:sz="0" w:space="0" w:color="auto"/>
          </w:divBdr>
          <w:divsChild>
            <w:div w:id="18553160">
              <w:marLeft w:val="0"/>
              <w:marRight w:val="0"/>
              <w:marTop w:val="0"/>
              <w:marBottom w:val="0"/>
              <w:divBdr>
                <w:top w:val="none" w:sz="0" w:space="0" w:color="auto"/>
                <w:left w:val="none" w:sz="0" w:space="0" w:color="auto"/>
                <w:bottom w:val="none" w:sz="0" w:space="0" w:color="auto"/>
                <w:right w:val="none" w:sz="0" w:space="0" w:color="auto"/>
              </w:divBdr>
            </w:div>
          </w:divsChild>
        </w:div>
        <w:div w:id="2102337783">
          <w:marLeft w:val="0"/>
          <w:marRight w:val="0"/>
          <w:marTop w:val="0"/>
          <w:marBottom w:val="0"/>
          <w:divBdr>
            <w:top w:val="none" w:sz="0" w:space="0" w:color="auto"/>
            <w:left w:val="none" w:sz="0" w:space="0" w:color="auto"/>
            <w:bottom w:val="none" w:sz="0" w:space="0" w:color="auto"/>
            <w:right w:val="none" w:sz="0" w:space="0" w:color="auto"/>
          </w:divBdr>
          <w:divsChild>
            <w:div w:id="2075885023">
              <w:marLeft w:val="0"/>
              <w:marRight w:val="0"/>
              <w:marTop w:val="0"/>
              <w:marBottom w:val="0"/>
              <w:divBdr>
                <w:top w:val="none" w:sz="0" w:space="0" w:color="auto"/>
                <w:left w:val="none" w:sz="0" w:space="0" w:color="auto"/>
                <w:bottom w:val="none" w:sz="0" w:space="0" w:color="auto"/>
                <w:right w:val="none" w:sz="0" w:space="0" w:color="auto"/>
              </w:divBdr>
            </w:div>
          </w:divsChild>
        </w:div>
        <w:div w:id="2118015447">
          <w:marLeft w:val="0"/>
          <w:marRight w:val="0"/>
          <w:marTop w:val="0"/>
          <w:marBottom w:val="0"/>
          <w:divBdr>
            <w:top w:val="none" w:sz="0" w:space="0" w:color="auto"/>
            <w:left w:val="none" w:sz="0" w:space="0" w:color="auto"/>
            <w:bottom w:val="none" w:sz="0" w:space="0" w:color="auto"/>
            <w:right w:val="none" w:sz="0" w:space="0" w:color="auto"/>
          </w:divBdr>
          <w:divsChild>
            <w:div w:id="1435128681">
              <w:marLeft w:val="0"/>
              <w:marRight w:val="0"/>
              <w:marTop w:val="0"/>
              <w:marBottom w:val="0"/>
              <w:divBdr>
                <w:top w:val="none" w:sz="0" w:space="0" w:color="auto"/>
                <w:left w:val="none" w:sz="0" w:space="0" w:color="auto"/>
                <w:bottom w:val="none" w:sz="0" w:space="0" w:color="auto"/>
                <w:right w:val="none" w:sz="0" w:space="0" w:color="auto"/>
              </w:divBdr>
            </w:div>
          </w:divsChild>
        </w:div>
        <w:div w:id="2128501704">
          <w:marLeft w:val="0"/>
          <w:marRight w:val="0"/>
          <w:marTop w:val="0"/>
          <w:marBottom w:val="0"/>
          <w:divBdr>
            <w:top w:val="none" w:sz="0" w:space="0" w:color="auto"/>
            <w:left w:val="none" w:sz="0" w:space="0" w:color="auto"/>
            <w:bottom w:val="none" w:sz="0" w:space="0" w:color="auto"/>
            <w:right w:val="none" w:sz="0" w:space="0" w:color="auto"/>
          </w:divBdr>
          <w:divsChild>
            <w:div w:id="174676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72843">
      <w:bodyDiv w:val="1"/>
      <w:marLeft w:val="0"/>
      <w:marRight w:val="0"/>
      <w:marTop w:val="0"/>
      <w:marBottom w:val="0"/>
      <w:divBdr>
        <w:top w:val="none" w:sz="0" w:space="0" w:color="auto"/>
        <w:left w:val="none" w:sz="0" w:space="0" w:color="auto"/>
        <w:bottom w:val="none" w:sz="0" w:space="0" w:color="auto"/>
        <w:right w:val="none" w:sz="0" w:space="0" w:color="auto"/>
      </w:divBdr>
    </w:div>
    <w:div w:id="110573050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45534320">
      <w:bodyDiv w:val="1"/>
      <w:marLeft w:val="0"/>
      <w:marRight w:val="0"/>
      <w:marTop w:val="0"/>
      <w:marBottom w:val="0"/>
      <w:divBdr>
        <w:top w:val="none" w:sz="0" w:space="0" w:color="auto"/>
        <w:left w:val="none" w:sz="0" w:space="0" w:color="auto"/>
        <w:bottom w:val="none" w:sz="0" w:space="0" w:color="auto"/>
        <w:right w:val="none" w:sz="0" w:space="0" w:color="auto"/>
      </w:divBdr>
      <w:divsChild>
        <w:div w:id="423840006">
          <w:marLeft w:val="0"/>
          <w:marRight w:val="0"/>
          <w:marTop w:val="0"/>
          <w:marBottom w:val="0"/>
          <w:divBdr>
            <w:top w:val="none" w:sz="0" w:space="0" w:color="auto"/>
            <w:left w:val="none" w:sz="0" w:space="0" w:color="auto"/>
            <w:bottom w:val="none" w:sz="0" w:space="0" w:color="auto"/>
            <w:right w:val="none" w:sz="0" w:space="0" w:color="auto"/>
          </w:divBdr>
        </w:div>
        <w:div w:id="2137334081">
          <w:marLeft w:val="0"/>
          <w:marRight w:val="0"/>
          <w:marTop w:val="0"/>
          <w:marBottom w:val="0"/>
          <w:divBdr>
            <w:top w:val="none" w:sz="0" w:space="0" w:color="auto"/>
            <w:left w:val="none" w:sz="0" w:space="0" w:color="auto"/>
            <w:bottom w:val="none" w:sz="0" w:space="0" w:color="auto"/>
            <w:right w:val="none" w:sz="0" w:space="0" w:color="auto"/>
          </w:divBdr>
        </w:div>
      </w:divsChild>
    </w:div>
    <w:div w:id="1300066434">
      <w:bodyDiv w:val="1"/>
      <w:marLeft w:val="0"/>
      <w:marRight w:val="0"/>
      <w:marTop w:val="0"/>
      <w:marBottom w:val="0"/>
      <w:divBdr>
        <w:top w:val="none" w:sz="0" w:space="0" w:color="auto"/>
        <w:left w:val="none" w:sz="0" w:space="0" w:color="auto"/>
        <w:bottom w:val="none" w:sz="0" w:space="0" w:color="auto"/>
        <w:right w:val="none" w:sz="0" w:space="0" w:color="auto"/>
      </w:divBdr>
      <w:divsChild>
        <w:div w:id="459152974">
          <w:marLeft w:val="0"/>
          <w:marRight w:val="0"/>
          <w:marTop w:val="0"/>
          <w:marBottom w:val="0"/>
          <w:divBdr>
            <w:top w:val="none" w:sz="0" w:space="0" w:color="auto"/>
            <w:left w:val="none" w:sz="0" w:space="0" w:color="auto"/>
            <w:bottom w:val="none" w:sz="0" w:space="0" w:color="auto"/>
            <w:right w:val="none" w:sz="0" w:space="0" w:color="auto"/>
          </w:divBdr>
        </w:div>
        <w:div w:id="850946167">
          <w:marLeft w:val="0"/>
          <w:marRight w:val="0"/>
          <w:marTop w:val="0"/>
          <w:marBottom w:val="0"/>
          <w:divBdr>
            <w:top w:val="none" w:sz="0" w:space="0" w:color="auto"/>
            <w:left w:val="none" w:sz="0" w:space="0" w:color="auto"/>
            <w:bottom w:val="none" w:sz="0" w:space="0" w:color="auto"/>
            <w:right w:val="none" w:sz="0" w:space="0" w:color="auto"/>
          </w:divBdr>
        </w:div>
      </w:divsChild>
    </w:div>
    <w:div w:id="1403866613">
      <w:bodyDiv w:val="1"/>
      <w:marLeft w:val="0"/>
      <w:marRight w:val="0"/>
      <w:marTop w:val="0"/>
      <w:marBottom w:val="0"/>
      <w:divBdr>
        <w:top w:val="none" w:sz="0" w:space="0" w:color="auto"/>
        <w:left w:val="none" w:sz="0" w:space="0" w:color="auto"/>
        <w:bottom w:val="none" w:sz="0" w:space="0" w:color="auto"/>
        <w:right w:val="none" w:sz="0" w:space="0" w:color="auto"/>
      </w:divBdr>
      <w:divsChild>
        <w:div w:id="20981361">
          <w:marLeft w:val="0"/>
          <w:marRight w:val="0"/>
          <w:marTop w:val="0"/>
          <w:marBottom w:val="0"/>
          <w:divBdr>
            <w:top w:val="none" w:sz="0" w:space="0" w:color="auto"/>
            <w:left w:val="none" w:sz="0" w:space="0" w:color="auto"/>
            <w:bottom w:val="none" w:sz="0" w:space="0" w:color="auto"/>
            <w:right w:val="none" w:sz="0" w:space="0" w:color="auto"/>
          </w:divBdr>
        </w:div>
        <w:div w:id="125048799">
          <w:marLeft w:val="0"/>
          <w:marRight w:val="0"/>
          <w:marTop w:val="0"/>
          <w:marBottom w:val="0"/>
          <w:divBdr>
            <w:top w:val="none" w:sz="0" w:space="0" w:color="auto"/>
            <w:left w:val="none" w:sz="0" w:space="0" w:color="auto"/>
            <w:bottom w:val="none" w:sz="0" w:space="0" w:color="auto"/>
            <w:right w:val="none" w:sz="0" w:space="0" w:color="auto"/>
          </w:divBdr>
        </w:div>
        <w:div w:id="650838469">
          <w:marLeft w:val="0"/>
          <w:marRight w:val="0"/>
          <w:marTop w:val="0"/>
          <w:marBottom w:val="0"/>
          <w:divBdr>
            <w:top w:val="none" w:sz="0" w:space="0" w:color="auto"/>
            <w:left w:val="none" w:sz="0" w:space="0" w:color="auto"/>
            <w:bottom w:val="none" w:sz="0" w:space="0" w:color="auto"/>
            <w:right w:val="none" w:sz="0" w:space="0" w:color="auto"/>
          </w:divBdr>
        </w:div>
        <w:div w:id="830945733">
          <w:marLeft w:val="0"/>
          <w:marRight w:val="0"/>
          <w:marTop w:val="0"/>
          <w:marBottom w:val="0"/>
          <w:divBdr>
            <w:top w:val="none" w:sz="0" w:space="0" w:color="auto"/>
            <w:left w:val="none" w:sz="0" w:space="0" w:color="auto"/>
            <w:bottom w:val="none" w:sz="0" w:space="0" w:color="auto"/>
            <w:right w:val="none" w:sz="0" w:space="0" w:color="auto"/>
          </w:divBdr>
        </w:div>
        <w:div w:id="881163778">
          <w:marLeft w:val="0"/>
          <w:marRight w:val="0"/>
          <w:marTop w:val="0"/>
          <w:marBottom w:val="0"/>
          <w:divBdr>
            <w:top w:val="none" w:sz="0" w:space="0" w:color="auto"/>
            <w:left w:val="none" w:sz="0" w:space="0" w:color="auto"/>
            <w:bottom w:val="none" w:sz="0" w:space="0" w:color="auto"/>
            <w:right w:val="none" w:sz="0" w:space="0" w:color="auto"/>
          </w:divBdr>
        </w:div>
        <w:div w:id="918251974">
          <w:marLeft w:val="0"/>
          <w:marRight w:val="0"/>
          <w:marTop w:val="0"/>
          <w:marBottom w:val="0"/>
          <w:divBdr>
            <w:top w:val="none" w:sz="0" w:space="0" w:color="auto"/>
            <w:left w:val="none" w:sz="0" w:space="0" w:color="auto"/>
            <w:bottom w:val="none" w:sz="0" w:space="0" w:color="auto"/>
            <w:right w:val="none" w:sz="0" w:space="0" w:color="auto"/>
          </w:divBdr>
        </w:div>
        <w:div w:id="1014185408">
          <w:marLeft w:val="0"/>
          <w:marRight w:val="0"/>
          <w:marTop w:val="0"/>
          <w:marBottom w:val="0"/>
          <w:divBdr>
            <w:top w:val="none" w:sz="0" w:space="0" w:color="auto"/>
            <w:left w:val="none" w:sz="0" w:space="0" w:color="auto"/>
            <w:bottom w:val="none" w:sz="0" w:space="0" w:color="auto"/>
            <w:right w:val="none" w:sz="0" w:space="0" w:color="auto"/>
          </w:divBdr>
        </w:div>
        <w:div w:id="1131362035">
          <w:marLeft w:val="0"/>
          <w:marRight w:val="0"/>
          <w:marTop w:val="0"/>
          <w:marBottom w:val="0"/>
          <w:divBdr>
            <w:top w:val="none" w:sz="0" w:space="0" w:color="auto"/>
            <w:left w:val="none" w:sz="0" w:space="0" w:color="auto"/>
            <w:bottom w:val="none" w:sz="0" w:space="0" w:color="auto"/>
            <w:right w:val="none" w:sz="0" w:space="0" w:color="auto"/>
          </w:divBdr>
          <w:divsChild>
            <w:div w:id="141511775">
              <w:marLeft w:val="0"/>
              <w:marRight w:val="0"/>
              <w:marTop w:val="0"/>
              <w:marBottom w:val="0"/>
              <w:divBdr>
                <w:top w:val="none" w:sz="0" w:space="0" w:color="auto"/>
                <w:left w:val="none" w:sz="0" w:space="0" w:color="auto"/>
                <w:bottom w:val="none" w:sz="0" w:space="0" w:color="auto"/>
                <w:right w:val="none" w:sz="0" w:space="0" w:color="auto"/>
              </w:divBdr>
            </w:div>
            <w:div w:id="480120029">
              <w:marLeft w:val="0"/>
              <w:marRight w:val="0"/>
              <w:marTop w:val="0"/>
              <w:marBottom w:val="0"/>
              <w:divBdr>
                <w:top w:val="none" w:sz="0" w:space="0" w:color="auto"/>
                <w:left w:val="none" w:sz="0" w:space="0" w:color="auto"/>
                <w:bottom w:val="none" w:sz="0" w:space="0" w:color="auto"/>
                <w:right w:val="none" w:sz="0" w:space="0" w:color="auto"/>
              </w:divBdr>
            </w:div>
            <w:div w:id="611857967">
              <w:marLeft w:val="0"/>
              <w:marRight w:val="0"/>
              <w:marTop w:val="0"/>
              <w:marBottom w:val="0"/>
              <w:divBdr>
                <w:top w:val="none" w:sz="0" w:space="0" w:color="auto"/>
                <w:left w:val="none" w:sz="0" w:space="0" w:color="auto"/>
                <w:bottom w:val="none" w:sz="0" w:space="0" w:color="auto"/>
                <w:right w:val="none" w:sz="0" w:space="0" w:color="auto"/>
              </w:divBdr>
            </w:div>
            <w:div w:id="757023154">
              <w:marLeft w:val="0"/>
              <w:marRight w:val="0"/>
              <w:marTop w:val="0"/>
              <w:marBottom w:val="0"/>
              <w:divBdr>
                <w:top w:val="none" w:sz="0" w:space="0" w:color="auto"/>
                <w:left w:val="none" w:sz="0" w:space="0" w:color="auto"/>
                <w:bottom w:val="none" w:sz="0" w:space="0" w:color="auto"/>
                <w:right w:val="none" w:sz="0" w:space="0" w:color="auto"/>
              </w:divBdr>
            </w:div>
            <w:div w:id="834027631">
              <w:marLeft w:val="0"/>
              <w:marRight w:val="0"/>
              <w:marTop w:val="0"/>
              <w:marBottom w:val="0"/>
              <w:divBdr>
                <w:top w:val="none" w:sz="0" w:space="0" w:color="auto"/>
                <w:left w:val="none" w:sz="0" w:space="0" w:color="auto"/>
                <w:bottom w:val="none" w:sz="0" w:space="0" w:color="auto"/>
                <w:right w:val="none" w:sz="0" w:space="0" w:color="auto"/>
              </w:divBdr>
            </w:div>
            <w:div w:id="883061266">
              <w:marLeft w:val="0"/>
              <w:marRight w:val="0"/>
              <w:marTop w:val="0"/>
              <w:marBottom w:val="0"/>
              <w:divBdr>
                <w:top w:val="none" w:sz="0" w:space="0" w:color="auto"/>
                <w:left w:val="none" w:sz="0" w:space="0" w:color="auto"/>
                <w:bottom w:val="none" w:sz="0" w:space="0" w:color="auto"/>
                <w:right w:val="none" w:sz="0" w:space="0" w:color="auto"/>
              </w:divBdr>
            </w:div>
            <w:div w:id="1021278700">
              <w:marLeft w:val="0"/>
              <w:marRight w:val="0"/>
              <w:marTop w:val="0"/>
              <w:marBottom w:val="0"/>
              <w:divBdr>
                <w:top w:val="none" w:sz="0" w:space="0" w:color="auto"/>
                <w:left w:val="none" w:sz="0" w:space="0" w:color="auto"/>
                <w:bottom w:val="none" w:sz="0" w:space="0" w:color="auto"/>
                <w:right w:val="none" w:sz="0" w:space="0" w:color="auto"/>
              </w:divBdr>
            </w:div>
            <w:div w:id="1057823901">
              <w:marLeft w:val="0"/>
              <w:marRight w:val="0"/>
              <w:marTop w:val="0"/>
              <w:marBottom w:val="0"/>
              <w:divBdr>
                <w:top w:val="none" w:sz="0" w:space="0" w:color="auto"/>
                <w:left w:val="none" w:sz="0" w:space="0" w:color="auto"/>
                <w:bottom w:val="none" w:sz="0" w:space="0" w:color="auto"/>
                <w:right w:val="none" w:sz="0" w:space="0" w:color="auto"/>
              </w:divBdr>
            </w:div>
            <w:div w:id="1139567551">
              <w:marLeft w:val="0"/>
              <w:marRight w:val="0"/>
              <w:marTop w:val="0"/>
              <w:marBottom w:val="0"/>
              <w:divBdr>
                <w:top w:val="none" w:sz="0" w:space="0" w:color="auto"/>
                <w:left w:val="none" w:sz="0" w:space="0" w:color="auto"/>
                <w:bottom w:val="none" w:sz="0" w:space="0" w:color="auto"/>
                <w:right w:val="none" w:sz="0" w:space="0" w:color="auto"/>
              </w:divBdr>
            </w:div>
            <w:div w:id="1267543663">
              <w:marLeft w:val="0"/>
              <w:marRight w:val="0"/>
              <w:marTop w:val="0"/>
              <w:marBottom w:val="0"/>
              <w:divBdr>
                <w:top w:val="none" w:sz="0" w:space="0" w:color="auto"/>
                <w:left w:val="none" w:sz="0" w:space="0" w:color="auto"/>
                <w:bottom w:val="none" w:sz="0" w:space="0" w:color="auto"/>
                <w:right w:val="none" w:sz="0" w:space="0" w:color="auto"/>
              </w:divBdr>
            </w:div>
            <w:div w:id="1327784944">
              <w:marLeft w:val="0"/>
              <w:marRight w:val="0"/>
              <w:marTop w:val="0"/>
              <w:marBottom w:val="0"/>
              <w:divBdr>
                <w:top w:val="none" w:sz="0" w:space="0" w:color="auto"/>
                <w:left w:val="none" w:sz="0" w:space="0" w:color="auto"/>
                <w:bottom w:val="none" w:sz="0" w:space="0" w:color="auto"/>
                <w:right w:val="none" w:sz="0" w:space="0" w:color="auto"/>
              </w:divBdr>
            </w:div>
            <w:div w:id="1345277697">
              <w:marLeft w:val="0"/>
              <w:marRight w:val="0"/>
              <w:marTop w:val="0"/>
              <w:marBottom w:val="0"/>
              <w:divBdr>
                <w:top w:val="none" w:sz="0" w:space="0" w:color="auto"/>
                <w:left w:val="none" w:sz="0" w:space="0" w:color="auto"/>
                <w:bottom w:val="none" w:sz="0" w:space="0" w:color="auto"/>
                <w:right w:val="none" w:sz="0" w:space="0" w:color="auto"/>
              </w:divBdr>
            </w:div>
            <w:div w:id="1519393690">
              <w:marLeft w:val="0"/>
              <w:marRight w:val="0"/>
              <w:marTop w:val="0"/>
              <w:marBottom w:val="0"/>
              <w:divBdr>
                <w:top w:val="none" w:sz="0" w:space="0" w:color="auto"/>
                <w:left w:val="none" w:sz="0" w:space="0" w:color="auto"/>
                <w:bottom w:val="none" w:sz="0" w:space="0" w:color="auto"/>
                <w:right w:val="none" w:sz="0" w:space="0" w:color="auto"/>
              </w:divBdr>
            </w:div>
            <w:div w:id="1734618988">
              <w:marLeft w:val="0"/>
              <w:marRight w:val="0"/>
              <w:marTop w:val="0"/>
              <w:marBottom w:val="0"/>
              <w:divBdr>
                <w:top w:val="none" w:sz="0" w:space="0" w:color="auto"/>
                <w:left w:val="none" w:sz="0" w:space="0" w:color="auto"/>
                <w:bottom w:val="none" w:sz="0" w:space="0" w:color="auto"/>
                <w:right w:val="none" w:sz="0" w:space="0" w:color="auto"/>
              </w:divBdr>
            </w:div>
            <w:div w:id="1774089322">
              <w:marLeft w:val="0"/>
              <w:marRight w:val="0"/>
              <w:marTop w:val="0"/>
              <w:marBottom w:val="0"/>
              <w:divBdr>
                <w:top w:val="none" w:sz="0" w:space="0" w:color="auto"/>
                <w:left w:val="none" w:sz="0" w:space="0" w:color="auto"/>
                <w:bottom w:val="none" w:sz="0" w:space="0" w:color="auto"/>
                <w:right w:val="none" w:sz="0" w:space="0" w:color="auto"/>
              </w:divBdr>
            </w:div>
            <w:div w:id="1826125213">
              <w:marLeft w:val="0"/>
              <w:marRight w:val="0"/>
              <w:marTop w:val="0"/>
              <w:marBottom w:val="0"/>
              <w:divBdr>
                <w:top w:val="none" w:sz="0" w:space="0" w:color="auto"/>
                <w:left w:val="none" w:sz="0" w:space="0" w:color="auto"/>
                <w:bottom w:val="none" w:sz="0" w:space="0" w:color="auto"/>
                <w:right w:val="none" w:sz="0" w:space="0" w:color="auto"/>
              </w:divBdr>
            </w:div>
            <w:div w:id="2028095546">
              <w:marLeft w:val="0"/>
              <w:marRight w:val="0"/>
              <w:marTop w:val="0"/>
              <w:marBottom w:val="0"/>
              <w:divBdr>
                <w:top w:val="none" w:sz="0" w:space="0" w:color="auto"/>
                <w:left w:val="none" w:sz="0" w:space="0" w:color="auto"/>
                <w:bottom w:val="none" w:sz="0" w:space="0" w:color="auto"/>
                <w:right w:val="none" w:sz="0" w:space="0" w:color="auto"/>
              </w:divBdr>
            </w:div>
            <w:div w:id="2083674841">
              <w:marLeft w:val="0"/>
              <w:marRight w:val="0"/>
              <w:marTop w:val="0"/>
              <w:marBottom w:val="0"/>
              <w:divBdr>
                <w:top w:val="none" w:sz="0" w:space="0" w:color="auto"/>
                <w:left w:val="none" w:sz="0" w:space="0" w:color="auto"/>
                <w:bottom w:val="none" w:sz="0" w:space="0" w:color="auto"/>
                <w:right w:val="none" w:sz="0" w:space="0" w:color="auto"/>
              </w:divBdr>
            </w:div>
            <w:div w:id="2093240383">
              <w:marLeft w:val="0"/>
              <w:marRight w:val="0"/>
              <w:marTop w:val="0"/>
              <w:marBottom w:val="0"/>
              <w:divBdr>
                <w:top w:val="none" w:sz="0" w:space="0" w:color="auto"/>
                <w:left w:val="none" w:sz="0" w:space="0" w:color="auto"/>
                <w:bottom w:val="none" w:sz="0" w:space="0" w:color="auto"/>
                <w:right w:val="none" w:sz="0" w:space="0" w:color="auto"/>
              </w:divBdr>
            </w:div>
            <w:div w:id="2147046812">
              <w:marLeft w:val="0"/>
              <w:marRight w:val="0"/>
              <w:marTop w:val="0"/>
              <w:marBottom w:val="0"/>
              <w:divBdr>
                <w:top w:val="none" w:sz="0" w:space="0" w:color="auto"/>
                <w:left w:val="none" w:sz="0" w:space="0" w:color="auto"/>
                <w:bottom w:val="none" w:sz="0" w:space="0" w:color="auto"/>
                <w:right w:val="none" w:sz="0" w:space="0" w:color="auto"/>
              </w:divBdr>
            </w:div>
          </w:divsChild>
        </w:div>
        <w:div w:id="1140806597">
          <w:marLeft w:val="0"/>
          <w:marRight w:val="0"/>
          <w:marTop w:val="0"/>
          <w:marBottom w:val="0"/>
          <w:divBdr>
            <w:top w:val="none" w:sz="0" w:space="0" w:color="auto"/>
            <w:left w:val="none" w:sz="0" w:space="0" w:color="auto"/>
            <w:bottom w:val="none" w:sz="0" w:space="0" w:color="auto"/>
            <w:right w:val="none" w:sz="0" w:space="0" w:color="auto"/>
          </w:divBdr>
        </w:div>
        <w:div w:id="1254313848">
          <w:marLeft w:val="0"/>
          <w:marRight w:val="0"/>
          <w:marTop w:val="0"/>
          <w:marBottom w:val="0"/>
          <w:divBdr>
            <w:top w:val="none" w:sz="0" w:space="0" w:color="auto"/>
            <w:left w:val="none" w:sz="0" w:space="0" w:color="auto"/>
            <w:bottom w:val="none" w:sz="0" w:space="0" w:color="auto"/>
            <w:right w:val="none" w:sz="0" w:space="0" w:color="auto"/>
          </w:divBdr>
        </w:div>
        <w:div w:id="1258253217">
          <w:marLeft w:val="0"/>
          <w:marRight w:val="0"/>
          <w:marTop w:val="0"/>
          <w:marBottom w:val="0"/>
          <w:divBdr>
            <w:top w:val="none" w:sz="0" w:space="0" w:color="auto"/>
            <w:left w:val="none" w:sz="0" w:space="0" w:color="auto"/>
            <w:bottom w:val="none" w:sz="0" w:space="0" w:color="auto"/>
            <w:right w:val="none" w:sz="0" w:space="0" w:color="auto"/>
          </w:divBdr>
        </w:div>
        <w:div w:id="1331176469">
          <w:marLeft w:val="0"/>
          <w:marRight w:val="0"/>
          <w:marTop w:val="0"/>
          <w:marBottom w:val="0"/>
          <w:divBdr>
            <w:top w:val="none" w:sz="0" w:space="0" w:color="auto"/>
            <w:left w:val="none" w:sz="0" w:space="0" w:color="auto"/>
            <w:bottom w:val="none" w:sz="0" w:space="0" w:color="auto"/>
            <w:right w:val="none" w:sz="0" w:space="0" w:color="auto"/>
          </w:divBdr>
        </w:div>
        <w:div w:id="1601140382">
          <w:marLeft w:val="0"/>
          <w:marRight w:val="0"/>
          <w:marTop w:val="0"/>
          <w:marBottom w:val="0"/>
          <w:divBdr>
            <w:top w:val="none" w:sz="0" w:space="0" w:color="auto"/>
            <w:left w:val="none" w:sz="0" w:space="0" w:color="auto"/>
            <w:bottom w:val="none" w:sz="0" w:space="0" w:color="auto"/>
            <w:right w:val="none" w:sz="0" w:space="0" w:color="auto"/>
          </w:divBdr>
        </w:div>
        <w:div w:id="1696345993">
          <w:marLeft w:val="0"/>
          <w:marRight w:val="0"/>
          <w:marTop w:val="0"/>
          <w:marBottom w:val="0"/>
          <w:divBdr>
            <w:top w:val="none" w:sz="0" w:space="0" w:color="auto"/>
            <w:left w:val="none" w:sz="0" w:space="0" w:color="auto"/>
            <w:bottom w:val="none" w:sz="0" w:space="0" w:color="auto"/>
            <w:right w:val="none" w:sz="0" w:space="0" w:color="auto"/>
          </w:divBdr>
        </w:div>
        <w:div w:id="1950821295">
          <w:marLeft w:val="0"/>
          <w:marRight w:val="0"/>
          <w:marTop w:val="0"/>
          <w:marBottom w:val="0"/>
          <w:divBdr>
            <w:top w:val="none" w:sz="0" w:space="0" w:color="auto"/>
            <w:left w:val="none" w:sz="0" w:space="0" w:color="auto"/>
            <w:bottom w:val="none" w:sz="0" w:space="0" w:color="auto"/>
            <w:right w:val="none" w:sz="0" w:space="0" w:color="auto"/>
          </w:divBdr>
        </w:div>
        <w:div w:id="1982028902">
          <w:marLeft w:val="0"/>
          <w:marRight w:val="0"/>
          <w:marTop w:val="0"/>
          <w:marBottom w:val="0"/>
          <w:divBdr>
            <w:top w:val="none" w:sz="0" w:space="0" w:color="auto"/>
            <w:left w:val="none" w:sz="0" w:space="0" w:color="auto"/>
            <w:bottom w:val="none" w:sz="0" w:space="0" w:color="auto"/>
            <w:right w:val="none" w:sz="0" w:space="0" w:color="auto"/>
          </w:divBdr>
        </w:div>
      </w:divsChild>
    </w:div>
    <w:div w:id="1452751016">
      <w:bodyDiv w:val="1"/>
      <w:marLeft w:val="0"/>
      <w:marRight w:val="0"/>
      <w:marTop w:val="0"/>
      <w:marBottom w:val="0"/>
      <w:divBdr>
        <w:top w:val="none" w:sz="0" w:space="0" w:color="auto"/>
        <w:left w:val="none" w:sz="0" w:space="0" w:color="auto"/>
        <w:bottom w:val="none" w:sz="0" w:space="0" w:color="auto"/>
        <w:right w:val="none" w:sz="0" w:space="0" w:color="auto"/>
      </w:divBdr>
      <w:divsChild>
        <w:div w:id="73364230">
          <w:marLeft w:val="0"/>
          <w:marRight w:val="0"/>
          <w:marTop w:val="0"/>
          <w:marBottom w:val="0"/>
          <w:divBdr>
            <w:top w:val="none" w:sz="0" w:space="0" w:color="auto"/>
            <w:left w:val="none" w:sz="0" w:space="0" w:color="auto"/>
            <w:bottom w:val="none" w:sz="0" w:space="0" w:color="auto"/>
            <w:right w:val="none" w:sz="0" w:space="0" w:color="auto"/>
          </w:divBdr>
        </w:div>
        <w:div w:id="260797829">
          <w:marLeft w:val="0"/>
          <w:marRight w:val="0"/>
          <w:marTop w:val="0"/>
          <w:marBottom w:val="0"/>
          <w:divBdr>
            <w:top w:val="none" w:sz="0" w:space="0" w:color="auto"/>
            <w:left w:val="none" w:sz="0" w:space="0" w:color="auto"/>
            <w:bottom w:val="none" w:sz="0" w:space="0" w:color="auto"/>
            <w:right w:val="none" w:sz="0" w:space="0" w:color="auto"/>
          </w:divBdr>
        </w:div>
        <w:div w:id="296030421">
          <w:marLeft w:val="0"/>
          <w:marRight w:val="0"/>
          <w:marTop w:val="0"/>
          <w:marBottom w:val="0"/>
          <w:divBdr>
            <w:top w:val="none" w:sz="0" w:space="0" w:color="auto"/>
            <w:left w:val="none" w:sz="0" w:space="0" w:color="auto"/>
            <w:bottom w:val="none" w:sz="0" w:space="0" w:color="auto"/>
            <w:right w:val="none" w:sz="0" w:space="0" w:color="auto"/>
          </w:divBdr>
        </w:div>
        <w:div w:id="306253008">
          <w:marLeft w:val="0"/>
          <w:marRight w:val="0"/>
          <w:marTop w:val="0"/>
          <w:marBottom w:val="0"/>
          <w:divBdr>
            <w:top w:val="none" w:sz="0" w:space="0" w:color="auto"/>
            <w:left w:val="none" w:sz="0" w:space="0" w:color="auto"/>
            <w:bottom w:val="none" w:sz="0" w:space="0" w:color="auto"/>
            <w:right w:val="none" w:sz="0" w:space="0" w:color="auto"/>
          </w:divBdr>
        </w:div>
        <w:div w:id="467630105">
          <w:marLeft w:val="0"/>
          <w:marRight w:val="0"/>
          <w:marTop w:val="0"/>
          <w:marBottom w:val="0"/>
          <w:divBdr>
            <w:top w:val="none" w:sz="0" w:space="0" w:color="auto"/>
            <w:left w:val="none" w:sz="0" w:space="0" w:color="auto"/>
            <w:bottom w:val="none" w:sz="0" w:space="0" w:color="auto"/>
            <w:right w:val="none" w:sz="0" w:space="0" w:color="auto"/>
          </w:divBdr>
          <w:divsChild>
            <w:div w:id="15274168">
              <w:marLeft w:val="0"/>
              <w:marRight w:val="0"/>
              <w:marTop w:val="0"/>
              <w:marBottom w:val="0"/>
              <w:divBdr>
                <w:top w:val="none" w:sz="0" w:space="0" w:color="auto"/>
                <w:left w:val="none" w:sz="0" w:space="0" w:color="auto"/>
                <w:bottom w:val="none" w:sz="0" w:space="0" w:color="auto"/>
                <w:right w:val="none" w:sz="0" w:space="0" w:color="auto"/>
              </w:divBdr>
            </w:div>
            <w:div w:id="31804008">
              <w:marLeft w:val="0"/>
              <w:marRight w:val="0"/>
              <w:marTop w:val="0"/>
              <w:marBottom w:val="0"/>
              <w:divBdr>
                <w:top w:val="none" w:sz="0" w:space="0" w:color="auto"/>
                <w:left w:val="none" w:sz="0" w:space="0" w:color="auto"/>
                <w:bottom w:val="none" w:sz="0" w:space="0" w:color="auto"/>
                <w:right w:val="none" w:sz="0" w:space="0" w:color="auto"/>
              </w:divBdr>
            </w:div>
            <w:div w:id="136840462">
              <w:marLeft w:val="0"/>
              <w:marRight w:val="0"/>
              <w:marTop w:val="0"/>
              <w:marBottom w:val="0"/>
              <w:divBdr>
                <w:top w:val="none" w:sz="0" w:space="0" w:color="auto"/>
                <w:left w:val="none" w:sz="0" w:space="0" w:color="auto"/>
                <w:bottom w:val="none" w:sz="0" w:space="0" w:color="auto"/>
                <w:right w:val="none" w:sz="0" w:space="0" w:color="auto"/>
              </w:divBdr>
            </w:div>
            <w:div w:id="294336859">
              <w:marLeft w:val="0"/>
              <w:marRight w:val="0"/>
              <w:marTop w:val="0"/>
              <w:marBottom w:val="0"/>
              <w:divBdr>
                <w:top w:val="none" w:sz="0" w:space="0" w:color="auto"/>
                <w:left w:val="none" w:sz="0" w:space="0" w:color="auto"/>
                <w:bottom w:val="none" w:sz="0" w:space="0" w:color="auto"/>
                <w:right w:val="none" w:sz="0" w:space="0" w:color="auto"/>
              </w:divBdr>
            </w:div>
            <w:div w:id="393163036">
              <w:marLeft w:val="0"/>
              <w:marRight w:val="0"/>
              <w:marTop w:val="0"/>
              <w:marBottom w:val="0"/>
              <w:divBdr>
                <w:top w:val="none" w:sz="0" w:space="0" w:color="auto"/>
                <w:left w:val="none" w:sz="0" w:space="0" w:color="auto"/>
                <w:bottom w:val="none" w:sz="0" w:space="0" w:color="auto"/>
                <w:right w:val="none" w:sz="0" w:space="0" w:color="auto"/>
              </w:divBdr>
            </w:div>
            <w:div w:id="586033847">
              <w:marLeft w:val="0"/>
              <w:marRight w:val="0"/>
              <w:marTop w:val="0"/>
              <w:marBottom w:val="0"/>
              <w:divBdr>
                <w:top w:val="none" w:sz="0" w:space="0" w:color="auto"/>
                <w:left w:val="none" w:sz="0" w:space="0" w:color="auto"/>
                <w:bottom w:val="none" w:sz="0" w:space="0" w:color="auto"/>
                <w:right w:val="none" w:sz="0" w:space="0" w:color="auto"/>
              </w:divBdr>
            </w:div>
            <w:div w:id="603417641">
              <w:marLeft w:val="0"/>
              <w:marRight w:val="0"/>
              <w:marTop w:val="0"/>
              <w:marBottom w:val="0"/>
              <w:divBdr>
                <w:top w:val="none" w:sz="0" w:space="0" w:color="auto"/>
                <w:left w:val="none" w:sz="0" w:space="0" w:color="auto"/>
                <w:bottom w:val="none" w:sz="0" w:space="0" w:color="auto"/>
                <w:right w:val="none" w:sz="0" w:space="0" w:color="auto"/>
              </w:divBdr>
            </w:div>
            <w:div w:id="609363227">
              <w:marLeft w:val="0"/>
              <w:marRight w:val="0"/>
              <w:marTop w:val="0"/>
              <w:marBottom w:val="0"/>
              <w:divBdr>
                <w:top w:val="none" w:sz="0" w:space="0" w:color="auto"/>
                <w:left w:val="none" w:sz="0" w:space="0" w:color="auto"/>
                <w:bottom w:val="none" w:sz="0" w:space="0" w:color="auto"/>
                <w:right w:val="none" w:sz="0" w:space="0" w:color="auto"/>
              </w:divBdr>
            </w:div>
            <w:div w:id="739717211">
              <w:marLeft w:val="0"/>
              <w:marRight w:val="0"/>
              <w:marTop w:val="0"/>
              <w:marBottom w:val="0"/>
              <w:divBdr>
                <w:top w:val="none" w:sz="0" w:space="0" w:color="auto"/>
                <w:left w:val="none" w:sz="0" w:space="0" w:color="auto"/>
                <w:bottom w:val="none" w:sz="0" w:space="0" w:color="auto"/>
                <w:right w:val="none" w:sz="0" w:space="0" w:color="auto"/>
              </w:divBdr>
            </w:div>
            <w:div w:id="1014725829">
              <w:marLeft w:val="0"/>
              <w:marRight w:val="0"/>
              <w:marTop w:val="0"/>
              <w:marBottom w:val="0"/>
              <w:divBdr>
                <w:top w:val="none" w:sz="0" w:space="0" w:color="auto"/>
                <w:left w:val="none" w:sz="0" w:space="0" w:color="auto"/>
                <w:bottom w:val="none" w:sz="0" w:space="0" w:color="auto"/>
                <w:right w:val="none" w:sz="0" w:space="0" w:color="auto"/>
              </w:divBdr>
            </w:div>
            <w:div w:id="1020162740">
              <w:marLeft w:val="0"/>
              <w:marRight w:val="0"/>
              <w:marTop w:val="0"/>
              <w:marBottom w:val="0"/>
              <w:divBdr>
                <w:top w:val="none" w:sz="0" w:space="0" w:color="auto"/>
                <w:left w:val="none" w:sz="0" w:space="0" w:color="auto"/>
                <w:bottom w:val="none" w:sz="0" w:space="0" w:color="auto"/>
                <w:right w:val="none" w:sz="0" w:space="0" w:color="auto"/>
              </w:divBdr>
            </w:div>
            <w:div w:id="1053188844">
              <w:marLeft w:val="0"/>
              <w:marRight w:val="0"/>
              <w:marTop w:val="0"/>
              <w:marBottom w:val="0"/>
              <w:divBdr>
                <w:top w:val="none" w:sz="0" w:space="0" w:color="auto"/>
                <w:left w:val="none" w:sz="0" w:space="0" w:color="auto"/>
                <w:bottom w:val="none" w:sz="0" w:space="0" w:color="auto"/>
                <w:right w:val="none" w:sz="0" w:space="0" w:color="auto"/>
              </w:divBdr>
            </w:div>
            <w:div w:id="1070810068">
              <w:marLeft w:val="0"/>
              <w:marRight w:val="0"/>
              <w:marTop w:val="0"/>
              <w:marBottom w:val="0"/>
              <w:divBdr>
                <w:top w:val="none" w:sz="0" w:space="0" w:color="auto"/>
                <w:left w:val="none" w:sz="0" w:space="0" w:color="auto"/>
                <w:bottom w:val="none" w:sz="0" w:space="0" w:color="auto"/>
                <w:right w:val="none" w:sz="0" w:space="0" w:color="auto"/>
              </w:divBdr>
            </w:div>
            <w:div w:id="1362171315">
              <w:marLeft w:val="0"/>
              <w:marRight w:val="0"/>
              <w:marTop w:val="0"/>
              <w:marBottom w:val="0"/>
              <w:divBdr>
                <w:top w:val="none" w:sz="0" w:space="0" w:color="auto"/>
                <w:left w:val="none" w:sz="0" w:space="0" w:color="auto"/>
                <w:bottom w:val="none" w:sz="0" w:space="0" w:color="auto"/>
                <w:right w:val="none" w:sz="0" w:space="0" w:color="auto"/>
              </w:divBdr>
            </w:div>
            <w:div w:id="1487473822">
              <w:marLeft w:val="0"/>
              <w:marRight w:val="0"/>
              <w:marTop w:val="0"/>
              <w:marBottom w:val="0"/>
              <w:divBdr>
                <w:top w:val="none" w:sz="0" w:space="0" w:color="auto"/>
                <w:left w:val="none" w:sz="0" w:space="0" w:color="auto"/>
                <w:bottom w:val="none" w:sz="0" w:space="0" w:color="auto"/>
                <w:right w:val="none" w:sz="0" w:space="0" w:color="auto"/>
              </w:divBdr>
            </w:div>
            <w:div w:id="1804300115">
              <w:marLeft w:val="0"/>
              <w:marRight w:val="0"/>
              <w:marTop w:val="0"/>
              <w:marBottom w:val="0"/>
              <w:divBdr>
                <w:top w:val="none" w:sz="0" w:space="0" w:color="auto"/>
                <w:left w:val="none" w:sz="0" w:space="0" w:color="auto"/>
                <w:bottom w:val="none" w:sz="0" w:space="0" w:color="auto"/>
                <w:right w:val="none" w:sz="0" w:space="0" w:color="auto"/>
              </w:divBdr>
            </w:div>
            <w:div w:id="1813446805">
              <w:marLeft w:val="0"/>
              <w:marRight w:val="0"/>
              <w:marTop w:val="0"/>
              <w:marBottom w:val="0"/>
              <w:divBdr>
                <w:top w:val="none" w:sz="0" w:space="0" w:color="auto"/>
                <w:left w:val="none" w:sz="0" w:space="0" w:color="auto"/>
                <w:bottom w:val="none" w:sz="0" w:space="0" w:color="auto"/>
                <w:right w:val="none" w:sz="0" w:space="0" w:color="auto"/>
              </w:divBdr>
            </w:div>
            <w:div w:id="1836797663">
              <w:marLeft w:val="0"/>
              <w:marRight w:val="0"/>
              <w:marTop w:val="0"/>
              <w:marBottom w:val="0"/>
              <w:divBdr>
                <w:top w:val="none" w:sz="0" w:space="0" w:color="auto"/>
                <w:left w:val="none" w:sz="0" w:space="0" w:color="auto"/>
                <w:bottom w:val="none" w:sz="0" w:space="0" w:color="auto"/>
                <w:right w:val="none" w:sz="0" w:space="0" w:color="auto"/>
              </w:divBdr>
            </w:div>
            <w:div w:id="1872182979">
              <w:marLeft w:val="0"/>
              <w:marRight w:val="0"/>
              <w:marTop w:val="0"/>
              <w:marBottom w:val="0"/>
              <w:divBdr>
                <w:top w:val="none" w:sz="0" w:space="0" w:color="auto"/>
                <w:left w:val="none" w:sz="0" w:space="0" w:color="auto"/>
                <w:bottom w:val="none" w:sz="0" w:space="0" w:color="auto"/>
                <w:right w:val="none" w:sz="0" w:space="0" w:color="auto"/>
              </w:divBdr>
            </w:div>
            <w:div w:id="1928617222">
              <w:marLeft w:val="0"/>
              <w:marRight w:val="0"/>
              <w:marTop w:val="0"/>
              <w:marBottom w:val="0"/>
              <w:divBdr>
                <w:top w:val="none" w:sz="0" w:space="0" w:color="auto"/>
                <w:left w:val="none" w:sz="0" w:space="0" w:color="auto"/>
                <w:bottom w:val="none" w:sz="0" w:space="0" w:color="auto"/>
                <w:right w:val="none" w:sz="0" w:space="0" w:color="auto"/>
              </w:divBdr>
            </w:div>
          </w:divsChild>
        </w:div>
        <w:div w:id="495416865">
          <w:marLeft w:val="0"/>
          <w:marRight w:val="0"/>
          <w:marTop w:val="0"/>
          <w:marBottom w:val="0"/>
          <w:divBdr>
            <w:top w:val="none" w:sz="0" w:space="0" w:color="auto"/>
            <w:left w:val="none" w:sz="0" w:space="0" w:color="auto"/>
            <w:bottom w:val="none" w:sz="0" w:space="0" w:color="auto"/>
            <w:right w:val="none" w:sz="0" w:space="0" w:color="auto"/>
          </w:divBdr>
        </w:div>
        <w:div w:id="638386431">
          <w:marLeft w:val="0"/>
          <w:marRight w:val="0"/>
          <w:marTop w:val="0"/>
          <w:marBottom w:val="0"/>
          <w:divBdr>
            <w:top w:val="none" w:sz="0" w:space="0" w:color="auto"/>
            <w:left w:val="none" w:sz="0" w:space="0" w:color="auto"/>
            <w:bottom w:val="none" w:sz="0" w:space="0" w:color="auto"/>
            <w:right w:val="none" w:sz="0" w:space="0" w:color="auto"/>
          </w:divBdr>
        </w:div>
        <w:div w:id="787547849">
          <w:marLeft w:val="0"/>
          <w:marRight w:val="0"/>
          <w:marTop w:val="0"/>
          <w:marBottom w:val="0"/>
          <w:divBdr>
            <w:top w:val="none" w:sz="0" w:space="0" w:color="auto"/>
            <w:left w:val="none" w:sz="0" w:space="0" w:color="auto"/>
            <w:bottom w:val="none" w:sz="0" w:space="0" w:color="auto"/>
            <w:right w:val="none" w:sz="0" w:space="0" w:color="auto"/>
          </w:divBdr>
        </w:div>
        <w:div w:id="1055082990">
          <w:marLeft w:val="0"/>
          <w:marRight w:val="0"/>
          <w:marTop w:val="0"/>
          <w:marBottom w:val="0"/>
          <w:divBdr>
            <w:top w:val="none" w:sz="0" w:space="0" w:color="auto"/>
            <w:left w:val="none" w:sz="0" w:space="0" w:color="auto"/>
            <w:bottom w:val="none" w:sz="0" w:space="0" w:color="auto"/>
            <w:right w:val="none" w:sz="0" w:space="0" w:color="auto"/>
          </w:divBdr>
        </w:div>
        <w:div w:id="1114522556">
          <w:marLeft w:val="0"/>
          <w:marRight w:val="0"/>
          <w:marTop w:val="0"/>
          <w:marBottom w:val="0"/>
          <w:divBdr>
            <w:top w:val="none" w:sz="0" w:space="0" w:color="auto"/>
            <w:left w:val="none" w:sz="0" w:space="0" w:color="auto"/>
            <w:bottom w:val="none" w:sz="0" w:space="0" w:color="auto"/>
            <w:right w:val="none" w:sz="0" w:space="0" w:color="auto"/>
          </w:divBdr>
        </w:div>
        <w:div w:id="1297294828">
          <w:marLeft w:val="0"/>
          <w:marRight w:val="0"/>
          <w:marTop w:val="0"/>
          <w:marBottom w:val="0"/>
          <w:divBdr>
            <w:top w:val="none" w:sz="0" w:space="0" w:color="auto"/>
            <w:left w:val="none" w:sz="0" w:space="0" w:color="auto"/>
            <w:bottom w:val="none" w:sz="0" w:space="0" w:color="auto"/>
            <w:right w:val="none" w:sz="0" w:space="0" w:color="auto"/>
          </w:divBdr>
        </w:div>
        <w:div w:id="1317342198">
          <w:marLeft w:val="0"/>
          <w:marRight w:val="0"/>
          <w:marTop w:val="0"/>
          <w:marBottom w:val="0"/>
          <w:divBdr>
            <w:top w:val="none" w:sz="0" w:space="0" w:color="auto"/>
            <w:left w:val="none" w:sz="0" w:space="0" w:color="auto"/>
            <w:bottom w:val="none" w:sz="0" w:space="0" w:color="auto"/>
            <w:right w:val="none" w:sz="0" w:space="0" w:color="auto"/>
          </w:divBdr>
        </w:div>
        <w:div w:id="1468090871">
          <w:marLeft w:val="0"/>
          <w:marRight w:val="0"/>
          <w:marTop w:val="0"/>
          <w:marBottom w:val="0"/>
          <w:divBdr>
            <w:top w:val="none" w:sz="0" w:space="0" w:color="auto"/>
            <w:left w:val="none" w:sz="0" w:space="0" w:color="auto"/>
            <w:bottom w:val="none" w:sz="0" w:space="0" w:color="auto"/>
            <w:right w:val="none" w:sz="0" w:space="0" w:color="auto"/>
          </w:divBdr>
        </w:div>
        <w:div w:id="1508207605">
          <w:marLeft w:val="0"/>
          <w:marRight w:val="0"/>
          <w:marTop w:val="0"/>
          <w:marBottom w:val="0"/>
          <w:divBdr>
            <w:top w:val="none" w:sz="0" w:space="0" w:color="auto"/>
            <w:left w:val="none" w:sz="0" w:space="0" w:color="auto"/>
            <w:bottom w:val="none" w:sz="0" w:space="0" w:color="auto"/>
            <w:right w:val="none" w:sz="0" w:space="0" w:color="auto"/>
          </w:divBdr>
        </w:div>
        <w:div w:id="1760250980">
          <w:marLeft w:val="0"/>
          <w:marRight w:val="0"/>
          <w:marTop w:val="0"/>
          <w:marBottom w:val="0"/>
          <w:divBdr>
            <w:top w:val="none" w:sz="0" w:space="0" w:color="auto"/>
            <w:left w:val="none" w:sz="0" w:space="0" w:color="auto"/>
            <w:bottom w:val="none" w:sz="0" w:space="0" w:color="auto"/>
            <w:right w:val="none" w:sz="0" w:space="0" w:color="auto"/>
          </w:divBdr>
        </w:div>
        <w:div w:id="1992978767">
          <w:marLeft w:val="0"/>
          <w:marRight w:val="0"/>
          <w:marTop w:val="0"/>
          <w:marBottom w:val="0"/>
          <w:divBdr>
            <w:top w:val="none" w:sz="0" w:space="0" w:color="auto"/>
            <w:left w:val="none" w:sz="0" w:space="0" w:color="auto"/>
            <w:bottom w:val="none" w:sz="0" w:space="0" w:color="auto"/>
            <w:right w:val="none" w:sz="0" w:space="0" w:color="auto"/>
          </w:divBdr>
        </w:div>
      </w:divsChild>
    </w:div>
    <w:div w:id="1673952978">
      <w:bodyDiv w:val="1"/>
      <w:marLeft w:val="0"/>
      <w:marRight w:val="0"/>
      <w:marTop w:val="0"/>
      <w:marBottom w:val="0"/>
      <w:divBdr>
        <w:top w:val="none" w:sz="0" w:space="0" w:color="auto"/>
        <w:left w:val="none" w:sz="0" w:space="0" w:color="auto"/>
        <w:bottom w:val="none" w:sz="0" w:space="0" w:color="auto"/>
        <w:right w:val="none" w:sz="0" w:space="0" w:color="auto"/>
      </w:divBdr>
      <w:divsChild>
        <w:div w:id="1473417">
          <w:marLeft w:val="0"/>
          <w:marRight w:val="0"/>
          <w:marTop w:val="0"/>
          <w:marBottom w:val="0"/>
          <w:divBdr>
            <w:top w:val="none" w:sz="0" w:space="0" w:color="auto"/>
            <w:left w:val="none" w:sz="0" w:space="0" w:color="auto"/>
            <w:bottom w:val="none" w:sz="0" w:space="0" w:color="auto"/>
            <w:right w:val="none" w:sz="0" w:space="0" w:color="auto"/>
          </w:divBdr>
          <w:divsChild>
            <w:div w:id="670765821">
              <w:marLeft w:val="0"/>
              <w:marRight w:val="0"/>
              <w:marTop w:val="0"/>
              <w:marBottom w:val="0"/>
              <w:divBdr>
                <w:top w:val="none" w:sz="0" w:space="0" w:color="auto"/>
                <w:left w:val="none" w:sz="0" w:space="0" w:color="auto"/>
                <w:bottom w:val="none" w:sz="0" w:space="0" w:color="auto"/>
                <w:right w:val="none" w:sz="0" w:space="0" w:color="auto"/>
              </w:divBdr>
            </w:div>
          </w:divsChild>
        </w:div>
        <w:div w:id="102845716">
          <w:marLeft w:val="0"/>
          <w:marRight w:val="0"/>
          <w:marTop w:val="0"/>
          <w:marBottom w:val="0"/>
          <w:divBdr>
            <w:top w:val="none" w:sz="0" w:space="0" w:color="auto"/>
            <w:left w:val="none" w:sz="0" w:space="0" w:color="auto"/>
            <w:bottom w:val="none" w:sz="0" w:space="0" w:color="auto"/>
            <w:right w:val="none" w:sz="0" w:space="0" w:color="auto"/>
          </w:divBdr>
          <w:divsChild>
            <w:div w:id="780958065">
              <w:marLeft w:val="0"/>
              <w:marRight w:val="0"/>
              <w:marTop w:val="0"/>
              <w:marBottom w:val="0"/>
              <w:divBdr>
                <w:top w:val="none" w:sz="0" w:space="0" w:color="auto"/>
                <w:left w:val="none" w:sz="0" w:space="0" w:color="auto"/>
                <w:bottom w:val="none" w:sz="0" w:space="0" w:color="auto"/>
                <w:right w:val="none" w:sz="0" w:space="0" w:color="auto"/>
              </w:divBdr>
            </w:div>
          </w:divsChild>
        </w:div>
        <w:div w:id="103575110">
          <w:marLeft w:val="0"/>
          <w:marRight w:val="0"/>
          <w:marTop w:val="0"/>
          <w:marBottom w:val="0"/>
          <w:divBdr>
            <w:top w:val="none" w:sz="0" w:space="0" w:color="auto"/>
            <w:left w:val="none" w:sz="0" w:space="0" w:color="auto"/>
            <w:bottom w:val="none" w:sz="0" w:space="0" w:color="auto"/>
            <w:right w:val="none" w:sz="0" w:space="0" w:color="auto"/>
          </w:divBdr>
          <w:divsChild>
            <w:div w:id="434399873">
              <w:marLeft w:val="0"/>
              <w:marRight w:val="0"/>
              <w:marTop w:val="0"/>
              <w:marBottom w:val="0"/>
              <w:divBdr>
                <w:top w:val="none" w:sz="0" w:space="0" w:color="auto"/>
                <w:left w:val="none" w:sz="0" w:space="0" w:color="auto"/>
                <w:bottom w:val="none" w:sz="0" w:space="0" w:color="auto"/>
                <w:right w:val="none" w:sz="0" w:space="0" w:color="auto"/>
              </w:divBdr>
            </w:div>
          </w:divsChild>
        </w:div>
        <w:div w:id="198710167">
          <w:marLeft w:val="0"/>
          <w:marRight w:val="0"/>
          <w:marTop w:val="0"/>
          <w:marBottom w:val="0"/>
          <w:divBdr>
            <w:top w:val="none" w:sz="0" w:space="0" w:color="auto"/>
            <w:left w:val="none" w:sz="0" w:space="0" w:color="auto"/>
            <w:bottom w:val="none" w:sz="0" w:space="0" w:color="auto"/>
            <w:right w:val="none" w:sz="0" w:space="0" w:color="auto"/>
          </w:divBdr>
          <w:divsChild>
            <w:div w:id="206726164">
              <w:marLeft w:val="0"/>
              <w:marRight w:val="0"/>
              <w:marTop w:val="0"/>
              <w:marBottom w:val="0"/>
              <w:divBdr>
                <w:top w:val="none" w:sz="0" w:space="0" w:color="auto"/>
                <w:left w:val="none" w:sz="0" w:space="0" w:color="auto"/>
                <w:bottom w:val="none" w:sz="0" w:space="0" w:color="auto"/>
                <w:right w:val="none" w:sz="0" w:space="0" w:color="auto"/>
              </w:divBdr>
            </w:div>
          </w:divsChild>
        </w:div>
        <w:div w:id="208348512">
          <w:marLeft w:val="0"/>
          <w:marRight w:val="0"/>
          <w:marTop w:val="0"/>
          <w:marBottom w:val="0"/>
          <w:divBdr>
            <w:top w:val="none" w:sz="0" w:space="0" w:color="auto"/>
            <w:left w:val="none" w:sz="0" w:space="0" w:color="auto"/>
            <w:bottom w:val="none" w:sz="0" w:space="0" w:color="auto"/>
            <w:right w:val="none" w:sz="0" w:space="0" w:color="auto"/>
          </w:divBdr>
          <w:divsChild>
            <w:div w:id="171259224">
              <w:marLeft w:val="0"/>
              <w:marRight w:val="0"/>
              <w:marTop w:val="0"/>
              <w:marBottom w:val="0"/>
              <w:divBdr>
                <w:top w:val="none" w:sz="0" w:space="0" w:color="auto"/>
                <w:left w:val="none" w:sz="0" w:space="0" w:color="auto"/>
                <w:bottom w:val="none" w:sz="0" w:space="0" w:color="auto"/>
                <w:right w:val="none" w:sz="0" w:space="0" w:color="auto"/>
              </w:divBdr>
            </w:div>
          </w:divsChild>
        </w:div>
        <w:div w:id="210116422">
          <w:marLeft w:val="0"/>
          <w:marRight w:val="0"/>
          <w:marTop w:val="0"/>
          <w:marBottom w:val="0"/>
          <w:divBdr>
            <w:top w:val="none" w:sz="0" w:space="0" w:color="auto"/>
            <w:left w:val="none" w:sz="0" w:space="0" w:color="auto"/>
            <w:bottom w:val="none" w:sz="0" w:space="0" w:color="auto"/>
            <w:right w:val="none" w:sz="0" w:space="0" w:color="auto"/>
          </w:divBdr>
          <w:divsChild>
            <w:div w:id="260798149">
              <w:marLeft w:val="0"/>
              <w:marRight w:val="0"/>
              <w:marTop w:val="0"/>
              <w:marBottom w:val="0"/>
              <w:divBdr>
                <w:top w:val="none" w:sz="0" w:space="0" w:color="auto"/>
                <w:left w:val="none" w:sz="0" w:space="0" w:color="auto"/>
                <w:bottom w:val="none" w:sz="0" w:space="0" w:color="auto"/>
                <w:right w:val="none" w:sz="0" w:space="0" w:color="auto"/>
              </w:divBdr>
            </w:div>
          </w:divsChild>
        </w:div>
        <w:div w:id="251470961">
          <w:marLeft w:val="0"/>
          <w:marRight w:val="0"/>
          <w:marTop w:val="0"/>
          <w:marBottom w:val="0"/>
          <w:divBdr>
            <w:top w:val="none" w:sz="0" w:space="0" w:color="auto"/>
            <w:left w:val="none" w:sz="0" w:space="0" w:color="auto"/>
            <w:bottom w:val="none" w:sz="0" w:space="0" w:color="auto"/>
            <w:right w:val="none" w:sz="0" w:space="0" w:color="auto"/>
          </w:divBdr>
          <w:divsChild>
            <w:div w:id="516699971">
              <w:marLeft w:val="0"/>
              <w:marRight w:val="0"/>
              <w:marTop w:val="0"/>
              <w:marBottom w:val="0"/>
              <w:divBdr>
                <w:top w:val="none" w:sz="0" w:space="0" w:color="auto"/>
                <w:left w:val="none" w:sz="0" w:space="0" w:color="auto"/>
                <w:bottom w:val="none" w:sz="0" w:space="0" w:color="auto"/>
                <w:right w:val="none" w:sz="0" w:space="0" w:color="auto"/>
              </w:divBdr>
            </w:div>
          </w:divsChild>
        </w:div>
        <w:div w:id="287668230">
          <w:marLeft w:val="0"/>
          <w:marRight w:val="0"/>
          <w:marTop w:val="0"/>
          <w:marBottom w:val="0"/>
          <w:divBdr>
            <w:top w:val="none" w:sz="0" w:space="0" w:color="auto"/>
            <w:left w:val="none" w:sz="0" w:space="0" w:color="auto"/>
            <w:bottom w:val="none" w:sz="0" w:space="0" w:color="auto"/>
            <w:right w:val="none" w:sz="0" w:space="0" w:color="auto"/>
          </w:divBdr>
          <w:divsChild>
            <w:div w:id="475951783">
              <w:marLeft w:val="0"/>
              <w:marRight w:val="0"/>
              <w:marTop w:val="0"/>
              <w:marBottom w:val="0"/>
              <w:divBdr>
                <w:top w:val="none" w:sz="0" w:space="0" w:color="auto"/>
                <w:left w:val="none" w:sz="0" w:space="0" w:color="auto"/>
                <w:bottom w:val="none" w:sz="0" w:space="0" w:color="auto"/>
                <w:right w:val="none" w:sz="0" w:space="0" w:color="auto"/>
              </w:divBdr>
            </w:div>
          </w:divsChild>
        </w:div>
        <w:div w:id="292835875">
          <w:marLeft w:val="0"/>
          <w:marRight w:val="0"/>
          <w:marTop w:val="0"/>
          <w:marBottom w:val="0"/>
          <w:divBdr>
            <w:top w:val="none" w:sz="0" w:space="0" w:color="auto"/>
            <w:left w:val="none" w:sz="0" w:space="0" w:color="auto"/>
            <w:bottom w:val="none" w:sz="0" w:space="0" w:color="auto"/>
            <w:right w:val="none" w:sz="0" w:space="0" w:color="auto"/>
          </w:divBdr>
          <w:divsChild>
            <w:div w:id="663168343">
              <w:marLeft w:val="0"/>
              <w:marRight w:val="0"/>
              <w:marTop w:val="0"/>
              <w:marBottom w:val="0"/>
              <w:divBdr>
                <w:top w:val="none" w:sz="0" w:space="0" w:color="auto"/>
                <w:left w:val="none" w:sz="0" w:space="0" w:color="auto"/>
                <w:bottom w:val="none" w:sz="0" w:space="0" w:color="auto"/>
                <w:right w:val="none" w:sz="0" w:space="0" w:color="auto"/>
              </w:divBdr>
            </w:div>
          </w:divsChild>
        </w:div>
        <w:div w:id="299575889">
          <w:marLeft w:val="0"/>
          <w:marRight w:val="0"/>
          <w:marTop w:val="0"/>
          <w:marBottom w:val="0"/>
          <w:divBdr>
            <w:top w:val="none" w:sz="0" w:space="0" w:color="auto"/>
            <w:left w:val="none" w:sz="0" w:space="0" w:color="auto"/>
            <w:bottom w:val="none" w:sz="0" w:space="0" w:color="auto"/>
            <w:right w:val="none" w:sz="0" w:space="0" w:color="auto"/>
          </w:divBdr>
          <w:divsChild>
            <w:div w:id="13970068">
              <w:marLeft w:val="0"/>
              <w:marRight w:val="0"/>
              <w:marTop w:val="0"/>
              <w:marBottom w:val="0"/>
              <w:divBdr>
                <w:top w:val="none" w:sz="0" w:space="0" w:color="auto"/>
                <w:left w:val="none" w:sz="0" w:space="0" w:color="auto"/>
                <w:bottom w:val="none" w:sz="0" w:space="0" w:color="auto"/>
                <w:right w:val="none" w:sz="0" w:space="0" w:color="auto"/>
              </w:divBdr>
            </w:div>
          </w:divsChild>
        </w:div>
        <w:div w:id="338512090">
          <w:marLeft w:val="0"/>
          <w:marRight w:val="0"/>
          <w:marTop w:val="0"/>
          <w:marBottom w:val="0"/>
          <w:divBdr>
            <w:top w:val="none" w:sz="0" w:space="0" w:color="auto"/>
            <w:left w:val="none" w:sz="0" w:space="0" w:color="auto"/>
            <w:bottom w:val="none" w:sz="0" w:space="0" w:color="auto"/>
            <w:right w:val="none" w:sz="0" w:space="0" w:color="auto"/>
          </w:divBdr>
          <w:divsChild>
            <w:div w:id="1365642558">
              <w:marLeft w:val="0"/>
              <w:marRight w:val="0"/>
              <w:marTop w:val="0"/>
              <w:marBottom w:val="0"/>
              <w:divBdr>
                <w:top w:val="none" w:sz="0" w:space="0" w:color="auto"/>
                <w:left w:val="none" w:sz="0" w:space="0" w:color="auto"/>
                <w:bottom w:val="none" w:sz="0" w:space="0" w:color="auto"/>
                <w:right w:val="none" w:sz="0" w:space="0" w:color="auto"/>
              </w:divBdr>
            </w:div>
          </w:divsChild>
        </w:div>
        <w:div w:id="424888406">
          <w:marLeft w:val="0"/>
          <w:marRight w:val="0"/>
          <w:marTop w:val="0"/>
          <w:marBottom w:val="0"/>
          <w:divBdr>
            <w:top w:val="none" w:sz="0" w:space="0" w:color="auto"/>
            <w:left w:val="none" w:sz="0" w:space="0" w:color="auto"/>
            <w:bottom w:val="none" w:sz="0" w:space="0" w:color="auto"/>
            <w:right w:val="none" w:sz="0" w:space="0" w:color="auto"/>
          </w:divBdr>
          <w:divsChild>
            <w:div w:id="1340962845">
              <w:marLeft w:val="0"/>
              <w:marRight w:val="0"/>
              <w:marTop w:val="0"/>
              <w:marBottom w:val="0"/>
              <w:divBdr>
                <w:top w:val="none" w:sz="0" w:space="0" w:color="auto"/>
                <w:left w:val="none" w:sz="0" w:space="0" w:color="auto"/>
                <w:bottom w:val="none" w:sz="0" w:space="0" w:color="auto"/>
                <w:right w:val="none" w:sz="0" w:space="0" w:color="auto"/>
              </w:divBdr>
            </w:div>
          </w:divsChild>
        </w:div>
        <w:div w:id="441655912">
          <w:marLeft w:val="0"/>
          <w:marRight w:val="0"/>
          <w:marTop w:val="0"/>
          <w:marBottom w:val="0"/>
          <w:divBdr>
            <w:top w:val="none" w:sz="0" w:space="0" w:color="auto"/>
            <w:left w:val="none" w:sz="0" w:space="0" w:color="auto"/>
            <w:bottom w:val="none" w:sz="0" w:space="0" w:color="auto"/>
            <w:right w:val="none" w:sz="0" w:space="0" w:color="auto"/>
          </w:divBdr>
          <w:divsChild>
            <w:div w:id="319889204">
              <w:marLeft w:val="0"/>
              <w:marRight w:val="0"/>
              <w:marTop w:val="0"/>
              <w:marBottom w:val="0"/>
              <w:divBdr>
                <w:top w:val="none" w:sz="0" w:space="0" w:color="auto"/>
                <w:left w:val="none" w:sz="0" w:space="0" w:color="auto"/>
                <w:bottom w:val="none" w:sz="0" w:space="0" w:color="auto"/>
                <w:right w:val="none" w:sz="0" w:space="0" w:color="auto"/>
              </w:divBdr>
            </w:div>
          </w:divsChild>
        </w:div>
        <w:div w:id="484979731">
          <w:marLeft w:val="0"/>
          <w:marRight w:val="0"/>
          <w:marTop w:val="0"/>
          <w:marBottom w:val="0"/>
          <w:divBdr>
            <w:top w:val="none" w:sz="0" w:space="0" w:color="auto"/>
            <w:left w:val="none" w:sz="0" w:space="0" w:color="auto"/>
            <w:bottom w:val="none" w:sz="0" w:space="0" w:color="auto"/>
            <w:right w:val="none" w:sz="0" w:space="0" w:color="auto"/>
          </w:divBdr>
          <w:divsChild>
            <w:div w:id="2083405108">
              <w:marLeft w:val="0"/>
              <w:marRight w:val="0"/>
              <w:marTop w:val="0"/>
              <w:marBottom w:val="0"/>
              <w:divBdr>
                <w:top w:val="none" w:sz="0" w:space="0" w:color="auto"/>
                <w:left w:val="none" w:sz="0" w:space="0" w:color="auto"/>
                <w:bottom w:val="none" w:sz="0" w:space="0" w:color="auto"/>
                <w:right w:val="none" w:sz="0" w:space="0" w:color="auto"/>
              </w:divBdr>
            </w:div>
          </w:divsChild>
        </w:div>
        <w:div w:id="498037678">
          <w:marLeft w:val="0"/>
          <w:marRight w:val="0"/>
          <w:marTop w:val="0"/>
          <w:marBottom w:val="0"/>
          <w:divBdr>
            <w:top w:val="none" w:sz="0" w:space="0" w:color="auto"/>
            <w:left w:val="none" w:sz="0" w:space="0" w:color="auto"/>
            <w:bottom w:val="none" w:sz="0" w:space="0" w:color="auto"/>
            <w:right w:val="none" w:sz="0" w:space="0" w:color="auto"/>
          </w:divBdr>
          <w:divsChild>
            <w:div w:id="832792304">
              <w:marLeft w:val="0"/>
              <w:marRight w:val="0"/>
              <w:marTop w:val="0"/>
              <w:marBottom w:val="0"/>
              <w:divBdr>
                <w:top w:val="none" w:sz="0" w:space="0" w:color="auto"/>
                <w:left w:val="none" w:sz="0" w:space="0" w:color="auto"/>
                <w:bottom w:val="none" w:sz="0" w:space="0" w:color="auto"/>
                <w:right w:val="none" w:sz="0" w:space="0" w:color="auto"/>
              </w:divBdr>
            </w:div>
          </w:divsChild>
        </w:div>
        <w:div w:id="584649147">
          <w:marLeft w:val="0"/>
          <w:marRight w:val="0"/>
          <w:marTop w:val="0"/>
          <w:marBottom w:val="0"/>
          <w:divBdr>
            <w:top w:val="none" w:sz="0" w:space="0" w:color="auto"/>
            <w:left w:val="none" w:sz="0" w:space="0" w:color="auto"/>
            <w:bottom w:val="none" w:sz="0" w:space="0" w:color="auto"/>
            <w:right w:val="none" w:sz="0" w:space="0" w:color="auto"/>
          </w:divBdr>
          <w:divsChild>
            <w:div w:id="111754825">
              <w:marLeft w:val="0"/>
              <w:marRight w:val="0"/>
              <w:marTop w:val="0"/>
              <w:marBottom w:val="0"/>
              <w:divBdr>
                <w:top w:val="none" w:sz="0" w:space="0" w:color="auto"/>
                <w:left w:val="none" w:sz="0" w:space="0" w:color="auto"/>
                <w:bottom w:val="none" w:sz="0" w:space="0" w:color="auto"/>
                <w:right w:val="none" w:sz="0" w:space="0" w:color="auto"/>
              </w:divBdr>
            </w:div>
          </w:divsChild>
        </w:div>
        <w:div w:id="596985782">
          <w:marLeft w:val="0"/>
          <w:marRight w:val="0"/>
          <w:marTop w:val="0"/>
          <w:marBottom w:val="0"/>
          <w:divBdr>
            <w:top w:val="none" w:sz="0" w:space="0" w:color="auto"/>
            <w:left w:val="none" w:sz="0" w:space="0" w:color="auto"/>
            <w:bottom w:val="none" w:sz="0" w:space="0" w:color="auto"/>
            <w:right w:val="none" w:sz="0" w:space="0" w:color="auto"/>
          </w:divBdr>
          <w:divsChild>
            <w:div w:id="1194005226">
              <w:marLeft w:val="0"/>
              <w:marRight w:val="0"/>
              <w:marTop w:val="0"/>
              <w:marBottom w:val="0"/>
              <w:divBdr>
                <w:top w:val="none" w:sz="0" w:space="0" w:color="auto"/>
                <w:left w:val="none" w:sz="0" w:space="0" w:color="auto"/>
                <w:bottom w:val="none" w:sz="0" w:space="0" w:color="auto"/>
                <w:right w:val="none" w:sz="0" w:space="0" w:color="auto"/>
              </w:divBdr>
            </w:div>
          </w:divsChild>
        </w:div>
        <w:div w:id="656343911">
          <w:marLeft w:val="0"/>
          <w:marRight w:val="0"/>
          <w:marTop w:val="0"/>
          <w:marBottom w:val="0"/>
          <w:divBdr>
            <w:top w:val="none" w:sz="0" w:space="0" w:color="auto"/>
            <w:left w:val="none" w:sz="0" w:space="0" w:color="auto"/>
            <w:bottom w:val="none" w:sz="0" w:space="0" w:color="auto"/>
            <w:right w:val="none" w:sz="0" w:space="0" w:color="auto"/>
          </w:divBdr>
          <w:divsChild>
            <w:div w:id="1551651236">
              <w:marLeft w:val="0"/>
              <w:marRight w:val="0"/>
              <w:marTop w:val="0"/>
              <w:marBottom w:val="0"/>
              <w:divBdr>
                <w:top w:val="none" w:sz="0" w:space="0" w:color="auto"/>
                <w:left w:val="none" w:sz="0" w:space="0" w:color="auto"/>
                <w:bottom w:val="none" w:sz="0" w:space="0" w:color="auto"/>
                <w:right w:val="none" w:sz="0" w:space="0" w:color="auto"/>
              </w:divBdr>
            </w:div>
          </w:divsChild>
        </w:div>
        <w:div w:id="766269823">
          <w:marLeft w:val="0"/>
          <w:marRight w:val="0"/>
          <w:marTop w:val="0"/>
          <w:marBottom w:val="0"/>
          <w:divBdr>
            <w:top w:val="none" w:sz="0" w:space="0" w:color="auto"/>
            <w:left w:val="none" w:sz="0" w:space="0" w:color="auto"/>
            <w:bottom w:val="none" w:sz="0" w:space="0" w:color="auto"/>
            <w:right w:val="none" w:sz="0" w:space="0" w:color="auto"/>
          </w:divBdr>
          <w:divsChild>
            <w:div w:id="780997124">
              <w:marLeft w:val="0"/>
              <w:marRight w:val="0"/>
              <w:marTop w:val="0"/>
              <w:marBottom w:val="0"/>
              <w:divBdr>
                <w:top w:val="none" w:sz="0" w:space="0" w:color="auto"/>
                <w:left w:val="none" w:sz="0" w:space="0" w:color="auto"/>
                <w:bottom w:val="none" w:sz="0" w:space="0" w:color="auto"/>
                <w:right w:val="none" w:sz="0" w:space="0" w:color="auto"/>
              </w:divBdr>
            </w:div>
          </w:divsChild>
        </w:div>
        <w:div w:id="805585899">
          <w:marLeft w:val="0"/>
          <w:marRight w:val="0"/>
          <w:marTop w:val="0"/>
          <w:marBottom w:val="0"/>
          <w:divBdr>
            <w:top w:val="none" w:sz="0" w:space="0" w:color="auto"/>
            <w:left w:val="none" w:sz="0" w:space="0" w:color="auto"/>
            <w:bottom w:val="none" w:sz="0" w:space="0" w:color="auto"/>
            <w:right w:val="none" w:sz="0" w:space="0" w:color="auto"/>
          </w:divBdr>
          <w:divsChild>
            <w:div w:id="1266575759">
              <w:marLeft w:val="0"/>
              <w:marRight w:val="0"/>
              <w:marTop w:val="0"/>
              <w:marBottom w:val="0"/>
              <w:divBdr>
                <w:top w:val="none" w:sz="0" w:space="0" w:color="auto"/>
                <w:left w:val="none" w:sz="0" w:space="0" w:color="auto"/>
                <w:bottom w:val="none" w:sz="0" w:space="0" w:color="auto"/>
                <w:right w:val="none" w:sz="0" w:space="0" w:color="auto"/>
              </w:divBdr>
            </w:div>
          </w:divsChild>
        </w:div>
        <w:div w:id="857237711">
          <w:marLeft w:val="0"/>
          <w:marRight w:val="0"/>
          <w:marTop w:val="0"/>
          <w:marBottom w:val="0"/>
          <w:divBdr>
            <w:top w:val="none" w:sz="0" w:space="0" w:color="auto"/>
            <w:left w:val="none" w:sz="0" w:space="0" w:color="auto"/>
            <w:bottom w:val="none" w:sz="0" w:space="0" w:color="auto"/>
            <w:right w:val="none" w:sz="0" w:space="0" w:color="auto"/>
          </w:divBdr>
          <w:divsChild>
            <w:div w:id="593171869">
              <w:marLeft w:val="0"/>
              <w:marRight w:val="0"/>
              <w:marTop w:val="0"/>
              <w:marBottom w:val="0"/>
              <w:divBdr>
                <w:top w:val="none" w:sz="0" w:space="0" w:color="auto"/>
                <w:left w:val="none" w:sz="0" w:space="0" w:color="auto"/>
                <w:bottom w:val="none" w:sz="0" w:space="0" w:color="auto"/>
                <w:right w:val="none" w:sz="0" w:space="0" w:color="auto"/>
              </w:divBdr>
            </w:div>
          </w:divsChild>
        </w:div>
        <w:div w:id="875047649">
          <w:marLeft w:val="0"/>
          <w:marRight w:val="0"/>
          <w:marTop w:val="0"/>
          <w:marBottom w:val="0"/>
          <w:divBdr>
            <w:top w:val="none" w:sz="0" w:space="0" w:color="auto"/>
            <w:left w:val="none" w:sz="0" w:space="0" w:color="auto"/>
            <w:bottom w:val="none" w:sz="0" w:space="0" w:color="auto"/>
            <w:right w:val="none" w:sz="0" w:space="0" w:color="auto"/>
          </w:divBdr>
          <w:divsChild>
            <w:div w:id="2092506125">
              <w:marLeft w:val="0"/>
              <w:marRight w:val="0"/>
              <w:marTop w:val="0"/>
              <w:marBottom w:val="0"/>
              <w:divBdr>
                <w:top w:val="none" w:sz="0" w:space="0" w:color="auto"/>
                <w:left w:val="none" w:sz="0" w:space="0" w:color="auto"/>
                <w:bottom w:val="none" w:sz="0" w:space="0" w:color="auto"/>
                <w:right w:val="none" w:sz="0" w:space="0" w:color="auto"/>
              </w:divBdr>
            </w:div>
          </w:divsChild>
        </w:div>
        <w:div w:id="899756604">
          <w:marLeft w:val="0"/>
          <w:marRight w:val="0"/>
          <w:marTop w:val="0"/>
          <w:marBottom w:val="0"/>
          <w:divBdr>
            <w:top w:val="none" w:sz="0" w:space="0" w:color="auto"/>
            <w:left w:val="none" w:sz="0" w:space="0" w:color="auto"/>
            <w:bottom w:val="none" w:sz="0" w:space="0" w:color="auto"/>
            <w:right w:val="none" w:sz="0" w:space="0" w:color="auto"/>
          </w:divBdr>
          <w:divsChild>
            <w:div w:id="500395194">
              <w:marLeft w:val="0"/>
              <w:marRight w:val="0"/>
              <w:marTop w:val="0"/>
              <w:marBottom w:val="0"/>
              <w:divBdr>
                <w:top w:val="none" w:sz="0" w:space="0" w:color="auto"/>
                <w:left w:val="none" w:sz="0" w:space="0" w:color="auto"/>
                <w:bottom w:val="none" w:sz="0" w:space="0" w:color="auto"/>
                <w:right w:val="none" w:sz="0" w:space="0" w:color="auto"/>
              </w:divBdr>
            </w:div>
          </w:divsChild>
        </w:div>
        <w:div w:id="908687716">
          <w:marLeft w:val="0"/>
          <w:marRight w:val="0"/>
          <w:marTop w:val="0"/>
          <w:marBottom w:val="0"/>
          <w:divBdr>
            <w:top w:val="none" w:sz="0" w:space="0" w:color="auto"/>
            <w:left w:val="none" w:sz="0" w:space="0" w:color="auto"/>
            <w:bottom w:val="none" w:sz="0" w:space="0" w:color="auto"/>
            <w:right w:val="none" w:sz="0" w:space="0" w:color="auto"/>
          </w:divBdr>
          <w:divsChild>
            <w:div w:id="1613046844">
              <w:marLeft w:val="0"/>
              <w:marRight w:val="0"/>
              <w:marTop w:val="0"/>
              <w:marBottom w:val="0"/>
              <w:divBdr>
                <w:top w:val="none" w:sz="0" w:space="0" w:color="auto"/>
                <w:left w:val="none" w:sz="0" w:space="0" w:color="auto"/>
                <w:bottom w:val="none" w:sz="0" w:space="0" w:color="auto"/>
                <w:right w:val="none" w:sz="0" w:space="0" w:color="auto"/>
              </w:divBdr>
            </w:div>
          </w:divsChild>
        </w:div>
        <w:div w:id="928780419">
          <w:marLeft w:val="0"/>
          <w:marRight w:val="0"/>
          <w:marTop w:val="0"/>
          <w:marBottom w:val="0"/>
          <w:divBdr>
            <w:top w:val="none" w:sz="0" w:space="0" w:color="auto"/>
            <w:left w:val="none" w:sz="0" w:space="0" w:color="auto"/>
            <w:bottom w:val="none" w:sz="0" w:space="0" w:color="auto"/>
            <w:right w:val="none" w:sz="0" w:space="0" w:color="auto"/>
          </w:divBdr>
          <w:divsChild>
            <w:div w:id="1835100165">
              <w:marLeft w:val="0"/>
              <w:marRight w:val="0"/>
              <w:marTop w:val="0"/>
              <w:marBottom w:val="0"/>
              <w:divBdr>
                <w:top w:val="none" w:sz="0" w:space="0" w:color="auto"/>
                <w:left w:val="none" w:sz="0" w:space="0" w:color="auto"/>
                <w:bottom w:val="none" w:sz="0" w:space="0" w:color="auto"/>
                <w:right w:val="none" w:sz="0" w:space="0" w:color="auto"/>
              </w:divBdr>
            </w:div>
          </w:divsChild>
        </w:div>
        <w:div w:id="956107547">
          <w:marLeft w:val="0"/>
          <w:marRight w:val="0"/>
          <w:marTop w:val="0"/>
          <w:marBottom w:val="0"/>
          <w:divBdr>
            <w:top w:val="none" w:sz="0" w:space="0" w:color="auto"/>
            <w:left w:val="none" w:sz="0" w:space="0" w:color="auto"/>
            <w:bottom w:val="none" w:sz="0" w:space="0" w:color="auto"/>
            <w:right w:val="none" w:sz="0" w:space="0" w:color="auto"/>
          </w:divBdr>
          <w:divsChild>
            <w:div w:id="2026439862">
              <w:marLeft w:val="0"/>
              <w:marRight w:val="0"/>
              <w:marTop w:val="0"/>
              <w:marBottom w:val="0"/>
              <w:divBdr>
                <w:top w:val="none" w:sz="0" w:space="0" w:color="auto"/>
                <w:left w:val="none" w:sz="0" w:space="0" w:color="auto"/>
                <w:bottom w:val="none" w:sz="0" w:space="0" w:color="auto"/>
                <w:right w:val="none" w:sz="0" w:space="0" w:color="auto"/>
              </w:divBdr>
            </w:div>
          </w:divsChild>
        </w:div>
        <w:div w:id="1053232292">
          <w:marLeft w:val="0"/>
          <w:marRight w:val="0"/>
          <w:marTop w:val="0"/>
          <w:marBottom w:val="0"/>
          <w:divBdr>
            <w:top w:val="none" w:sz="0" w:space="0" w:color="auto"/>
            <w:left w:val="none" w:sz="0" w:space="0" w:color="auto"/>
            <w:bottom w:val="none" w:sz="0" w:space="0" w:color="auto"/>
            <w:right w:val="none" w:sz="0" w:space="0" w:color="auto"/>
          </w:divBdr>
          <w:divsChild>
            <w:div w:id="345374928">
              <w:marLeft w:val="0"/>
              <w:marRight w:val="0"/>
              <w:marTop w:val="0"/>
              <w:marBottom w:val="0"/>
              <w:divBdr>
                <w:top w:val="none" w:sz="0" w:space="0" w:color="auto"/>
                <w:left w:val="none" w:sz="0" w:space="0" w:color="auto"/>
                <w:bottom w:val="none" w:sz="0" w:space="0" w:color="auto"/>
                <w:right w:val="none" w:sz="0" w:space="0" w:color="auto"/>
              </w:divBdr>
            </w:div>
          </w:divsChild>
        </w:div>
        <w:div w:id="1096903610">
          <w:marLeft w:val="0"/>
          <w:marRight w:val="0"/>
          <w:marTop w:val="0"/>
          <w:marBottom w:val="0"/>
          <w:divBdr>
            <w:top w:val="none" w:sz="0" w:space="0" w:color="auto"/>
            <w:left w:val="none" w:sz="0" w:space="0" w:color="auto"/>
            <w:bottom w:val="none" w:sz="0" w:space="0" w:color="auto"/>
            <w:right w:val="none" w:sz="0" w:space="0" w:color="auto"/>
          </w:divBdr>
          <w:divsChild>
            <w:div w:id="212356463">
              <w:marLeft w:val="0"/>
              <w:marRight w:val="0"/>
              <w:marTop w:val="0"/>
              <w:marBottom w:val="0"/>
              <w:divBdr>
                <w:top w:val="none" w:sz="0" w:space="0" w:color="auto"/>
                <w:left w:val="none" w:sz="0" w:space="0" w:color="auto"/>
                <w:bottom w:val="none" w:sz="0" w:space="0" w:color="auto"/>
                <w:right w:val="none" w:sz="0" w:space="0" w:color="auto"/>
              </w:divBdr>
            </w:div>
          </w:divsChild>
        </w:div>
        <w:div w:id="1115247204">
          <w:marLeft w:val="0"/>
          <w:marRight w:val="0"/>
          <w:marTop w:val="0"/>
          <w:marBottom w:val="0"/>
          <w:divBdr>
            <w:top w:val="none" w:sz="0" w:space="0" w:color="auto"/>
            <w:left w:val="none" w:sz="0" w:space="0" w:color="auto"/>
            <w:bottom w:val="none" w:sz="0" w:space="0" w:color="auto"/>
            <w:right w:val="none" w:sz="0" w:space="0" w:color="auto"/>
          </w:divBdr>
          <w:divsChild>
            <w:div w:id="1026100954">
              <w:marLeft w:val="0"/>
              <w:marRight w:val="0"/>
              <w:marTop w:val="0"/>
              <w:marBottom w:val="0"/>
              <w:divBdr>
                <w:top w:val="none" w:sz="0" w:space="0" w:color="auto"/>
                <w:left w:val="none" w:sz="0" w:space="0" w:color="auto"/>
                <w:bottom w:val="none" w:sz="0" w:space="0" w:color="auto"/>
                <w:right w:val="none" w:sz="0" w:space="0" w:color="auto"/>
              </w:divBdr>
            </w:div>
          </w:divsChild>
        </w:div>
        <w:div w:id="1150169785">
          <w:marLeft w:val="0"/>
          <w:marRight w:val="0"/>
          <w:marTop w:val="0"/>
          <w:marBottom w:val="0"/>
          <w:divBdr>
            <w:top w:val="none" w:sz="0" w:space="0" w:color="auto"/>
            <w:left w:val="none" w:sz="0" w:space="0" w:color="auto"/>
            <w:bottom w:val="none" w:sz="0" w:space="0" w:color="auto"/>
            <w:right w:val="none" w:sz="0" w:space="0" w:color="auto"/>
          </w:divBdr>
          <w:divsChild>
            <w:div w:id="2028753587">
              <w:marLeft w:val="0"/>
              <w:marRight w:val="0"/>
              <w:marTop w:val="0"/>
              <w:marBottom w:val="0"/>
              <w:divBdr>
                <w:top w:val="none" w:sz="0" w:space="0" w:color="auto"/>
                <w:left w:val="none" w:sz="0" w:space="0" w:color="auto"/>
                <w:bottom w:val="none" w:sz="0" w:space="0" w:color="auto"/>
                <w:right w:val="none" w:sz="0" w:space="0" w:color="auto"/>
              </w:divBdr>
            </w:div>
          </w:divsChild>
        </w:div>
        <w:div w:id="1191796690">
          <w:marLeft w:val="0"/>
          <w:marRight w:val="0"/>
          <w:marTop w:val="0"/>
          <w:marBottom w:val="0"/>
          <w:divBdr>
            <w:top w:val="none" w:sz="0" w:space="0" w:color="auto"/>
            <w:left w:val="none" w:sz="0" w:space="0" w:color="auto"/>
            <w:bottom w:val="none" w:sz="0" w:space="0" w:color="auto"/>
            <w:right w:val="none" w:sz="0" w:space="0" w:color="auto"/>
          </w:divBdr>
          <w:divsChild>
            <w:div w:id="578757329">
              <w:marLeft w:val="0"/>
              <w:marRight w:val="0"/>
              <w:marTop w:val="0"/>
              <w:marBottom w:val="0"/>
              <w:divBdr>
                <w:top w:val="none" w:sz="0" w:space="0" w:color="auto"/>
                <w:left w:val="none" w:sz="0" w:space="0" w:color="auto"/>
                <w:bottom w:val="none" w:sz="0" w:space="0" w:color="auto"/>
                <w:right w:val="none" w:sz="0" w:space="0" w:color="auto"/>
              </w:divBdr>
            </w:div>
          </w:divsChild>
        </w:div>
        <w:div w:id="1219317296">
          <w:marLeft w:val="0"/>
          <w:marRight w:val="0"/>
          <w:marTop w:val="0"/>
          <w:marBottom w:val="0"/>
          <w:divBdr>
            <w:top w:val="none" w:sz="0" w:space="0" w:color="auto"/>
            <w:left w:val="none" w:sz="0" w:space="0" w:color="auto"/>
            <w:bottom w:val="none" w:sz="0" w:space="0" w:color="auto"/>
            <w:right w:val="none" w:sz="0" w:space="0" w:color="auto"/>
          </w:divBdr>
          <w:divsChild>
            <w:div w:id="2018728758">
              <w:marLeft w:val="0"/>
              <w:marRight w:val="0"/>
              <w:marTop w:val="0"/>
              <w:marBottom w:val="0"/>
              <w:divBdr>
                <w:top w:val="none" w:sz="0" w:space="0" w:color="auto"/>
                <w:left w:val="none" w:sz="0" w:space="0" w:color="auto"/>
                <w:bottom w:val="none" w:sz="0" w:space="0" w:color="auto"/>
                <w:right w:val="none" w:sz="0" w:space="0" w:color="auto"/>
              </w:divBdr>
            </w:div>
          </w:divsChild>
        </w:div>
        <w:div w:id="1244031115">
          <w:marLeft w:val="0"/>
          <w:marRight w:val="0"/>
          <w:marTop w:val="0"/>
          <w:marBottom w:val="0"/>
          <w:divBdr>
            <w:top w:val="none" w:sz="0" w:space="0" w:color="auto"/>
            <w:left w:val="none" w:sz="0" w:space="0" w:color="auto"/>
            <w:bottom w:val="none" w:sz="0" w:space="0" w:color="auto"/>
            <w:right w:val="none" w:sz="0" w:space="0" w:color="auto"/>
          </w:divBdr>
          <w:divsChild>
            <w:div w:id="601495048">
              <w:marLeft w:val="0"/>
              <w:marRight w:val="0"/>
              <w:marTop w:val="0"/>
              <w:marBottom w:val="0"/>
              <w:divBdr>
                <w:top w:val="none" w:sz="0" w:space="0" w:color="auto"/>
                <w:left w:val="none" w:sz="0" w:space="0" w:color="auto"/>
                <w:bottom w:val="none" w:sz="0" w:space="0" w:color="auto"/>
                <w:right w:val="none" w:sz="0" w:space="0" w:color="auto"/>
              </w:divBdr>
            </w:div>
          </w:divsChild>
        </w:div>
        <w:div w:id="1278026518">
          <w:marLeft w:val="0"/>
          <w:marRight w:val="0"/>
          <w:marTop w:val="0"/>
          <w:marBottom w:val="0"/>
          <w:divBdr>
            <w:top w:val="none" w:sz="0" w:space="0" w:color="auto"/>
            <w:left w:val="none" w:sz="0" w:space="0" w:color="auto"/>
            <w:bottom w:val="none" w:sz="0" w:space="0" w:color="auto"/>
            <w:right w:val="none" w:sz="0" w:space="0" w:color="auto"/>
          </w:divBdr>
          <w:divsChild>
            <w:div w:id="1197355697">
              <w:marLeft w:val="0"/>
              <w:marRight w:val="0"/>
              <w:marTop w:val="0"/>
              <w:marBottom w:val="0"/>
              <w:divBdr>
                <w:top w:val="none" w:sz="0" w:space="0" w:color="auto"/>
                <w:left w:val="none" w:sz="0" w:space="0" w:color="auto"/>
                <w:bottom w:val="none" w:sz="0" w:space="0" w:color="auto"/>
                <w:right w:val="none" w:sz="0" w:space="0" w:color="auto"/>
              </w:divBdr>
            </w:div>
          </w:divsChild>
        </w:div>
        <w:div w:id="1304850680">
          <w:marLeft w:val="0"/>
          <w:marRight w:val="0"/>
          <w:marTop w:val="0"/>
          <w:marBottom w:val="0"/>
          <w:divBdr>
            <w:top w:val="none" w:sz="0" w:space="0" w:color="auto"/>
            <w:left w:val="none" w:sz="0" w:space="0" w:color="auto"/>
            <w:bottom w:val="none" w:sz="0" w:space="0" w:color="auto"/>
            <w:right w:val="none" w:sz="0" w:space="0" w:color="auto"/>
          </w:divBdr>
          <w:divsChild>
            <w:div w:id="10685776">
              <w:marLeft w:val="0"/>
              <w:marRight w:val="0"/>
              <w:marTop w:val="0"/>
              <w:marBottom w:val="0"/>
              <w:divBdr>
                <w:top w:val="none" w:sz="0" w:space="0" w:color="auto"/>
                <w:left w:val="none" w:sz="0" w:space="0" w:color="auto"/>
                <w:bottom w:val="none" w:sz="0" w:space="0" w:color="auto"/>
                <w:right w:val="none" w:sz="0" w:space="0" w:color="auto"/>
              </w:divBdr>
            </w:div>
          </w:divsChild>
        </w:div>
        <w:div w:id="1320841611">
          <w:marLeft w:val="0"/>
          <w:marRight w:val="0"/>
          <w:marTop w:val="0"/>
          <w:marBottom w:val="0"/>
          <w:divBdr>
            <w:top w:val="none" w:sz="0" w:space="0" w:color="auto"/>
            <w:left w:val="none" w:sz="0" w:space="0" w:color="auto"/>
            <w:bottom w:val="none" w:sz="0" w:space="0" w:color="auto"/>
            <w:right w:val="none" w:sz="0" w:space="0" w:color="auto"/>
          </w:divBdr>
          <w:divsChild>
            <w:div w:id="1712874802">
              <w:marLeft w:val="0"/>
              <w:marRight w:val="0"/>
              <w:marTop w:val="0"/>
              <w:marBottom w:val="0"/>
              <w:divBdr>
                <w:top w:val="none" w:sz="0" w:space="0" w:color="auto"/>
                <w:left w:val="none" w:sz="0" w:space="0" w:color="auto"/>
                <w:bottom w:val="none" w:sz="0" w:space="0" w:color="auto"/>
                <w:right w:val="none" w:sz="0" w:space="0" w:color="auto"/>
              </w:divBdr>
            </w:div>
          </w:divsChild>
        </w:div>
        <w:div w:id="1336226040">
          <w:marLeft w:val="0"/>
          <w:marRight w:val="0"/>
          <w:marTop w:val="0"/>
          <w:marBottom w:val="0"/>
          <w:divBdr>
            <w:top w:val="none" w:sz="0" w:space="0" w:color="auto"/>
            <w:left w:val="none" w:sz="0" w:space="0" w:color="auto"/>
            <w:bottom w:val="none" w:sz="0" w:space="0" w:color="auto"/>
            <w:right w:val="none" w:sz="0" w:space="0" w:color="auto"/>
          </w:divBdr>
          <w:divsChild>
            <w:div w:id="549607539">
              <w:marLeft w:val="0"/>
              <w:marRight w:val="0"/>
              <w:marTop w:val="0"/>
              <w:marBottom w:val="0"/>
              <w:divBdr>
                <w:top w:val="none" w:sz="0" w:space="0" w:color="auto"/>
                <w:left w:val="none" w:sz="0" w:space="0" w:color="auto"/>
                <w:bottom w:val="none" w:sz="0" w:space="0" w:color="auto"/>
                <w:right w:val="none" w:sz="0" w:space="0" w:color="auto"/>
              </w:divBdr>
            </w:div>
          </w:divsChild>
        </w:div>
        <w:div w:id="1347245808">
          <w:marLeft w:val="0"/>
          <w:marRight w:val="0"/>
          <w:marTop w:val="0"/>
          <w:marBottom w:val="0"/>
          <w:divBdr>
            <w:top w:val="none" w:sz="0" w:space="0" w:color="auto"/>
            <w:left w:val="none" w:sz="0" w:space="0" w:color="auto"/>
            <w:bottom w:val="none" w:sz="0" w:space="0" w:color="auto"/>
            <w:right w:val="none" w:sz="0" w:space="0" w:color="auto"/>
          </w:divBdr>
          <w:divsChild>
            <w:div w:id="991526252">
              <w:marLeft w:val="0"/>
              <w:marRight w:val="0"/>
              <w:marTop w:val="0"/>
              <w:marBottom w:val="0"/>
              <w:divBdr>
                <w:top w:val="none" w:sz="0" w:space="0" w:color="auto"/>
                <w:left w:val="none" w:sz="0" w:space="0" w:color="auto"/>
                <w:bottom w:val="none" w:sz="0" w:space="0" w:color="auto"/>
                <w:right w:val="none" w:sz="0" w:space="0" w:color="auto"/>
              </w:divBdr>
            </w:div>
          </w:divsChild>
        </w:div>
        <w:div w:id="1372683875">
          <w:marLeft w:val="0"/>
          <w:marRight w:val="0"/>
          <w:marTop w:val="0"/>
          <w:marBottom w:val="0"/>
          <w:divBdr>
            <w:top w:val="none" w:sz="0" w:space="0" w:color="auto"/>
            <w:left w:val="none" w:sz="0" w:space="0" w:color="auto"/>
            <w:bottom w:val="none" w:sz="0" w:space="0" w:color="auto"/>
            <w:right w:val="none" w:sz="0" w:space="0" w:color="auto"/>
          </w:divBdr>
          <w:divsChild>
            <w:div w:id="729117666">
              <w:marLeft w:val="0"/>
              <w:marRight w:val="0"/>
              <w:marTop w:val="0"/>
              <w:marBottom w:val="0"/>
              <w:divBdr>
                <w:top w:val="none" w:sz="0" w:space="0" w:color="auto"/>
                <w:left w:val="none" w:sz="0" w:space="0" w:color="auto"/>
                <w:bottom w:val="none" w:sz="0" w:space="0" w:color="auto"/>
                <w:right w:val="none" w:sz="0" w:space="0" w:color="auto"/>
              </w:divBdr>
            </w:div>
          </w:divsChild>
        </w:div>
        <w:div w:id="1404328028">
          <w:marLeft w:val="0"/>
          <w:marRight w:val="0"/>
          <w:marTop w:val="0"/>
          <w:marBottom w:val="0"/>
          <w:divBdr>
            <w:top w:val="none" w:sz="0" w:space="0" w:color="auto"/>
            <w:left w:val="none" w:sz="0" w:space="0" w:color="auto"/>
            <w:bottom w:val="none" w:sz="0" w:space="0" w:color="auto"/>
            <w:right w:val="none" w:sz="0" w:space="0" w:color="auto"/>
          </w:divBdr>
          <w:divsChild>
            <w:div w:id="1579562223">
              <w:marLeft w:val="0"/>
              <w:marRight w:val="0"/>
              <w:marTop w:val="0"/>
              <w:marBottom w:val="0"/>
              <w:divBdr>
                <w:top w:val="none" w:sz="0" w:space="0" w:color="auto"/>
                <w:left w:val="none" w:sz="0" w:space="0" w:color="auto"/>
                <w:bottom w:val="none" w:sz="0" w:space="0" w:color="auto"/>
                <w:right w:val="none" w:sz="0" w:space="0" w:color="auto"/>
              </w:divBdr>
            </w:div>
          </w:divsChild>
        </w:div>
        <w:div w:id="1416198729">
          <w:marLeft w:val="0"/>
          <w:marRight w:val="0"/>
          <w:marTop w:val="0"/>
          <w:marBottom w:val="0"/>
          <w:divBdr>
            <w:top w:val="none" w:sz="0" w:space="0" w:color="auto"/>
            <w:left w:val="none" w:sz="0" w:space="0" w:color="auto"/>
            <w:bottom w:val="none" w:sz="0" w:space="0" w:color="auto"/>
            <w:right w:val="none" w:sz="0" w:space="0" w:color="auto"/>
          </w:divBdr>
          <w:divsChild>
            <w:div w:id="640500386">
              <w:marLeft w:val="0"/>
              <w:marRight w:val="0"/>
              <w:marTop w:val="0"/>
              <w:marBottom w:val="0"/>
              <w:divBdr>
                <w:top w:val="none" w:sz="0" w:space="0" w:color="auto"/>
                <w:left w:val="none" w:sz="0" w:space="0" w:color="auto"/>
                <w:bottom w:val="none" w:sz="0" w:space="0" w:color="auto"/>
                <w:right w:val="none" w:sz="0" w:space="0" w:color="auto"/>
              </w:divBdr>
            </w:div>
          </w:divsChild>
        </w:div>
        <w:div w:id="1419016038">
          <w:marLeft w:val="0"/>
          <w:marRight w:val="0"/>
          <w:marTop w:val="0"/>
          <w:marBottom w:val="0"/>
          <w:divBdr>
            <w:top w:val="none" w:sz="0" w:space="0" w:color="auto"/>
            <w:left w:val="none" w:sz="0" w:space="0" w:color="auto"/>
            <w:bottom w:val="none" w:sz="0" w:space="0" w:color="auto"/>
            <w:right w:val="none" w:sz="0" w:space="0" w:color="auto"/>
          </w:divBdr>
          <w:divsChild>
            <w:div w:id="1405949318">
              <w:marLeft w:val="0"/>
              <w:marRight w:val="0"/>
              <w:marTop w:val="0"/>
              <w:marBottom w:val="0"/>
              <w:divBdr>
                <w:top w:val="none" w:sz="0" w:space="0" w:color="auto"/>
                <w:left w:val="none" w:sz="0" w:space="0" w:color="auto"/>
                <w:bottom w:val="none" w:sz="0" w:space="0" w:color="auto"/>
                <w:right w:val="none" w:sz="0" w:space="0" w:color="auto"/>
              </w:divBdr>
            </w:div>
          </w:divsChild>
        </w:div>
        <w:div w:id="1437945966">
          <w:marLeft w:val="0"/>
          <w:marRight w:val="0"/>
          <w:marTop w:val="0"/>
          <w:marBottom w:val="0"/>
          <w:divBdr>
            <w:top w:val="none" w:sz="0" w:space="0" w:color="auto"/>
            <w:left w:val="none" w:sz="0" w:space="0" w:color="auto"/>
            <w:bottom w:val="none" w:sz="0" w:space="0" w:color="auto"/>
            <w:right w:val="none" w:sz="0" w:space="0" w:color="auto"/>
          </w:divBdr>
          <w:divsChild>
            <w:div w:id="1078137416">
              <w:marLeft w:val="0"/>
              <w:marRight w:val="0"/>
              <w:marTop w:val="0"/>
              <w:marBottom w:val="0"/>
              <w:divBdr>
                <w:top w:val="none" w:sz="0" w:space="0" w:color="auto"/>
                <w:left w:val="none" w:sz="0" w:space="0" w:color="auto"/>
                <w:bottom w:val="none" w:sz="0" w:space="0" w:color="auto"/>
                <w:right w:val="none" w:sz="0" w:space="0" w:color="auto"/>
              </w:divBdr>
            </w:div>
          </w:divsChild>
        </w:div>
        <w:div w:id="1466895703">
          <w:marLeft w:val="0"/>
          <w:marRight w:val="0"/>
          <w:marTop w:val="0"/>
          <w:marBottom w:val="0"/>
          <w:divBdr>
            <w:top w:val="none" w:sz="0" w:space="0" w:color="auto"/>
            <w:left w:val="none" w:sz="0" w:space="0" w:color="auto"/>
            <w:bottom w:val="none" w:sz="0" w:space="0" w:color="auto"/>
            <w:right w:val="none" w:sz="0" w:space="0" w:color="auto"/>
          </w:divBdr>
          <w:divsChild>
            <w:div w:id="1620523571">
              <w:marLeft w:val="0"/>
              <w:marRight w:val="0"/>
              <w:marTop w:val="0"/>
              <w:marBottom w:val="0"/>
              <w:divBdr>
                <w:top w:val="none" w:sz="0" w:space="0" w:color="auto"/>
                <w:left w:val="none" w:sz="0" w:space="0" w:color="auto"/>
                <w:bottom w:val="none" w:sz="0" w:space="0" w:color="auto"/>
                <w:right w:val="none" w:sz="0" w:space="0" w:color="auto"/>
              </w:divBdr>
            </w:div>
          </w:divsChild>
        </w:div>
        <w:div w:id="1528830935">
          <w:marLeft w:val="0"/>
          <w:marRight w:val="0"/>
          <w:marTop w:val="0"/>
          <w:marBottom w:val="0"/>
          <w:divBdr>
            <w:top w:val="none" w:sz="0" w:space="0" w:color="auto"/>
            <w:left w:val="none" w:sz="0" w:space="0" w:color="auto"/>
            <w:bottom w:val="none" w:sz="0" w:space="0" w:color="auto"/>
            <w:right w:val="none" w:sz="0" w:space="0" w:color="auto"/>
          </w:divBdr>
          <w:divsChild>
            <w:div w:id="63184677">
              <w:marLeft w:val="0"/>
              <w:marRight w:val="0"/>
              <w:marTop w:val="0"/>
              <w:marBottom w:val="0"/>
              <w:divBdr>
                <w:top w:val="none" w:sz="0" w:space="0" w:color="auto"/>
                <w:left w:val="none" w:sz="0" w:space="0" w:color="auto"/>
                <w:bottom w:val="none" w:sz="0" w:space="0" w:color="auto"/>
                <w:right w:val="none" w:sz="0" w:space="0" w:color="auto"/>
              </w:divBdr>
            </w:div>
          </w:divsChild>
        </w:div>
        <w:div w:id="1580409723">
          <w:marLeft w:val="0"/>
          <w:marRight w:val="0"/>
          <w:marTop w:val="0"/>
          <w:marBottom w:val="0"/>
          <w:divBdr>
            <w:top w:val="none" w:sz="0" w:space="0" w:color="auto"/>
            <w:left w:val="none" w:sz="0" w:space="0" w:color="auto"/>
            <w:bottom w:val="none" w:sz="0" w:space="0" w:color="auto"/>
            <w:right w:val="none" w:sz="0" w:space="0" w:color="auto"/>
          </w:divBdr>
          <w:divsChild>
            <w:div w:id="224224506">
              <w:marLeft w:val="0"/>
              <w:marRight w:val="0"/>
              <w:marTop w:val="0"/>
              <w:marBottom w:val="0"/>
              <w:divBdr>
                <w:top w:val="none" w:sz="0" w:space="0" w:color="auto"/>
                <w:left w:val="none" w:sz="0" w:space="0" w:color="auto"/>
                <w:bottom w:val="none" w:sz="0" w:space="0" w:color="auto"/>
                <w:right w:val="none" w:sz="0" w:space="0" w:color="auto"/>
              </w:divBdr>
            </w:div>
          </w:divsChild>
        </w:div>
        <w:div w:id="1610624055">
          <w:marLeft w:val="0"/>
          <w:marRight w:val="0"/>
          <w:marTop w:val="0"/>
          <w:marBottom w:val="0"/>
          <w:divBdr>
            <w:top w:val="none" w:sz="0" w:space="0" w:color="auto"/>
            <w:left w:val="none" w:sz="0" w:space="0" w:color="auto"/>
            <w:bottom w:val="none" w:sz="0" w:space="0" w:color="auto"/>
            <w:right w:val="none" w:sz="0" w:space="0" w:color="auto"/>
          </w:divBdr>
          <w:divsChild>
            <w:div w:id="711465775">
              <w:marLeft w:val="0"/>
              <w:marRight w:val="0"/>
              <w:marTop w:val="0"/>
              <w:marBottom w:val="0"/>
              <w:divBdr>
                <w:top w:val="none" w:sz="0" w:space="0" w:color="auto"/>
                <w:left w:val="none" w:sz="0" w:space="0" w:color="auto"/>
                <w:bottom w:val="none" w:sz="0" w:space="0" w:color="auto"/>
                <w:right w:val="none" w:sz="0" w:space="0" w:color="auto"/>
              </w:divBdr>
            </w:div>
          </w:divsChild>
        </w:div>
        <w:div w:id="1625960522">
          <w:marLeft w:val="0"/>
          <w:marRight w:val="0"/>
          <w:marTop w:val="0"/>
          <w:marBottom w:val="0"/>
          <w:divBdr>
            <w:top w:val="none" w:sz="0" w:space="0" w:color="auto"/>
            <w:left w:val="none" w:sz="0" w:space="0" w:color="auto"/>
            <w:bottom w:val="none" w:sz="0" w:space="0" w:color="auto"/>
            <w:right w:val="none" w:sz="0" w:space="0" w:color="auto"/>
          </w:divBdr>
          <w:divsChild>
            <w:div w:id="578100829">
              <w:marLeft w:val="0"/>
              <w:marRight w:val="0"/>
              <w:marTop w:val="0"/>
              <w:marBottom w:val="0"/>
              <w:divBdr>
                <w:top w:val="none" w:sz="0" w:space="0" w:color="auto"/>
                <w:left w:val="none" w:sz="0" w:space="0" w:color="auto"/>
                <w:bottom w:val="none" w:sz="0" w:space="0" w:color="auto"/>
                <w:right w:val="none" w:sz="0" w:space="0" w:color="auto"/>
              </w:divBdr>
            </w:div>
          </w:divsChild>
        </w:div>
        <w:div w:id="1632513036">
          <w:marLeft w:val="0"/>
          <w:marRight w:val="0"/>
          <w:marTop w:val="0"/>
          <w:marBottom w:val="0"/>
          <w:divBdr>
            <w:top w:val="none" w:sz="0" w:space="0" w:color="auto"/>
            <w:left w:val="none" w:sz="0" w:space="0" w:color="auto"/>
            <w:bottom w:val="none" w:sz="0" w:space="0" w:color="auto"/>
            <w:right w:val="none" w:sz="0" w:space="0" w:color="auto"/>
          </w:divBdr>
          <w:divsChild>
            <w:div w:id="1416245891">
              <w:marLeft w:val="0"/>
              <w:marRight w:val="0"/>
              <w:marTop w:val="0"/>
              <w:marBottom w:val="0"/>
              <w:divBdr>
                <w:top w:val="none" w:sz="0" w:space="0" w:color="auto"/>
                <w:left w:val="none" w:sz="0" w:space="0" w:color="auto"/>
                <w:bottom w:val="none" w:sz="0" w:space="0" w:color="auto"/>
                <w:right w:val="none" w:sz="0" w:space="0" w:color="auto"/>
              </w:divBdr>
            </w:div>
          </w:divsChild>
        </w:div>
        <w:div w:id="1642882104">
          <w:marLeft w:val="0"/>
          <w:marRight w:val="0"/>
          <w:marTop w:val="0"/>
          <w:marBottom w:val="0"/>
          <w:divBdr>
            <w:top w:val="none" w:sz="0" w:space="0" w:color="auto"/>
            <w:left w:val="none" w:sz="0" w:space="0" w:color="auto"/>
            <w:bottom w:val="none" w:sz="0" w:space="0" w:color="auto"/>
            <w:right w:val="none" w:sz="0" w:space="0" w:color="auto"/>
          </w:divBdr>
          <w:divsChild>
            <w:div w:id="950090855">
              <w:marLeft w:val="0"/>
              <w:marRight w:val="0"/>
              <w:marTop w:val="0"/>
              <w:marBottom w:val="0"/>
              <w:divBdr>
                <w:top w:val="none" w:sz="0" w:space="0" w:color="auto"/>
                <w:left w:val="none" w:sz="0" w:space="0" w:color="auto"/>
                <w:bottom w:val="none" w:sz="0" w:space="0" w:color="auto"/>
                <w:right w:val="none" w:sz="0" w:space="0" w:color="auto"/>
              </w:divBdr>
            </w:div>
          </w:divsChild>
        </w:div>
        <w:div w:id="1656185254">
          <w:marLeft w:val="0"/>
          <w:marRight w:val="0"/>
          <w:marTop w:val="0"/>
          <w:marBottom w:val="0"/>
          <w:divBdr>
            <w:top w:val="none" w:sz="0" w:space="0" w:color="auto"/>
            <w:left w:val="none" w:sz="0" w:space="0" w:color="auto"/>
            <w:bottom w:val="none" w:sz="0" w:space="0" w:color="auto"/>
            <w:right w:val="none" w:sz="0" w:space="0" w:color="auto"/>
          </w:divBdr>
          <w:divsChild>
            <w:div w:id="1376850601">
              <w:marLeft w:val="0"/>
              <w:marRight w:val="0"/>
              <w:marTop w:val="0"/>
              <w:marBottom w:val="0"/>
              <w:divBdr>
                <w:top w:val="none" w:sz="0" w:space="0" w:color="auto"/>
                <w:left w:val="none" w:sz="0" w:space="0" w:color="auto"/>
                <w:bottom w:val="none" w:sz="0" w:space="0" w:color="auto"/>
                <w:right w:val="none" w:sz="0" w:space="0" w:color="auto"/>
              </w:divBdr>
            </w:div>
          </w:divsChild>
        </w:div>
        <w:div w:id="1711999777">
          <w:marLeft w:val="0"/>
          <w:marRight w:val="0"/>
          <w:marTop w:val="0"/>
          <w:marBottom w:val="0"/>
          <w:divBdr>
            <w:top w:val="none" w:sz="0" w:space="0" w:color="auto"/>
            <w:left w:val="none" w:sz="0" w:space="0" w:color="auto"/>
            <w:bottom w:val="none" w:sz="0" w:space="0" w:color="auto"/>
            <w:right w:val="none" w:sz="0" w:space="0" w:color="auto"/>
          </w:divBdr>
          <w:divsChild>
            <w:div w:id="2062288529">
              <w:marLeft w:val="0"/>
              <w:marRight w:val="0"/>
              <w:marTop w:val="0"/>
              <w:marBottom w:val="0"/>
              <w:divBdr>
                <w:top w:val="none" w:sz="0" w:space="0" w:color="auto"/>
                <w:left w:val="none" w:sz="0" w:space="0" w:color="auto"/>
                <w:bottom w:val="none" w:sz="0" w:space="0" w:color="auto"/>
                <w:right w:val="none" w:sz="0" w:space="0" w:color="auto"/>
              </w:divBdr>
            </w:div>
          </w:divsChild>
        </w:div>
        <w:div w:id="1742216996">
          <w:marLeft w:val="0"/>
          <w:marRight w:val="0"/>
          <w:marTop w:val="0"/>
          <w:marBottom w:val="0"/>
          <w:divBdr>
            <w:top w:val="none" w:sz="0" w:space="0" w:color="auto"/>
            <w:left w:val="none" w:sz="0" w:space="0" w:color="auto"/>
            <w:bottom w:val="none" w:sz="0" w:space="0" w:color="auto"/>
            <w:right w:val="none" w:sz="0" w:space="0" w:color="auto"/>
          </w:divBdr>
          <w:divsChild>
            <w:div w:id="2080442351">
              <w:marLeft w:val="0"/>
              <w:marRight w:val="0"/>
              <w:marTop w:val="0"/>
              <w:marBottom w:val="0"/>
              <w:divBdr>
                <w:top w:val="none" w:sz="0" w:space="0" w:color="auto"/>
                <w:left w:val="none" w:sz="0" w:space="0" w:color="auto"/>
                <w:bottom w:val="none" w:sz="0" w:space="0" w:color="auto"/>
                <w:right w:val="none" w:sz="0" w:space="0" w:color="auto"/>
              </w:divBdr>
            </w:div>
          </w:divsChild>
        </w:div>
        <w:div w:id="1773011309">
          <w:marLeft w:val="0"/>
          <w:marRight w:val="0"/>
          <w:marTop w:val="0"/>
          <w:marBottom w:val="0"/>
          <w:divBdr>
            <w:top w:val="none" w:sz="0" w:space="0" w:color="auto"/>
            <w:left w:val="none" w:sz="0" w:space="0" w:color="auto"/>
            <w:bottom w:val="none" w:sz="0" w:space="0" w:color="auto"/>
            <w:right w:val="none" w:sz="0" w:space="0" w:color="auto"/>
          </w:divBdr>
          <w:divsChild>
            <w:div w:id="164982931">
              <w:marLeft w:val="0"/>
              <w:marRight w:val="0"/>
              <w:marTop w:val="0"/>
              <w:marBottom w:val="0"/>
              <w:divBdr>
                <w:top w:val="none" w:sz="0" w:space="0" w:color="auto"/>
                <w:left w:val="none" w:sz="0" w:space="0" w:color="auto"/>
                <w:bottom w:val="none" w:sz="0" w:space="0" w:color="auto"/>
                <w:right w:val="none" w:sz="0" w:space="0" w:color="auto"/>
              </w:divBdr>
            </w:div>
          </w:divsChild>
        </w:div>
        <w:div w:id="1900287965">
          <w:marLeft w:val="0"/>
          <w:marRight w:val="0"/>
          <w:marTop w:val="0"/>
          <w:marBottom w:val="0"/>
          <w:divBdr>
            <w:top w:val="none" w:sz="0" w:space="0" w:color="auto"/>
            <w:left w:val="none" w:sz="0" w:space="0" w:color="auto"/>
            <w:bottom w:val="none" w:sz="0" w:space="0" w:color="auto"/>
            <w:right w:val="none" w:sz="0" w:space="0" w:color="auto"/>
          </w:divBdr>
          <w:divsChild>
            <w:div w:id="1809469882">
              <w:marLeft w:val="0"/>
              <w:marRight w:val="0"/>
              <w:marTop w:val="0"/>
              <w:marBottom w:val="0"/>
              <w:divBdr>
                <w:top w:val="none" w:sz="0" w:space="0" w:color="auto"/>
                <w:left w:val="none" w:sz="0" w:space="0" w:color="auto"/>
                <w:bottom w:val="none" w:sz="0" w:space="0" w:color="auto"/>
                <w:right w:val="none" w:sz="0" w:space="0" w:color="auto"/>
              </w:divBdr>
            </w:div>
          </w:divsChild>
        </w:div>
        <w:div w:id="1953240660">
          <w:marLeft w:val="0"/>
          <w:marRight w:val="0"/>
          <w:marTop w:val="0"/>
          <w:marBottom w:val="0"/>
          <w:divBdr>
            <w:top w:val="none" w:sz="0" w:space="0" w:color="auto"/>
            <w:left w:val="none" w:sz="0" w:space="0" w:color="auto"/>
            <w:bottom w:val="none" w:sz="0" w:space="0" w:color="auto"/>
            <w:right w:val="none" w:sz="0" w:space="0" w:color="auto"/>
          </w:divBdr>
          <w:divsChild>
            <w:div w:id="1609973100">
              <w:marLeft w:val="0"/>
              <w:marRight w:val="0"/>
              <w:marTop w:val="0"/>
              <w:marBottom w:val="0"/>
              <w:divBdr>
                <w:top w:val="none" w:sz="0" w:space="0" w:color="auto"/>
                <w:left w:val="none" w:sz="0" w:space="0" w:color="auto"/>
                <w:bottom w:val="none" w:sz="0" w:space="0" w:color="auto"/>
                <w:right w:val="none" w:sz="0" w:space="0" w:color="auto"/>
              </w:divBdr>
            </w:div>
          </w:divsChild>
        </w:div>
        <w:div w:id="1964380425">
          <w:marLeft w:val="0"/>
          <w:marRight w:val="0"/>
          <w:marTop w:val="0"/>
          <w:marBottom w:val="0"/>
          <w:divBdr>
            <w:top w:val="none" w:sz="0" w:space="0" w:color="auto"/>
            <w:left w:val="none" w:sz="0" w:space="0" w:color="auto"/>
            <w:bottom w:val="none" w:sz="0" w:space="0" w:color="auto"/>
            <w:right w:val="none" w:sz="0" w:space="0" w:color="auto"/>
          </w:divBdr>
          <w:divsChild>
            <w:div w:id="1228686304">
              <w:marLeft w:val="0"/>
              <w:marRight w:val="0"/>
              <w:marTop w:val="0"/>
              <w:marBottom w:val="0"/>
              <w:divBdr>
                <w:top w:val="none" w:sz="0" w:space="0" w:color="auto"/>
                <w:left w:val="none" w:sz="0" w:space="0" w:color="auto"/>
                <w:bottom w:val="none" w:sz="0" w:space="0" w:color="auto"/>
                <w:right w:val="none" w:sz="0" w:space="0" w:color="auto"/>
              </w:divBdr>
            </w:div>
          </w:divsChild>
        </w:div>
        <w:div w:id="1973097669">
          <w:marLeft w:val="0"/>
          <w:marRight w:val="0"/>
          <w:marTop w:val="0"/>
          <w:marBottom w:val="0"/>
          <w:divBdr>
            <w:top w:val="none" w:sz="0" w:space="0" w:color="auto"/>
            <w:left w:val="none" w:sz="0" w:space="0" w:color="auto"/>
            <w:bottom w:val="none" w:sz="0" w:space="0" w:color="auto"/>
            <w:right w:val="none" w:sz="0" w:space="0" w:color="auto"/>
          </w:divBdr>
          <w:divsChild>
            <w:div w:id="1596787125">
              <w:marLeft w:val="0"/>
              <w:marRight w:val="0"/>
              <w:marTop w:val="0"/>
              <w:marBottom w:val="0"/>
              <w:divBdr>
                <w:top w:val="none" w:sz="0" w:space="0" w:color="auto"/>
                <w:left w:val="none" w:sz="0" w:space="0" w:color="auto"/>
                <w:bottom w:val="none" w:sz="0" w:space="0" w:color="auto"/>
                <w:right w:val="none" w:sz="0" w:space="0" w:color="auto"/>
              </w:divBdr>
            </w:div>
          </w:divsChild>
        </w:div>
        <w:div w:id="1997415776">
          <w:marLeft w:val="0"/>
          <w:marRight w:val="0"/>
          <w:marTop w:val="0"/>
          <w:marBottom w:val="0"/>
          <w:divBdr>
            <w:top w:val="none" w:sz="0" w:space="0" w:color="auto"/>
            <w:left w:val="none" w:sz="0" w:space="0" w:color="auto"/>
            <w:bottom w:val="none" w:sz="0" w:space="0" w:color="auto"/>
            <w:right w:val="none" w:sz="0" w:space="0" w:color="auto"/>
          </w:divBdr>
          <w:divsChild>
            <w:div w:id="783885938">
              <w:marLeft w:val="0"/>
              <w:marRight w:val="0"/>
              <w:marTop w:val="0"/>
              <w:marBottom w:val="0"/>
              <w:divBdr>
                <w:top w:val="none" w:sz="0" w:space="0" w:color="auto"/>
                <w:left w:val="none" w:sz="0" w:space="0" w:color="auto"/>
                <w:bottom w:val="none" w:sz="0" w:space="0" w:color="auto"/>
                <w:right w:val="none" w:sz="0" w:space="0" w:color="auto"/>
              </w:divBdr>
            </w:div>
          </w:divsChild>
        </w:div>
        <w:div w:id="2056155591">
          <w:marLeft w:val="0"/>
          <w:marRight w:val="0"/>
          <w:marTop w:val="0"/>
          <w:marBottom w:val="0"/>
          <w:divBdr>
            <w:top w:val="none" w:sz="0" w:space="0" w:color="auto"/>
            <w:left w:val="none" w:sz="0" w:space="0" w:color="auto"/>
            <w:bottom w:val="none" w:sz="0" w:space="0" w:color="auto"/>
            <w:right w:val="none" w:sz="0" w:space="0" w:color="auto"/>
          </w:divBdr>
          <w:divsChild>
            <w:div w:id="1064795275">
              <w:marLeft w:val="0"/>
              <w:marRight w:val="0"/>
              <w:marTop w:val="0"/>
              <w:marBottom w:val="0"/>
              <w:divBdr>
                <w:top w:val="none" w:sz="0" w:space="0" w:color="auto"/>
                <w:left w:val="none" w:sz="0" w:space="0" w:color="auto"/>
                <w:bottom w:val="none" w:sz="0" w:space="0" w:color="auto"/>
                <w:right w:val="none" w:sz="0" w:space="0" w:color="auto"/>
              </w:divBdr>
            </w:div>
          </w:divsChild>
        </w:div>
        <w:div w:id="2104304616">
          <w:marLeft w:val="0"/>
          <w:marRight w:val="0"/>
          <w:marTop w:val="0"/>
          <w:marBottom w:val="0"/>
          <w:divBdr>
            <w:top w:val="none" w:sz="0" w:space="0" w:color="auto"/>
            <w:left w:val="none" w:sz="0" w:space="0" w:color="auto"/>
            <w:bottom w:val="none" w:sz="0" w:space="0" w:color="auto"/>
            <w:right w:val="none" w:sz="0" w:space="0" w:color="auto"/>
          </w:divBdr>
          <w:divsChild>
            <w:div w:id="9471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89586">
      <w:bodyDiv w:val="1"/>
      <w:marLeft w:val="0"/>
      <w:marRight w:val="0"/>
      <w:marTop w:val="0"/>
      <w:marBottom w:val="0"/>
      <w:divBdr>
        <w:top w:val="none" w:sz="0" w:space="0" w:color="auto"/>
        <w:left w:val="none" w:sz="0" w:space="0" w:color="auto"/>
        <w:bottom w:val="none" w:sz="0" w:space="0" w:color="auto"/>
        <w:right w:val="none" w:sz="0" w:space="0" w:color="auto"/>
      </w:divBdr>
    </w:div>
    <w:div w:id="1806850204">
      <w:bodyDiv w:val="1"/>
      <w:marLeft w:val="0"/>
      <w:marRight w:val="0"/>
      <w:marTop w:val="0"/>
      <w:marBottom w:val="0"/>
      <w:divBdr>
        <w:top w:val="none" w:sz="0" w:space="0" w:color="auto"/>
        <w:left w:val="none" w:sz="0" w:space="0" w:color="auto"/>
        <w:bottom w:val="none" w:sz="0" w:space="0" w:color="auto"/>
        <w:right w:val="none" w:sz="0" w:space="0" w:color="auto"/>
      </w:divBdr>
      <w:divsChild>
        <w:div w:id="444663080">
          <w:marLeft w:val="0"/>
          <w:marRight w:val="0"/>
          <w:marTop w:val="0"/>
          <w:marBottom w:val="0"/>
          <w:divBdr>
            <w:top w:val="none" w:sz="0" w:space="0" w:color="auto"/>
            <w:left w:val="none" w:sz="0" w:space="0" w:color="auto"/>
            <w:bottom w:val="none" w:sz="0" w:space="0" w:color="auto"/>
            <w:right w:val="none" w:sz="0" w:space="0" w:color="auto"/>
          </w:divBdr>
        </w:div>
        <w:div w:id="531117132">
          <w:marLeft w:val="0"/>
          <w:marRight w:val="0"/>
          <w:marTop w:val="0"/>
          <w:marBottom w:val="0"/>
          <w:divBdr>
            <w:top w:val="none" w:sz="0" w:space="0" w:color="auto"/>
            <w:left w:val="none" w:sz="0" w:space="0" w:color="auto"/>
            <w:bottom w:val="none" w:sz="0" w:space="0" w:color="auto"/>
            <w:right w:val="none" w:sz="0" w:space="0" w:color="auto"/>
          </w:divBdr>
        </w:div>
        <w:div w:id="1579245922">
          <w:marLeft w:val="0"/>
          <w:marRight w:val="0"/>
          <w:marTop w:val="0"/>
          <w:marBottom w:val="0"/>
          <w:divBdr>
            <w:top w:val="none" w:sz="0" w:space="0" w:color="auto"/>
            <w:left w:val="none" w:sz="0" w:space="0" w:color="auto"/>
            <w:bottom w:val="none" w:sz="0" w:space="0" w:color="auto"/>
            <w:right w:val="none" w:sz="0" w:space="0" w:color="auto"/>
          </w:divBdr>
        </w:div>
        <w:div w:id="1585917648">
          <w:marLeft w:val="0"/>
          <w:marRight w:val="0"/>
          <w:marTop w:val="0"/>
          <w:marBottom w:val="0"/>
          <w:divBdr>
            <w:top w:val="none" w:sz="0" w:space="0" w:color="auto"/>
            <w:left w:val="none" w:sz="0" w:space="0" w:color="auto"/>
            <w:bottom w:val="none" w:sz="0" w:space="0" w:color="auto"/>
            <w:right w:val="none" w:sz="0" w:space="0" w:color="auto"/>
          </w:divBdr>
        </w:div>
        <w:div w:id="1869415191">
          <w:marLeft w:val="0"/>
          <w:marRight w:val="0"/>
          <w:marTop w:val="0"/>
          <w:marBottom w:val="0"/>
          <w:divBdr>
            <w:top w:val="none" w:sz="0" w:space="0" w:color="auto"/>
            <w:left w:val="none" w:sz="0" w:space="0" w:color="auto"/>
            <w:bottom w:val="none" w:sz="0" w:space="0" w:color="auto"/>
            <w:right w:val="none" w:sz="0" w:space="0" w:color="auto"/>
          </w:divBdr>
        </w:div>
      </w:divsChild>
    </w:div>
    <w:div w:id="1892185914">
      <w:bodyDiv w:val="1"/>
      <w:marLeft w:val="0"/>
      <w:marRight w:val="0"/>
      <w:marTop w:val="0"/>
      <w:marBottom w:val="0"/>
      <w:divBdr>
        <w:top w:val="none" w:sz="0" w:space="0" w:color="auto"/>
        <w:left w:val="none" w:sz="0" w:space="0" w:color="auto"/>
        <w:bottom w:val="none" w:sz="0" w:space="0" w:color="auto"/>
        <w:right w:val="none" w:sz="0" w:space="0" w:color="auto"/>
      </w:divBdr>
    </w:div>
    <w:div w:id="1944267069">
      <w:bodyDiv w:val="1"/>
      <w:marLeft w:val="0"/>
      <w:marRight w:val="0"/>
      <w:marTop w:val="0"/>
      <w:marBottom w:val="0"/>
      <w:divBdr>
        <w:top w:val="none" w:sz="0" w:space="0" w:color="auto"/>
        <w:left w:val="none" w:sz="0" w:space="0" w:color="auto"/>
        <w:bottom w:val="none" w:sz="0" w:space="0" w:color="auto"/>
        <w:right w:val="none" w:sz="0" w:space="0" w:color="auto"/>
      </w:divBdr>
    </w:div>
    <w:div w:id="2000882543">
      <w:bodyDiv w:val="1"/>
      <w:marLeft w:val="0"/>
      <w:marRight w:val="0"/>
      <w:marTop w:val="0"/>
      <w:marBottom w:val="0"/>
      <w:divBdr>
        <w:top w:val="none" w:sz="0" w:space="0" w:color="auto"/>
        <w:left w:val="none" w:sz="0" w:space="0" w:color="auto"/>
        <w:bottom w:val="none" w:sz="0" w:space="0" w:color="auto"/>
        <w:right w:val="none" w:sz="0" w:space="0" w:color="auto"/>
      </w:divBdr>
      <w:divsChild>
        <w:div w:id="248585402">
          <w:marLeft w:val="0"/>
          <w:marRight w:val="0"/>
          <w:marTop w:val="0"/>
          <w:marBottom w:val="0"/>
          <w:divBdr>
            <w:top w:val="none" w:sz="0" w:space="0" w:color="auto"/>
            <w:left w:val="none" w:sz="0" w:space="0" w:color="auto"/>
            <w:bottom w:val="none" w:sz="0" w:space="0" w:color="auto"/>
            <w:right w:val="none" w:sz="0" w:space="0" w:color="auto"/>
          </w:divBdr>
        </w:div>
        <w:div w:id="491288812">
          <w:marLeft w:val="0"/>
          <w:marRight w:val="0"/>
          <w:marTop w:val="0"/>
          <w:marBottom w:val="0"/>
          <w:divBdr>
            <w:top w:val="none" w:sz="0" w:space="0" w:color="auto"/>
            <w:left w:val="none" w:sz="0" w:space="0" w:color="auto"/>
            <w:bottom w:val="none" w:sz="0" w:space="0" w:color="auto"/>
            <w:right w:val="none" w:sz="0" w:space="0" w:color="auto"/>
          </w:divBdr>
        </w:div>
        <w:div w:id="555437580">
          <w:marLeft w:val="0"/>
          <w:marRight w:val="0"/>
          <w:marTop w:val="0"/>
          <w:marBottom w:val="0"/>
          <w:divBdr>
            <w:top w:val="none" w:sz="0" w:space="0" w:color="auto"/>
            <w:left w:val="none" w:sz="0" w:space="0" w:color="auto"/>
            <w:bottom w:val="none" w:sz="0" w:space="0" w:color="auto"/>
            <w:right w:val="none" w:sz="0" w:space="0" w:color="auto"/>
          </w:divBdr>
        </w:div>
        <w:div w:id="1316759173">
          <w:marLeft w:val="0"/>
          <w:marRight w:val="0"/>
          <w:marTop w:val="0"/>
          <w:marBottom w:val="0"/>
          <w:divBdr>
            <w:top w:val="none" w:sz="0" w:space="0" w:color="auto"/>
            <w:left w:val="none" w:sz="0" w:space="0" w:color="auto"/>
            <w:bottom w:val="none" w:sz="0" w:space="0" w:color="auto"/>
            <w:right w:val="none" w:sz="0" w:space="0" w:color="auto"/>
          </w:divBdr>
        </w:div>
        <w:div w:id="1596785350">
          <w:marLeft w:val="0"/>
          <w:marRight w:val="0"/>
          <w:marTop w:val="0"/>
          <w:marBottom w:val="0"/>
          <w:divBdr>
            <w:top w:val="none" w:sz="0" w:space="0" w:color="auto"/>
            <w:left w:val="none" w:sz="0" w:space="0" w:color="auto"/>
            <w:bottom w:val="none" w:sz="0" w:space="0" w:color="auto"/>
            <w:right w:val="none" w:sz="0" w:space="0" w:color="auto"/>
          </w:divBdr>
        </w:div>
      </w:divsChild>
    </w:div>
    <w:div w:id="213721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health.formsadministration.com.au/dss.nsf/home.xsp" TargetMode="External"/><Relationship Id="rId26" Type="http://schemas.openxmlformats.org/officeDocument/2006/relationships/hyperlink" Target="https://www.health.gov.au/topics/aged-care/providing-aged-care-services/reporting/aged-care-financial-report" TargetMode="External"/><Relationship Id="rId39" Type="http://schemas.openxmlformats.org/officeDocument/2006/relationships/hyperlink" Target="https://www.health.gov.au/topics/aged-care/providing-aged-care-services/reporting/aged-care-financial-report" TargetMode="External"/><Relationship Id="rId21" Type="http://schemas.openxmlformats.org/officeDocument/2006/relationships/hyperlink" Target="mailto:formsadministration@health.com.au" TargetMode="External"/><Relationship Id="rId34" Type="http://schemas.openxmlformats.org/officeDocument/2006/relationships/hyperlink" Target="https://www.aasb.gov.au/" TargetMode="External"/><Relationship Id="rId42" Type="http://schemas.openxmlformats.org/officeDocument/2006/relationships/image" Target="media/image6.PNG"/><Relationship Id="rId47" Type="http://schemas.openxmlformats.org/officeDocument/2006/relationships/hyperlink" Target="https://health.formsadministration.com.au/dss.nsf/home.xsp" TargetMode="External"/><Relationship Id="rId50"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g"/><Relationship Id="rId29" Type="http://schemas.openxmlformats.org/officeDocument/2006/relationships/hyperlink" Target="https://www.health.gov.au/topics/aged-care/providing-aged-care-services/reporting/aged-care-financial-report" TargetMode="External"/><Relationship Id="rId11" Type="http://schemas.openxmlformats.org/officeDocument/2006/relationships/header" Target="header1.xml"/><Relationship Id="rId24" Type="http://schemas.openxmlformats.org/officeDocument/2006/relationships/hyperlink" Target="mailto:prudential@agedcarequality.gov.au" TargetMode="External"/><Relationship Id="rId32" Type="http://schemas.openxmlformats.org/officeDocument/2006/relationships/hyperlink" Target="https://www.aasb.gov.au/" TargetMode="External"/><Relationship Id="rId37" Type="http://schemas.openxmlformats.org/officeDocument/2006/relationships/hyperlink" Target="mailto:FormsAdministration@Health.gov.au" TargetMode="External"/><Relationship Id="rId40" Type="http://schemas.openxmlformats.org/officeDocument/2006/relationships/header" Target="header3.xml"/><Relationship Id="rId45" Type="http://schemas.openxmlformats.org/officeDocument/2006/relationships/hyperlink" Target="https://www.health.gov.au/our-work/support-at-home?language=en"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QFRACFRHelp@health.gov.au" TargetMode="External"/><Relationship Id="rId28" Type="http://schemas.openxmlformats.org/officeDocument/2006/relationships/hyperlink" Target="https://www.health.gov.au/our-work/care-minutes-registered-nurses-aged-care/care-minutes/care-minutes-performance-statement" TargetMode="External"/><Relationship Id="rId36" Type="http://schemas.openxmlformats.org/officeDocument/2006/relationships/hyperlink" Target="https://asic.gov.au/" TargetMode="External"/><Relationship Id="rId49" Type="http://schemas.openxmlformats.org/officeDocument/2006/relationships/hyperlink" Target="https://www.health.gov.au/resources/collections/aged-care-financial-report-resources" TargetMode="External"/><Relationship Id="rId10" Type="http://schemas.openxmlformats.org/officeDocument/2006/relationships/endnotes" Target="endnotes.xml"/><Relationship Id="rId19" Type="http://schemas.openxmlformats.org/officeDocument/2006/relationships/hyperlink" Target="https://www.health.gov.au/our-work/care-minutes-registered-nurses-aged-care/care-minutes/care-minutes-performance-statement" TargetMode="External"/><Relationship Id="rId31" Type="http://schemas.openxmlformats.org/officeDocument/2006/relationships/hyperlink" Target="https://www.health.gov.au/resources/apps-and-tools/government-provider-management-system" TargetMode="External"/><Relationship Id="rId44" Type="http://schemas.openxmlformats.org/officeDocument/2006/relationships/hyperlink" Target="https://www.health.gov.au/resources/publications/support-at-home-service-list?language=en"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ACFRQFRQueries@Health.gov.au" TargetMode="External"/><Relationship Id="rId27" Type="http://schemas.openxmlformats.org/officeDocument/2006/relationships/hyperlink" Target="https://health.formsadministration.com.au/dss.nsf/DSSForms.xsp" TargetMode="External"/><Relationship Id="rId30" Type="http://schemas.openxmlformats.org/officeDocument/2006/relationships/hyperlink" Target="https://health.formsadministration.com.au/dss.nsf/home.xsp" TargetMode="External"/><Relationship Id="rId35" Type="http://schemas.openxmlformats.org/officeDocument/2006/relationships/hyperlink" Target="https://health.formsadministration.com.au/dss.nsf/home.xsp" TargetMode="External"/><Relationship Id="rId43" Type="http://schemas.openxmlformats.org/officeDocument/2006/relationships/image" Target="media/image7.PNG"/><Relationship Id="rId48" Type="http://schemas.openxmlformats.org/officeDocument/2006/relationships/hyperlink" Target="https://www.health.gov.au/resources/collections/aged-care-financial-report-resources"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health.gov.au/resources/collections/financial-performance-of-the-australian-aged-care-sector" TargetMode="External"/><Relationship Id="rId25" Type="http://schemas.openxmlformats.org/officeDocument/2006/relationships/hyperlink" Target="mailto:CMPSQueries@health.gov.au" TargetMode="External"/><Relationship Id="rId33" Type="http://schemas.openxmlformats.org/officeDocument/2006/relationships/hyperlink" Target="https://www.aasb.gov.au/" TargetMode="External"/><Relationship Id="rId38" Type="http://schemas.openxmlformats.org/officeDocument/2006/relationships/hyperlink" Target="https://www.health.gov.au/our-work/care-minutes-registered-nurses-aged-care/care-minutes/care-minutes-performance-statement" TargetMode="External"/><Relationship Id="rId46" Type="http://schemas.openxmlformats.org/officeDocument/2006/relationships/hyperlink" Target="https://www.health.gov.au/resources/publications/assistive-technology-and-home-modifications-list-at-hm-list?language=en" TargetMode="External"/><Relationship Id="rId20" Type="http://schemas.openxmlformats.org/officeDocument/2006/relationships/hyperlink" Target="https://dss.formsadministration.com.au/dss.nsf/home.xsp"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s>
</file>

<file path=word/_rels/foot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F25F82DC70E46BECCBAC5959F994A" ma:contentTypeVersion="13" ma:contentTypeDescription="Create a new document." ma:contentTypeScope="" ma:versionID="7b5141037c5ab903c0e02adaead4b1cf">
  <xsd:schema xmlns:xsd="http://www.w3.org/2001/XMLSchema" xmlns:xs="http://www.w3.org/2001/XMLSchema" xmlns:p="http://schemas.microsoft.com/office/2006/metadata/properties" xmlns:ns2="02622428-b056-4156-8618-9b4665fa4c5e" xmlns:ns3="7e344f6c-33c4-4639-9c4a-e760d75a1222" targetNamespace="http://schemas.microsoft.com/office/2006/metadata/properties" ma:root="true" ma:fieldsID="3dd80d561896b60a147ce0bbeca161e7" ns2:_="" ns3:_="">
    <xsd:import namespace="02622428-b056-4156-8618-9b4665fa4c5e"/>
    <xsd:import namespace="7e344f6c-33c4-4639-9c4a-e760d75a12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22428-b056-4156-8618-9b4665fa4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344f6c-33c4-4639-9c4a-e760d75a12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fd8411-f726-4cac-a696-9c73f2a8f04a}" ma:internalName="TaxCatchAll" ma:showField="CatchAllData" ma:web="7e344f6c-33c4-4639-9c4a-e760d75a12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e344f6c-33c4-4639-9c4a-e760d75a1222"/>
    <lcf76f155ced4ddcb4097134ff3c332f xmlns="02622428-b056-4156-8618-9b4665fa4c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75272B-5AFE-4A31-8C9C-629052CB8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22428-b056-4156-8618-9b4665fa4c5e"/>
    <ds:schemaRef ds:uri="7e344f6c-33c4-4639-9c4a-e760d75a1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3.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7e344f6c-33c4-4639-9c4a-e760d75a1222"/>
    <ds:schemaRef ds:uri="02622428-b056-4156-8618-9b4665fa4c5e"/>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70</Pages>
  <Words>15611</Words>
  <Characters>85710</Characters>
  <Application>Microsoft Office Word</Application>
  <DocSecurity>0</DocSecurity>
  <Lines>1947</Lines>
  <Paragraphs>1066</Paragraphs>
  <ScaleCrop>false</ScaleCrop>
  <HeadingPairs>
    <vt:vector size="2" baseType="variant">
      <vt:variant>
        <vt:lpstr>Title</vt:lpstr>
      </vt:variant>
      <vt:variant>
        <vt:i4>1</vt:i4>
      </vt:variant>
    </vt:vector>
  </HeadingPairs>
  <TitlesOfParts>
    <vt:vector size="1" baseType="lpstr">
      <vt:lpstr>Aged Care Financial Report - Guidance and FAQs - 2025-26</vt:lpstr>
    </vt:vector>
  </TitlesOfParts>
  <Manager/>
  <Company/>
  <LinksUpToDate>false</LinksUpToDate>
  <CharactersWithSpaces>100255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Aged Care Financial Report - Guidance and FAQs - 2025-26</dc:title>
  <dc:subject/>
  <dc:creator>Australian Government Department of Health, Disability and Ageing</dc:creator>
  <cp:keywords/>
  <dc:description/>
  <cp:lastModifiedBy>MASCHKE, Elvia</cp:lastModifiedBy>
  <cp:revision>13</cp:revision>
  <cp:lastPrinted>2026-07-15T02:39:00Z</cp:lastPrinted>
  <dcterms:created xsi:type="dcterms:W3CDTF">2026-07-15T00:59:00Z</dcterms:created>
  <dcterms:modified xsi:type="dcterms:W3CDTF">2026-07-16T02:31:00Z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0x010100310F25F82DC70E46BECCBAC5959F994A</vt:lpwstr>
  </property>
  <property fmtid="{D5CDD505-2E9C-101B-9397-08002B2CF9AE}" pid="5" name="Section">
    <vt:lpwstr>5;#PCPD CC Corporate Communication SN|73cff0d0-7b20-43e0-ad96-75a3b55de641</vt:lpwstr>
  </property>
  <property fmtid="{D5CDD505-2E9C-101B-9397-08002B2CF9AE}" pid="6" name="_dlc_DocIdItemGuid">
    <vt:lpwstr>c035f51b-1153-45fd-97fb-3efc14ccd009</vt:lpwstr>
  </property>
  <property fmtid="{D5CDD505-2E9C-101B-9397-08002B2CF9AE}" pid="7" name="Keywords1">
    <vt:lpwstr>30;#Aged care|15037316-ccb1-4430-a7dd-5c4031a389b1;#4;#visual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Order">
    <vt:r8>4995700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WAH-7Dec">
    <vt:lpwstr>, </vt:lpwstr>
  </property>
  <property fmtid="{D5CDD505-2E9C-101B-9397-08002B2CF9AE}" pid="17" name="TriggerFlowInfo">
    <vt:lpwstr/>
  </property>
  <property fmtid="{D5CDD505-2E9C-101B-9397-08002B2CF9AE}" pid="18" name="Contact">
    <vt:lpwstr>104;#Aged Care Communications and Change|e5d142d6-a25f-4b81-a8a4-d8f9e5839eea</vt:lpwstr>
  </property>
  <property fmtid="{D5CDD505-2E9C-101B-9397-08002B2CF9AE}" pid="19" name="p76df81b8fed4a2fa2af18761f9ff90d">
    <vt:lpwstr>Aged care|15037316-ccb1-4430-a7dd-5c4031a389b1;visual identity|a54ebda2-a0fd-45ec-8fc0-1cf31001b526</vt:lpwstr>
  </property>
  <property fmtid="{D5CDD505-2E9C-101B-9397-08002B2CF9AE}" pid="20" name="Intranet">
    <vt:bool>true</vt:bool>
  </property>
  <property fmtid="{D5CDD505-2E9C-101B-9397-08002B2CF9AE}" pid="21" name="Int_x002d_InformationType">
    <vt:lpwstr/>
  </property>
  <property fmtid="{D5CDD505-2E9C-101B-9397-08002B2CF9AE}" pid="22" name="pfd27f99efda4409b63228bea026394d">
    <vt:lpwstr>Template|0635ea83-9a41-497c-9b11-d9d7178dcab7</vt:lpwstr>
  </property>
  <property fmtid="{D5CDD505-2E9C-101B-9397-08002B2CF9AE}" pid="23" name="Int_x002d_Topics">
    <vt:lpwstr/>
  </property>
  <property fmtid="{D5CDD505-2E9C-101B-9397-08002B2CF9AE}" pid="24" name="Last reviewed">
    <vt:filetime>2023-11-28T13:00:00Z</vt:filetime>
  </property>
  <property fmtid="{D5CDD505-2E9C-101B-9397-08002B2CF9AE}" pid="25" name="jf042baad2b143719d8a0cfd36411dfb">
    <vt:lpwstr>Aged Care Communications and Change|e5d142d6-a25f-4b81-a8a4-d8f9e5839eea</vt:lpwstr>
  </property>
  <property fmtid="{D5CDD505-2E9C-101B-9397-08002B2CF9AE}" pid="26" name="SharedWithUsers">
    <vt:lpwstr>3338;#Andrew Glenn</vt:lpwstr>
  </property>
  <property fmtid="{D5CDD505-2E9C-101B-9397-08002B2CF9AE}" pid="27" name="Int_x002d_Contact">
    <vt:lpwstr/>
  </property>
  <property fmtid="{D5CDD505-2E9C-101B-9397-08002B2CF9AE}" pid="28" name="Int-Contact">
    <vt:lpwstr>104;#|e5d142d6-a25f-4b81-a8a4-d8f9e5839eea</vt:lpwstr>
  </property>
  <property fmtid="{D5CDD505-2E9C-101B-9397-08002B2CF9AE}" pid="29" name="Int-InformationType">
    <vt:lpwstr>42;#|0635ea83-9a41-497c-9b11-d9d7178dcab7</vt:lpwstr>
  </property>
  <property fmtid="{D5CDD505-2E9C-101B-9397-08002B2CF9AE}" pid="30" name="Int-Topics">
    <vt:lpwstr>4;#visual identity|a54ebda2-a0fd-45ec-8fc0-1cf31001b526;#30;#Aged care|15037316-ccb1-4430-a7dd-5c4031a389b1</vt:lpwstr>
  </property>
  <property fmtid="{D5CDD505-2E9C-101B-9397-08002B2CF9AE}" pid="31" name="lcf76f155ced4ddcb4097134ff3c332f">
    <vt:lpwstr/>
  </property>
  <property fmtid="{D5CDD505-2E9C-101B-9397-08002B2CF9AE}" pid="32" name="ClassificationContentMarkingHeaderShapeIds">
    <vt:lpwstr>1a79a8d2,f2e9d28,369205a6,5ae2052d,10d6507d,4c101858,6db5ea59</vt:lpwstr>
  </property>
  <property fmtid="{D5CDD505-2E9C-101B-9397-08002B2CF9AE}" pid="33" name="ClassificationContentMarkingHeaderFontProps">
    <vt:lpwstr>#ff0000,12,Aptos</vt:lpwstr>
  </property>
  <property fmtid="{D5CDD505-2E9C-101B-9397-08002B2CF9AE}" pid="34" name="ClassificationContentMarkingHeaderText">
    <vt:lpwstr>OFFICIAL</vt:lpwstr>
  </property>
  <property fmtid="{D5CDD505-2E9C-101B-9397-08002B2CF9AE}" pid="35" name="ClassificationContentMarkingFooterShapeIds">
    <vt:lpwstr>16c6eeb1,7227c833,672fc6e8,3db04959,11e5a51d,443a2726</vt:lpwstr>
  </property>
  <property fmtid="{D5CDD505-2E9C-101B-9397-08002B2CF9AE}" pid="36" name="ClassificationContentMarkingFooterFontProps">
    <vt:lpwstr>#ff0000,12,Aptos</vt:lpwstr>
  </property>
  <property fmtid="{D5CDD505-2E9C-101B-9397-08002B2CF9AE}" pid="37" name="ClassificationContentMarkingFooterText">
    <vt:lpwstr>OFFICIAL</vt:lpwstr>
  </property>
  <property fmtid="{D5CDD505-2E9C-101B-9397-08002B2CF9AE}" pid="38" name="MSIP_Label_7cd3e8b9-ffed-43a8-b7f4-cc2fa0382d36_Enabled">
    <vt:lpwstr>true</vt:lpwstr>
  </property>
  <property fmtid="{D5CDD505-2E9C-101B-9397-08002B2CF9AE}" pid="39" name="MSIP_Label_7cd3e8b9-ffed-43a8-b7f4-cc2fa0382d36_SetDate">
    <vt:lpwstr>2025-08-25T02:59:32Z</vt:lpwstr>
  </property>
  <property fmtid="{D5CDD505-2E9C-101B-9397-08002B2CF9AE}" pid="40" name="MSIP_Label_7cd3e8b9-ffed-43a8-b7f4-cc2fa0382d36_Method">
    <vt:lpwstr>Privileged</vt:lpwstr>
  </property>
  <property fmtid="{D5CDD505-2E9C-101B-9397-08002B2CF9AE}" pid="41" name="MSIP_Label_7cd3e8b9-ffed-43a8-b7f4-cc2fa0382d36_Name">
    <vt:lpwstr>O</vt:lpwstr>
  </property>
  <property fmtid="{D5CDD505-2E9C-101B-9397-08002B2CF9AE}" pid="42" name="MSIP_Label_7cd3e8b9-ffed-43a8-b7f4-cc2fa0382d36_SiteId">
    <vt:lpwstr>34a3929c-73cf-4954-abfe-147dc3517892</vt:lpwstr>
  </property>
  <property fmtid="{D5CDD505-2E9C-101B-9397-08002B2CF9AE}" pid="43" name="MSIP_Label_7cd3e8b9-ffed-43a8-b7f4-cc2fa0382d36_ActionId">
    <vt:lpwstr>63444867-fe25-44f4-a664-2a7f614f0d2e</vt:lpwstr>
  </property>
  <property fmtid="{D5CDD505-2E9C-101B-9397-08002B2CF9AE}" pid="44" name="MSIP_Label_7cd3e8b9-ffed-43a8-b7f4-cc2fa0382d36_ContentBits">
    <vt:lpwstr>3</vt:lpwstr>
  </property>
  <property fmtid="{D5CDD505-2E9C-101B-9397-08002B2CF9AE}" pid="45" name="MSIP_Label_7cd3e8b9-ffed-43a8-b7f4-cc2fa0382d36_Tag">
    <vt:lpwstr>10, 0, 1, 2</vt:lpwstr>
  </property>
  <property fmtid="{D5CDD505-2E9C-101B-9397-08002B2CF9AE}" pid="46" name="docLang">
    <vt:lpwstr>en</vt:lpwstr>
  </property>
  <property fmtid="{D5CDD505-2E9C-101B-9397-08002B2CF9AE}" pid="47" name="TaxCatchAll">
    <vt:lpwstr/>
  </property>
</Properties>
</file>