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C1983" w14:textId="7E64E5AA" w:rsidR="00751A23" w:rsidRDefault="00F24938" w:rsidP="00751A23">
      <w:pPr>
        <w:pStyle w:val="Title"/>
      </w:pPr>
      <w:r>
        <w:t>Methodology Guide for Vaccination Dashboards</w:t>
      </w:r>
    </w:p>
    <w:p w14:paraId="1BEB5D2E" w14:textId="6E2C1A52" w:rsidR="00751A23" w:rsidRDefault="00F24938" w:rsidP="00751A23">
      <w:pPr>
        <w:pStyle w:val="Subtitle"/>
        <w:sectPr w:rsidR="00751A23" w:rsidSect="00D45D94">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418" w:bottom="1418" w:left="1418" w:header="850" w:footer="709" w:gutter="0"/>
          <w:cols w:space="708"/>
          <w:titlePg/>
          <w:docGrid w:linePitch="360"/>
        </w:sectPr>
      </w:pPr>
      <w:r>
        <w:t xml:space="preserve"> </w:t>
      </w:r>
    </w:p>
    <w:p w14:paraId="3B9D9C2A" w14:textId="09F871D9" w:rsidR="00CE6502" w:rsidRDefault="00B831C6" w:rsidP="00B831C6">
      <w:pPr>
        <w:pStyle w:val="Heading1"/>
        <w:numPr>
          <w:ilvl w:val="0"/>
          <w:numId w:val="21"/>
        </w:numPr>
      </w:pPr>
      <w:r>
        <w:lastRenderedPageBreak/>
        <w:t>Document Information</w:t>
      </w:r>
    </w:p>
    <w:p w14:paraId="4239387A" w14:textId="77777777" w:rsidR="00C0162B" w:rsidRPr="00C0162B" w:rsidRDefault="00C0162B" w:rsidP="00C0162B"/>
    <w:tbl>
      <w:tblPr>
        <w:tblStyle w:val="TableGrid"/>
        <w:tblW w:w="0" w:type="auto"/>
        <w:tblLook w:val="04A0" w:firstRow="1" w:lastRow="0" w:firstColumn="1" w:lastColumn="0" w:noHBand="0" w:noVBand="1"/>
      </w:tblPr>
      <w:tblGrid>
        <w:gridCol w:w="4530"/>
        <w:gridCol w:w="4530"/>
      </w:tblGrid>
      <w:tr w:rsidR="00DE04C1" w14:paraId="7A4AE92C" w14:textId="77777777" w:rsidTr="408DDC25">
        <w:tc>
          <w:tcPr>
            <w:tcW w:w="4530" w:type="dxa"/>
          </w:tcPr>
          <w:p w14:paraId="71F240CB" w14:textId="36F153A3" w:rsidR="00DE04C1" w:rsidRPr="00DE04C1" w:rsidRDefault="071E5E98" w:rsidP="00D60E25">
            <w:pPr>
              <w:rPr>
                <w:b/>
                <w:bCs/>
              </w:rPr>
            </w:pPr>
            <w:r w:rsidRPr="408DDC25">
              <w:rPr>
                <w:b/>
                <w:bCs/>
                <w:color w:val="3F4A75" w:themeColor="accent1"/>
              </w:rPr>
              <w:t>Item</w:t>
            </w:r>
          </w:p>
        </w:tc>
        <w:tc>
          <w:tcPr>
            <w:tcW w:w="4530" w:type="dxa"/>
          </w:tcPr>
          <w:p w14:paraId="75AC9E89" w14:textId="625D781F" w:rsidR="00DE04C1" w:rsidRPr="00DE04C1" w:rsidRDefault="00DE04C1" w:rsidP="00D60E25">
            <w:pPr>
              <w:rPr>
                <w:b/>
                <w:bCs/>
                <w:color w:val="3F4A75" w:themeColor="accent1"/>
              </w:rPr>
            </w:pPr>
            <w:r w:rsidRPr="00DE04C1">
              <w:rPr>
                <w:b/>
                <w:bCs/>
                <w:color w:val="3F4A75" w:themeColor="accent1"/>
              </w:rPr>
              <w:t>Details</w:t>
            </w:r>
          </w:p>
        </w:tc>
      </w:tr>
      <w:tr w:rsidR="00DE04C1" w14:paraId="2EFEA640" w14:textId="77777777" w:rsidTr="408DDC25">
        <w:tc>
          <w:tcPr>
            <w:tcW w:w="4530" w:type="dxa"/>
          </w:tcPr>
          <w:p w14:paraId="26E0437C" w14:textId="6C757CF7" w:rsidR="00DE04C1" w:rsidRPr="00DE04C1" w:rsidRDefault="00DE04C1" w:rsidP="00D60E25">
            <w:pPr>
              <w:rPr>
                <w:sz w:val="18"/>
                <w:szCs w:val="18"/>
              </w:rPr>
            </w:pPr>
            <w:r w:rsidRPr="00DE04C1">
              <w:rPr>
                <w:sz w:val="18"/>
                <w:szCs w:val="18"/>
              </w:rPr>
              <w:t>Document Title</w:t>
            </w:r>
          </w:p>
        </w:tc>
        <w:tc>
          <w:tcPr>
            <w:tcW w:w="4530" w:type="dxa"/>
          </w:tcPr>
          <w:p w14:paraId="0489A153" w14:textId="0DEC6B07" w:rsidR="00DE04C1" w:rsidRPr="00C0162B" w:rsidRDefault="00F24938" w:rsidP="00D60E25">
            <w:pPr>
              <w:rPr>
                <w:sz w:val="18"/>
                <w:szCs w:val="18"/>
              </w:rPr>
            </w:pPr>
            <w:r>
              <w:rPr>
                <w:sz w:val="18"/>
                <w:szCs w:val="18"/>
              </w:rPr>
              <w:t>Data Modernisation Methodology Paper</w:t>
            </w:r>
          </w:p>
        </w:tc>
      </w:tr>
      <w:tr w:rsidR="00DE04C1" w14:paraId="16B2A5F4" w14:textId="77777777" w:rsidTr="408DDC25">
        <w:tc>
          <w:tcPr>
            <w:tcW w:w="4530" w:type="dxa"/>
          </w:tcPr>
          <w:p w14:paraId="7A3CA875" w14:textId="1EE66625" w:rsidR="00DE04C1" w:rsidRPr="00DE04C1" w:rsidRDefault="00DE04C1" w:rsidP="00D60E25">
            <w:pPr>
              <w:rPr>
                <w:sz w:val="18"/>
                <w:szCs w:val="18"/>
              </w:rPr>
            </w:pPr>
            <w:r w:rsidRPr="00DE04C1">
              <w:rPr>
                <w:sz w:val="18"/>
                <w:szCs w:val="18"/>
              </w:rPr>
              <w:t>Version</w:t>
            </w:r>
          </w:p>
        </w:tc>
        <w:tc>
          <w:tcPr>
            <w:tcW w:w="4530" w:type="dxa"/>
          </w:tcPr>
          <w:p w14:paraId="04178E16" w14:textId="05E85570" w:rsidR="00DE04C1" w:rsidRPr="00C0162B" w:rsidRDefault="071E5E98" w:rsidP="00D60E25">
            <w:pPr>
              <w:rPr>
                <w:sz w:val="18"/>
                <w:szCs w:val="18"/>
              </w:rPr>
            </w:pPr>
            <w:r w:rsidRPr="408DDC25">
              <w:rPr>
                <w:sz w:val="18"/>
                <w:szCs w:val="18"/>
              </w:rPr>
              <w:t>0.1</w:t>
            </w:r>
            <w:r w:rsidR="23A21756" w:rsidRPr="408DDC25">
              <w:rPr>
                <w:sz w:val="18"/>
                <w:szCs w:val="18"/>
              </w:rPr>
              <w:t xml:space="preserve"> </w:t>
            </w:r>
          </w:p>
        </w:tc>
      </w:tr>
    </w:tbl>
    <w:p w14:paraId="1DF7917B" w14:textId="2B521F07" w:rsidR="00CE6502" w:rsidRDefault="00CE6502" w:rsidP="003B43AD">
      <w:pPr>
        <w:pStyle w:val="Paragraphtext"/>
      </w:pPr>
    </w:p>
    <w:p w14:paraId="3D94D35B" w14:textId="4A21CDC2" w:rsidR="00CE6502" w:rsidRDefault="00C0162B" w:rsidP="00C0162B">
      <w:pPr>
        <w:pStyle w:val="Heading1"/>
        <w:numPr>
          <w:ilvl w:val="0"/>
          <w:numId w:val="21"/>
        </w:numPr>
      </w:pPr>
      <w:r>
        <w:t xml:space="preserve">Purpose of This </w:t>
      </w:r>
      <w:r w:rsidR="00F24938">
        <w:t>Paper</w:t>
      </w:r>
    </w:p>
    <w:p w14:paraId="117D2254" w14:textId="1A2031FB" w:rsidR="00CE6502" w:rsidRPr="00CE6502" w:rsidRDefault="00C0162B" w:rsidP="003D2D88">
      <w:pPr>
        <w:pStyle w:val="Paragraphtext"/>
      </w:pPr>
      <w:r w:rsidRPr="408DDC25">
        <w:rPr>
          <w:sz w:val="22"/>
          <w:szCs w:val="22"/>
        </w:rPr>
        <w:t xml:space="preserve">This </w:t>
      </w:r>
      <w:r w:rsidR="00F24938" w:rsidRPr="408DDC25">
        <w:rPr>
          <w:sz w:val="22"/>
          <w:szCs w:val="22"/>
        </w:rPr>
        <w:t xml:space="preserve">methodology paper outlines the rules and methods that have been applied in developing the four Power BI dashboards that contain </w:t>
      </w:r>
      <w:r w:rsidR="00F24938" w:rsidRPr="408DDC25">
        <w:rPr>
          <w:i/>
          <w:iCs/>
          <w:sz w:val="22"/>
          <w:szCs w:val="22"/>
        </w:rPr>
        <w:t>A</w:t>
      </w:r>
      <w:r w:rsidR="07EBF36B" w:rsidRPr="408DDC25">
        <w:rPr>
          <w:i/>
          <w:iCs/>
          <w:sz w:val="22"/>
          <w:szCs w:val="22"/>
        </w:rPr>
        <w:t>ustralian Immunisation Registe</w:t>
      </w:r>
      <w:r w:rsidR="07EBF36B" w:rsidRPr="408DDC25">
        <w:rPr>
          <w:sz w:val="22"/>
          <w:szCs w:val="22"/>
        </w:rPr>
        <w:t>r (A</w:t>
      </w:r>
      <w:r w:rsidR="00F24938" w:rsidRPr="408DDC25">
        <w:rPr>
          <w:sz w:val="22"/>
          <w:szCs w:val="22"/>
        </w:rPr>
        <w:t>IR</w:t>
      </w:r>
      <w:r w:rsidR="537C403B" w:rsidRPr="408DDC25">
        <w:rPr>
          <w:sz w:val="22"/>
          <w:szCs w:val="22"/>
        </w:rPr>
        <w:t xml:space="preserve">) </w:t>
      </w:r>
      <w:r w:rsidR="00F24938" w:rsidRPr="408DDC25">
        <w:rPr>
          <w:sz w:val="22"/>
          <w:szCs w:val="22"/>
        </w:rPr>
        <w:t xml:space="preserve">information. The paper is broken into two sections; the first contains global definitions and rules that have been applied to each dashboard, while the second contains rules and methods that are specific to individual dashboards. </w:t>
      </w:r>
    </w:p>
    <w:p w14:paraId="74BFB1BE" w14:textId="05342CCE" w:rsidR="00C0162B" w:rsidRDefault="00F24938" w:rsidP="00C0162B">
      <w:pPr>
        <w:pStyle w:val="Heading1"/>
        <w:numPr>
          <w:ilvl w:val="0"/>
          <w:numId w:val="21"/>
        </w:numPr>
      </w:pPr>
      <w:r>
        <w:t>Global Definitions</w:t>
      </w:r>
      <w:r w:rsidR="00E07C8C">
        <w:t>, Rules and Methods</w:t>
      </w:r>
    </w:p>
    <w:p w14:paraId="604F8C03" w14:textId="7482D0BB" w:rsidR="00D1206E" w:rsidRDefault="00E07C8C" w:rsidP="00D1206E">
      <w:pPr>
        <w:pStyle w:val="Heading4"/>
        <w:rPr>
          <w:b w:val="0"/>
          <w:bCs w:val="0"/>
          <w:i w:val="0"/>
          <w:color w:val="000000" w:themeColor="text1"/>
          <w:sz w:val="21"/>
          <w:szCs w:val="24"/>
        </w:rPr>
      </w:pPr>
      <w:r>
        <w:rPr>
          <w:b w:val="0"/>
          <w:bCs w:val="0"/>
          <w:i w:val="0"/>
          <w:color w:val="000000" w:themeColor="text1"/>
          <w:sz w:val="21"/>
          <w:szCs w:val="24"/>
        </w:rPr>
        <w:t xml:space="preserve">This section discusses methods, definitions and limitations that apply to all four of the Power BI dashboards. </w:t>
      </w:r>
    </w:p>
    <w:p w14:paraId="1BD3F9F3" w14:textId="4D933B27" w:rsidR="0061798A" w:rsidRDefault="0061798A" w:rsidP="0061798A">
      <w:pPr>
        <w:pStyle w:val="Heading2"/>
      </w:pPr>
      <w:r>
        <w:t>3.1 Definitions</w:t>
      </w:r>
    </w:p>
    <w:p w14:paraId="0313D66B" w14:textId="4775368A" w:rsidR="00E74C51" w:rsidRDefault="00E74C51" w:rsidP="00E74C51">
      <w:pPr>
        <w:pStyle w:val="Heading3"/>
      </w:pPr>
      <w:r>
        <w:t>Gender</w:t>
      </w:r>
    </w:p>
    <w:p w14:paraId="017A98BD" w14:textId="5CF99AE0" w:rsidR="0061798A" w:rsidRDefault="0061798A" w:rsidP="408DDC25">
      <w:pPr>
        <w:spacing w:after="200" w:line="259" w:lineRule="auto"/>
      </w:pPr>
      <w:r w:rsidRPr="408DDC25">
        <w:rPr>
          <w:b/>
          <w:bCs/>
        </w:rPr>
        <w:t xml:space="preserve">Gender </w:t>
      </w:r>
      <w:r>
        <w:t>refers</w:t>
      </w:r>
      <w:r w:rsidRPr="408DDC25">
        <w:rPr>
          <w:b/>
          <w:bCs/>
        </w:rPr>
        <w:t xml:space="preserve"> </w:t>
      </w:r>
      <w:r>
        <w:t>to the</w:t>
      </w:r>
      <w:r w:rsidRPr="408DDC25">
        <w:rPr>
          <w:b/>
          <w:bCs/>
        </w:rPr>
        <w:t xml:space="preserve"> </w:t>
      </w:r>
      <w:r>
        <w:t xml:space="preserve">response an individual or provider has </w:t>
      </w:r>
      <w:r w:rsidR="513553E9">
        <w:t>recorded</w:t>
      </w:r>
      <w:r>
        <w:t xml:space="preserve"> in the Australian Immunisation Register. Gender has been broken into three categories; male, female and non-binary</w:t>
      </w:r>
      <w:r w:rsidR="1D7218E0">
        <w:t>.</w:t>
      </w:r>
    </w:p>
    <w:p w14:paraId="5BAC1185" w14:textId="5F01F8C6" w:rsidR="00E74C51" w:rsidRDefault="00E74C51" w:rsidP="00E74C51">
      <w:pPr>
        <w:pStyle w:val="Heading3"/>
      </w:pPr>
      <w:r>
        <w:t>First Nation</w:t>
      </w:r>
      <w:r w:rsidR="00F57461">
        <w:t>s</w:t>
      </w:r>
      <w:r>
        <w:t xml:space="preserve"> Status</w:t>
      </w:r>
    </w:p>
    <w:p w14:paraId="2273809B" w14:textId="6F7462DF" w:rsidR="0061798A" w:rsidRDefault="0061798A" w:rsidP="0061798A">
      <w:pPr>
        <w:spacing w:after="200"/>
        <w:rPr>
          <w:b/>
          <w:bCs/>
        </w:rPr>
      </w:pPr>
      <w:r w:rsidRPr="00E05C6A">
        <w:rPr>
          <w:b/>
          <w:bCs/>
        </w:rPr>
        <w:t>First Nation</w:t>
      </w:r>
      <w:r w:rsidR="00F57461">
        <w:rPr>
          <w:b/>
          <w:bCs/>
        </w:rPr>
        <w:t>s</w:t>
      </w:r>
      <w:r>
        <w:t xml:space="preserve"> refers to individuals in the Australian Immunisation Register which have an answer of “Y” on the indigenous indicator. Individuals with no entry or those with an answer of “N” are defined as non-First Nation in the dashboards.</w:t>
      </w:r>
    </w:p>
    <w:p w14:paraId="7671B1B2" w14:textId="489732DD" w:rsidR="00E74C51" w:rsidRDefault="00E74C51" w:rsidP="00E74C51">
      <w:pPr>
        <w:pStyle w:val="Heading3"/>
      </w:pPr>
      <w:r>
        <w:t>Location</w:t>
      </w:r>
    </w:p>
    <w:p w14:paraId="60F3B959" w14:textId="46BA2AE4" w:rsidR="00F64A84" w:rsidRDefault="00E74C51" w:rsidP="00E74C51">
      <w:pPr>
        <w:spacing w:after="200"/>
      </w:pPr>
      <w:r w:rsidRPr="002F0D1F">
        <w:rPr>
          <w:b/>
          <w:bCs/>
        </w:rPr>
        <w:t>Location</w:t>
      </w:r>
      <w:r w:rsidRPr="002F0D1F">
        <w:t xml:space="preserve"> refers to </w:t>
      </w:r>
      <w:r>
        <w:t xml:space="preserve">either the state or </w:t>
      </w:r>
      <w:r w:rsidR="000E4834">
        <w:t>st</w:t>
      </w:r>
      <w:r>
        <w:t>atistica</w:t>
      </w:r>
      <w:r w:rsidR="000E4834">
        <w:t>l</w:t>
      </w:r>
      <w:r>
        <w:t xml:space="preserve"> </w:t>
      </w:r>
      <w:r w:rsidR="000E4834">
        <w:t>a</w:t>
      </w:r>
      <w:r>
        <w:t>rea level 3</w:t>
      </w:r>
      <w:r w:rsidR="000E4834">
        <w:t xml:space="preserve"> (SA3)</w:t>
      </w:r>
      <w:r>
        <w:t xml:space="preserve"> that an individual is assigned based on their </w:t>
      </w:r>
      <w:r w:rsidRPr="002F0D1F">
        <w:t>Medicare address</w:t>
      </w:r>
      <w:r w:rsidR="00F64A84">
        <w:t>. The location of an individual is determined from their latest Medicare record (see definition below in section 3.2).</w:t>
      </w:r>
    </w:p>
    <w:p w14:paraId="1111E0E8" w14:textId="2D3EF787" w:rsidR="00E74C51" w:rsidRDefault="00F64A84" w:rsidP="408DDC25">
      <w:pPr>
        <w:spacing w:after="200" w:line="259" w:lineRule="auto"/>
      </w:pPr>
      <w:r>
        <w:t>To determine the state or SA3 of an individual, t</w:t>
      </w:r>
      <w:r w:rsidR="00E74C51">
        <w:t xml:space="preserve">he Medicare address of </w:t>
      </w:r>
      <w:r>
        <w:t xml:space="preserve">a </w:t>
      </w:r>
      <w:r w:rsidR="00E74C51">
        <w:t xml:space="preserve">record is translated into latitude and longitude coordinates. These latitude and longitude coordinates are then assigned into mesh blocks that match the ABS </w:t>
      </w:r>
      <w:r w:rsidR="1349DEBE">
        <w:t>m</w:t>
      </w:r>
      <w:r w:rsidR="00E74C51">
        <w:t>esh block definitions. Once mesh blocks for individuals are determined, the mesh blocks are linked to different geospatial levels (SA3, State and Territory, PHNs and more)</w:t>
      </w:r>
      <w:r>
        <w:t>.</w:t>
      </w:r>
    </w:p>
    <w:p w14:paraId="466037F5" w14:textId="1C9C4600" w:rsidR="00F64A84" w:rsidRPr="00E546CA" w:rsidRDefault="00F64A84" w:rsidP="00F64A84">
      <w:pPr>
        <w:spacing w:after="200"/>
        <w:rPr>
          <w:b/>
          <w:bCs/>
        </w:rPr>
      </w:pPr>
      <w:r>
        <w:t>The national total will be larger than the sum of the states, as some people reside in other territories, and some people's address</w:t>
      </w:r>
      <w:r w:rsidR="3BBC9C6F">
        <w:t xml:space="preserve"> details</w:t>
      </w:r>
      <w:r>
        <w:t xml:space="preserve"> fail to geocode to a state</w:t>
      </w:r>
      <w:r w:rsidR="0C504160">
        <w:t xml:space="preserve"> or SA3</w:t>
      </w:r>
      <w:r>
        <w:t>.</w:t>
      </w:r>
      <w:r w:rsidR="6F8A95AD">
        <w:t xml:space="preserve"> </w:t>
      </w:r>
    </w:p>
    <w:p w14:paraId="0BB553E5" w14:textId="77777777" w:rsidR="00F64A84" w:rsidRDefault="00F64A84" w:rsidP="00E74C51">
      <w:pPr>
        <w:spacing w:after="200"/>
      </w:pPr>
    </w:p>
    <w:p w14:paraId="64647219" w14:textId="537C47FC" w:rsidR="00F64A84" w:rsidRDefault="00F64A84" w:rsidP="00F64A84">
      <w:pPr>
        <w:pStyle w:val="Heading3"/>
      </w:pPr>
      <w:r>
        <w:lastRenderedPageBreak/>
        <w:t>Vaccination Status</w:t>
      </w:r>
    </w:p>
    <w:p w14:paraId="196F7DA4" w14:textId="77777777" w:rsidR="00F64A84" w:rsidRDefault="00F64A84" w:rsidP="00F64A84">
      <w:pPr>
        <w:spacing w:after="200"/>
      </w:pPr>
      <w:r w:rsidRPr="00F64A84">
        <w:t>Vaccin</w:t>
      </w:r>
      <w:r>
        <w:t xml:space="preserve">ation </w:t>
      </w:r>
      <w:r w:rsidRPr="00F64A84">
        <w:t>Status</w:t>
      </w:r>
      <w:r>
        <w:rPr>
          <w:b/>
          <w:bCs/>
        </w:rPr>
        <w:t xml:space="preserve"> </w:t>
      </w:r>
      <w:r w:rsidRPr="00B33E4C">
        <w:t xml:space="preserve">refers to the status </w:t>
      </w:r>
      <w:r>
        <w:t xml:space="preserve">imposed by Services Australia after a record has been entered into </w:t>
      </w:r>
      <w:r w:rsidRPr="00B33E4C">
        <w:t>the Australian Immunisation Register by a provider.</w:t>
      </w:r>
      <w:r>
        <w:t xml:space="preserve"> Vaccination statuses are used to identify errors in the entry of records, remove duplicate records and seek further clarification from providers.</w:t>
      </w:r>
    </w:p>
    <w:p w14:paraId="4C80CD2A" w14:textId="0619C1AE" w:rsidR="00F64A84" w:rsidRDefault="00F64A84" w:rsidP="00F64A84">
      <w:pPr>
        <w:spacing w:after="200"/>
      </w:pPr>
      <w:r w:rsidRPr="00B33E4C">
        <w:t>Each of the four dashboards only considers vaccinations that have been approved by Services Australia. The statuses included in the</w:t>
      </w:r>
      <w:r>
        <w:t>se</w:t>
      </w:r>
      <w:r w:rsidRPr="00B33E4C">
        <w:t xml:space="preserve"> dashboard</w:t>
      </w:r>
      <w:r>
        <w:t>s</w:t>
      </w:r>
      <w:r w:rsidRPr="00B33E4C">
        <w:t xml:space="preserve"> are </w:t>
      </w:r>
      <w:r>
        <w:t>A (Accepted), C (requires clarification), or Y (has been clarified).</w:t>
      </w:r>
    </w:p>
    <w:p w14:paraId="6A029E2A" w14:textId="21146E82" w:rsidR="0061798A" w:rsidRPr="00F64A84" w:rsidRDefault="00F64A84" w:rsidP="00F64A84">
      <w:pPr>
        <w:pStyle w:val="Heading3"/>
      </w:pPr>
      <w:r>
        <w:t>Provider Type</w:t>
      </w:r>
    </w:p>
    <w:p w14:paraId="1B2DFBF0" w14:textId="45B30FB7" w:rsidR="00F64A84" w:rsidRDefault="00F64A84" w:rsidP="408DDC25">
      <w:pPr>
        <w:spacing w:after="200" w:line="259" w:lineRule="auto"/>
      </w:pPr>
      <w:r>
        <w:t xml:space="preserve">A provider is any eligible health professional </w:t>
      </w:r>
      <w:r w:rsidR="1D693A0C">
        <w:t>or</w:t>
      </w:r>
      <w:r>
        <w:t xml:space="preserve"> organisations who can register with the AIR. The AIR categorises </w:t>
      </w:r>
      <w:bookmarkStart w:id="0" w:name="_Int_mGR7h8sE"/>
      <w:r w:rsidR="14FDE513">
        <w:t>eac</w:t>
      </w:r>
      <w:r w:rsidR="647FFA57">
        <w:t>h individual</w:t>
      </w:r>
      <w:bookmarkEnd w:id="0"/>
      <w:r w:rsidR="647FFA57">
        <w:t xml:space="preserve"> or business who register to provide immunisations a provider type</w:t>
      </w:r>
      <w:r w:rsidR="3681EE01">
        <w:t xml:space="preserve"> code. </w:t>
      </w:r>
      <w:r w:rsidR="14FDE513">
        <w:t xml:space="preserve"> </w:t>
      </w:r>
      <w:r>
        <w:t>These codes while useful do not provide full insight into the setting in which vaccinations are administered.</w:t>
      </w:r>
    </w:p>
    <w:p w14:paraId="5442E992" w14:textId="33944A9E" w:rsidR="0061798A" w:rsidRDefault="00F64A84" w:rsidP="0061798A">
      <w:pPr>
        <w:spacing w:after="200"/>
      </w:pPr>
      <w:r>
        <w:t xml:space="preserve">Provider categories have been developed in these dashboards to </w:t>
      </w:r>
      <w:r w:rsidR="004B179E">
        <w:t xml:space="preserve">summarise the setting in which a vaccination was administered. The following table summarises which provider type codes were included in each provider category.  </w:t>
      </w:r>
    </w:p>
    <w:p w14:paraId="1283A5B3" w14:textId="35D85DE9" w:rsidR="004B179E" w:rsidRPr="004B179E" w:rsidRDefault="004B179E" w:rsidP="004B179E">
      <w:pPr>
        <w:pStyle w:val="Tabletextleft"/>
      </w:pPr>
      <w:r>
        <w:t>Table 1: Categorisation of AIR Providers used in Power BI Dashboards</w:t>
      </w:r>
    </w:p>
    <w:tbl>
      <w:tblPr>
        <w:tblStyle w:val="TableGrid"/>
        <w:tblW w:w="8259" w:type="dxa"/>
        <w:tblLook w:val="04A0" w:firstRow="1" w:lastRow="0" w:firstColumn="1" w:lastColumn="0" w:noHBand="0" w:noVBand="1"/>
      </w:tblPr>
      <w:tblGrid>
        <w:gridCol w:w="2753"/>
        <w:gridCol w:w="2753"/>
        <w:gridCol w:w="2753"/>
      </w:tblGrid>
      <w:tr w:rsidR="0061798A" w14:paraId="06EAB178" w14:textId="77777777" w:rsidTr="3DD08EB8">
        <w:trPr>
          <w:trHeight w:val="300"/>
        </w:trPr>
        <w:tc>
          <w:tcPr>
            <w:tcW w:w="2753" w:type="dxa"/>
          </w:tcPr>
          <w:p w14:paraId="2607747C" w14:textId="77777777" w:rsidR="0061798A" w:rsidRPr="008D01CE" w:rsidRDefault="0061798A" w:rsidP="005F05A1">
            <w:pPr>
              <w:spacing w:after="200"/>
              <w:rPr>
                <w:b/>
                <w:bCs/>
              </w:rPr>
            </w:pPr>
            <w:r w:rsidRPr="008D01CE">
              <w:rPr>
                <w:b/>
                <w:bCs/>
              </w:rPr>
              <w:t>Provider Category (Dashboards)</w:t>
            </w:r>
          </w:p>
        </w:tc>
        <w:tc>
          <w:tcPr>
            <w:tcW w:w="2753" w:type="dxa"/>
          </w:tcPr>
          <w:p w14:paraId="070C88D9" w14:textId="77777777" w:rsidR="0061798A" w:rsidRPr="008D01CE" w:rsidRDefault="0061798A" w:rsidP="005F05A1">
            <w:pPr>
              <w:spacing w:after="200"/>
              <w:rPr>
                <w:b/>
                <w:bCs/>
              </w:rPr>
            </w:pPr>
            <w:r w:rsidRPr="008D01CE">
              <w:rPr>
                <w:b/>
                <w:bCs/>
              </w:rPr>
              <w:t>Provider Type Code (AIR)</w:t>
            </w:r>
          </w:p>
        </w:tc>
        <w:tc>
          <w:tcPr>
            <w:tcW w:w="2753" w:type="dxa"/>
          </w:tcPr>
          <w:p w14:paraId="518D8D2C" w14:textId="198E08BA" w:rsidR="238BDF2A" w:rsidRDefault="238BDF2A" w:rsidP="3DD08EB8">
            <w:pPr>
              <w:rPr>
                <w:b/>
                <w:bCs/>
              </w:rPr>
            </w:pPr>
            <w:r w:rsidRPr="3DD08EB8">
              <w:rPr>
                <w:b/>
                <w:bCs/>
              </w:rPr>
              <w:t xml:space="preserve">Provider Type Name </w:t>
            </w:r>
          </w:p>
        </w:tc>
      </w:tr>
      <w:tr w:rsidR="0061798A" w14:paraId="0E60D3BB" w14:textId="77777777" w:rsidTr="3DD08EB8">
        <w:trPr>
          <w:trHeight w:val="300"/>
        </w:trPr>
        <w:tc>
          <w:tcPr>
            <w:tcW w:w="2753" w:type="dxa"/>
          </w:tcPr>
          <w:p w14:paraId="74A70AC1" w14:textId="77777777" w:rsidR="0061798A" w:rsidRDefault="0061798A" w:rsidP="005F05A1">
            <w:pPr>
              <w:spacing w:after="200"/>
            </w:pPr>
            <w:r>
              <w:t>GP</w:t>
            </w:r>
          </w:p>
        </w:tc>
        <w:tc>
          <w:tcPr>
            <w:tcW w:w="2753" w:type="dxa"/>
          </w:tcPr>
          <w:p w14:paraId="475476DD" w14:textId="77777777" w:rsidR="0061798A" w:rsidRDefault="0061798A" w:rsidP="005F05A1">
            <w:pPr>
              <w:spacing w:after="200"/>
            </w:pPr>
            <w:r>
              <w:t xml:space="preserve">G, L </w:t>
            </w:r>
          </w:p>
        </w:tc>
        <w:tc>
          <w:tcPr>
            <w:tcW w:w="2753" w:type="dxa"/>
          </w:tcPr>
          <w:p w14:paraId="2C3723C9" w14:textId="7465B031" w:rsidR="132AA01A" w:rsidRDefault="132AA01A" w:rsidP="3DD08EB8">
            <w:r>
              <w:t xml:space="preserve">General Practice, Medical General </w:t>
            </w:r>
            <w:r w:rsidR="00666773">
              <w:t>Practitioner</w:t>
            </w:r>
          </w:p>
        </w:tc>
      </w:tr>
      <w:tr w:rsidR="0061798A" w14:paraId="583063BC" w14:textId="77777777" w:rsidTr="3DD08EB8">
        <w:trPr>
          <w:trHeight w:val="300"/>
        </w:trPr>
        <w:tc>
          <w:tcPr>
            <w:tcW w:w="2753" w:type="dxa"/>
          </w:tcPr>
          <w:p w14:paraId="33A75F70" w14:textId="77777777" w:rsidR="0061798A" w:rsidRDefault="0061798A" w:rsidP="005F05A1">
            <w:pPr>
              <w:spacing w:after="200"/>
            </w:pPr>
            <w:r>
              <w:t>Pharmacy</w:t>
            </w:r>
          </w:p>
        </w:tc>
        <w:tc>
          <w:tcPr>
            <w:tcW w:w="2753" w:type="dxa"/>
          </w:tcPr>
          <w:p w14:paraId="37050F80" w14:textId="77777777" w:rsidR="0061798A" w:rsidRDefault="0061798A" w:rsidP="005F05A1">
            <w:pPr>
              <w:spacing w:after="200"/>
            </w:pPr>
            <w:r>
              <w:t>U</w:t>
            </w:r>
          </w:p>
        </w:tc>
        <w:tc>
          <w:tcPr>
            <w:tcW w:w="2753" w:type="dxa"/>
          </w:tcPr>
          <w:p w14:paraId="71A10F77" w14:textId="42CAD3A3" w:rsidR="31A00284" w:rsidRDefault="31A00284" w:rsidP="3DD08EB8">
            <w:r>
              <w:t>Pharmacy</w:t>
            </w:r>
          </w:p>
        </w:tc>
      </w:tr>
      <w:tr w:rsidR="0061798A" w14:paraId="1D49EC6E" w14:textId="77777777" w:rsidTr="3DD08EB8">
        <w:trPr>
          <w:trHeight w:val="300"/>
        </w:trPr>
        <w:tc>
          <w:tcPr>
            <w:tcW w:w="2753" w:type="dxa"/>
          </w:tcPr>
          <w:p w14:paraId="536F1304" w14:textId="77777777" w:rsidR="0061798A" w:rsidRDefault="0061798A" w:rsidP="005F05A1">
            <w:pPr>
              <w:spacing w:after="200"/>
            </w:pPr>
            <w:r>
              <w:t>Private Hospital</w:t>
            </w:r>
          </w:p>
        </w:tc>
        <w:tc>
          <w:tcPr>
            <w:tcW w:w="2753" w:type="dxa"/>
          </w:tcPr>
          <w:p w14:paraId="6739539F" w14:textId="77777777" w:rsidR="0061798A" w:rsidRDefault="0061798A" w:rsidP="005F05A1">
            <w:pPr>
              <w:spacing w:after="200"/>
            </w:pPr>
            <w:r>
              <w:t>R</w:t>
            </w:r>
          </w:p>
        </w:tc>
        <w:tc>
          <w:tcPr>
            <w:tcW w:w="2753" w:type="dxa"/>
          </w:tcPr>
          <w:p w14:paraId="32E69447" w14:textId="7E770F4A" w:rsidR="55EBDD0A" w:rsidRDefault="55EBDD0A" w:rsidP="3DD08EB8">
            <w:r>
              <w:t>Private Hospital</w:t>
            </w:r>
          </w:p>
        </w:tc>
      </w:tr>
      <w:tr w:rsidR="0061798A" w14:paraId="22705317" w14:textId="77777777" w:rsidTr="3DD08EB8">
        <w:trPr>
          <w:trHeight w:val="300"/>
        </w:trPr>
        <w:tc>
          <w:tcPr>
            <w:tcW w:w="2753" w:type="dxa"/>
          </w:tcPr>
          <w:p w14:paraId="3800007E" w14:textId="77777777" w:rsidR="0061798A" w:rsidRDefault="0061798A" w:rsidP="005F05A1">
            <w:pPr>
              <w:spacing w:after="200"/>
            </w:pPr>
            <w:r>
              <w:t>Public Hospital</w:t>
            </w:r>
          </w:p>
        </w:tc>
        <w:tc>
          <w:tcPr>
            <w:tcW w:w="2753" w:type="dxa"/>
          </w:tcPr>
          <w:p w14:paraId="731FB504" w14:textId="77777777" w:rsidR="0061798A" w:rsidRDefault="0061798A" w:rsidP="005F05A1">
            <w:pPr>
              <w:spacing w:after="200"/>
            </w:pPr>
            <w:r>
              <w:t>P</w:t>
            </w:r>
          </w:p>
        </w:tc>
        <w:tc>
          <w:tcPr>
            <w:tcW w:w="2753" w:type="dxa"/>
          </w:tcPr>
          <w:p w14:paraId="2E9FCE1E" w14:textId="1BBEDEEA" w:rsidR="2AB68790" w:rsidRDefault="2AB68790" w:rsidP="3DD08EB8">
            <w:r>
              <w:t>Public Hospital</w:t>
            </w:r>
          </w:p>
        </w:tc>
      </w:tr>
      <w:tr w:rsidR="0061798A" w14:paraId="711B702E" w14:textId="77777777" w:rsidTr="3DD08EB8">
        <w:trPr>
          <w:trHeight w:val="300"/>
        </w:trPr>
        <w:tc>
          <w:tcPr>
            <w:tcW w:w="2753" w:type="dxa"/>
          </w:tcPr>
          <w:p w14:paraId="4A305DEA" w14:textId="77777777" w:rsidR="0061798A" w:rsidRDefault="0061798A" w:rsidP="005F05A1">
            <w:pPr>
              <w:spacing w:after="200"/>
            </w:pPr>
            <w:r>
              <w:t>State Health / PHU</w:t>
            </w:r>
          </w:p>
        </w:tc>
        <w:tc>
          <w:tcPr>
            <w:tcW w:w="2753" w:type="dxa"/>
          </w:tcPr>
          <w:p w14:paraId="3C8FBB91" w14:textId="77777777" w:rsidR="0061798A" w:rsidRDefault="0061798A" w:rsidP="005F05A1">
            <w:pPr>
              <w:spacing w:after="200"/>
            </w:pPr>
            <w:proofErr w:type="gramStart"/>
            <w:r>
              <w:t>D,Z</w:t>
            </w:r>
            <w:proofErr w:type="gramEnd"/>
          </w:p>
        </w:tc>
        <w:tc>
          <w:tcPr>
            <w:tcW w:w="2753" w:type="dxa"/>
          </w:tcPr>
          <w:p w14:paraId="4CA7892D" w14:textId="3B813C2F" w:rsidR="7764AED0" w:rsidRDefault="7764AED0" w:rsidP="3DD08EB8">
            <w:r>
              <w:t>State Health Department</w:t>
            </w:r>
          </w:p>
        </w:tc>
      </w:tr>
      <w:tr w:rsidR="0061798A" w14:paraId="4D5918DD" w14:textId="77777777" w:rsidTr="3DD08EB8">
        <w:trPr>
          <w:trHeight w:val="300"/>
        </w:trPr>
        <w:tc>
          <w:tcPr>
            <w:tcW w:w="2753" w:type="dxa"/>
          </w:tcPr>
          <w:p w14:paraId="44AB91FE" w14:textId="177E642E" w:rsidR="0061798A" w:rsidRDefault="004B179E" w:rsidP="005F05A1">
            <w:pPr>
              <w:spacing w:after="200"/>
            </w:pPr>
            <w:r>
              <w:t>Private</w:t>
            </w:r>
            <w:r w:rsidR="0061798A">
              <w:t xml:space="preserve"> Health Network</w:t>
            </w:r>
          </w:p>
        </w:tc>
        <w:tc>
          <w:tcPr>
            <w:tcW w:w="2753" w:type="dxa"/>
          </w:tcPr>
          <w:p w14:paraId="050C8BBA" w14:textId="77777777" w:rsidR="0061798A" w:rsidRDefault="0061798A" w:rsidP="005F05A1">
            <w:pPr>
              <w:spacing w:after="200"/>
            </w:pPr>
            <w:r>
              <w:t>E</w:t>
            </w:r>
          </w:p>
        </w:tc>
        <w:tc>
          <w:tcPr>
            <w:tcW w:w="2753" w:type="dxa"/>
          </w:tcPr>
          <w:p w14:paraId="1466C19E" w14:textId="1CF389C8" w:rsidR="151FC06C" w:rsidRDefault="151FC06C" w:rsidP="3DD08EB8">
            <w:r>
              <w:t>Private Health Network</w:t>
            </w:r>
          </w:p>
        </w:tc>
      </w:tr>
      <w:tr w:rsidR="0061798A" w14:paraId="0B08784A" w14:textId="77777777" w:rsidTr="3DD08EB8">
        <w:trPr>
          <w:trHeight w:val="300"/>
        </w:trPr>
        <w:tc>
          <w:tcPr>
            <w:tcW w:w="2753" w:type="dxa"/>
          </w:tcPr>
          <w:p w14:paraId="6E1BBC43" w14:textId="35BC2AB4" w:rsidR="0061798A" w:rsidRDefault="0061798A" w:rsidP="3DD08EB8">
            <w:pPr>
              <w:spacing w:after="200" w:line="259" w:lineRule="auto"/>
            </w:pPr>
            <w:r>
              <w:t>Nurse</w:t>
            </w:r>
            <w:r w:rsidR="5D33FEDE">
              <w:t>s</w:t>
            </w:r>
          </w:p>
        </w:tc>
        <w:tc>
          <w:tcPr>
            <w:tcW w:w="2753" w:type="dxa"/>
          </w:tcPr>
          <w:p w14:paraId="39123859" w14:textId="77777777" w:rsidR="0061798A" w:rsidRDefault="0061798A" w:rsidP="005F05A1">
            <w:pPr>
              <w:spacing w:after="200"/>
            </w:pPr>
            <w:r>
              <w:t>K, N, ANI</w:t>
            </w:r>
          </w:p>
        </w:tc>
        <w:tc>
          <w:tcPr>
            <w:tcW w:w="2753" w:type="dxa"/>
          </w:tcPr>
          <w:p w14:paraId="576F908A" w14:textId="5B273D11" w:rsidR="4215769A" w:rsidRDefault="4215769A" w:rsidP="3DD08EB8">
            <w:r>
              <w:t xml:space="preserve">Nurse </w:t>
            </w:r>
            <w:r w:rsidR="7930283E">
              <w:t>Practitioner</w:t>
            </w:r>
            <w:r>
              <w:t>, Community Nurse, Authorised Nurse Immuniser</w:t>
            </w:r>
          </w:p>
        </w:tc>
      </w:tr>
      <w:tr w:rsidR="0061798A" w14:paraId="48CBD979" w14:textId="77777777" w:rsidTr="3DD08EB8">
        <w:trPr>
          <w:trHeight w:val="300"/>
        </w:trPr>
        <w:tc>
          <w:tcPr>
            <w:tcW w:w="2753" w:type="dxa"/>
          </w:tcPr>
          <w:p w14:paraId="5EFB6D12" w14:textId="77777777" w:rsidR="0061798A" w:rsidRDefault="0061798A" w:rsidP="005F05A1">
            <w:pPr>
              <w:spacing w:after="200"/>
            </w:pPr>
            <w:r>
              <w:t>Council</w:t>
            </w:r>
          </w:p>
        </w:tc>
        <w:tc>
          <w:tcPr>
            <w:tcW w:w="2753" w:type="dxa"/>
          </w:tcPr>
          <w:p w14:paraId="6E944299" w14:textId="77777777" w:rsidR="0061798A" w:rsidRDefault="0061798A" w:rsidP="005F05A1">
            <w:pPr>
              <w:spacing w:after="200"/>
            </w:pPr>
            <w:r>
              <w:t>C</w:t>
            </w:r>
          </w:p>
        </w:tc>
        <w:tc>
          <w:tcPr>
            <w:tcW w:w="2753" w:type="dxa"/>
          </w:tcPr>
          <w:p w14:paraId="7263816F" w14:textId="6B96A882" w:rsidR="5CCC8B6B" w:rsidRDefault="5CCC8B6B" w:rsidP="3DD08EB8">
            <w:r>
              <w:t>Council</w:t>
            </w:r>
          </w:p>
        </w:tc>
      </w:tr>
      <w:tr w:rsidR="0061798A" w14:paraId="0FF8F3CD" w14:textId="77777777" w:rsidTr="3DD08EB8">
        <w:trPr>
          <w:trHeight w:val="300"/>
        </w:trPr>
        <w:tc>
          <w:tcPr>
            <w:tcW w:w="2753" w:type="dxa"/>
          </w:tcPr>
          <w:p w14:paraId="4F62D464" w14:textId="77777777" w:rsidR="0061798A" w:rsidRDefault="0061798A" w:rsidP="005F05A1">
            <w:pPr>
              <w:spacing w:after="200"/>
            </w:pPr>
            <w:r>
              <w:t>Community Health</w:t>
            </w:r>
          </w:p>
        </w:tc>
        <w:tc>
          <w:tcPr>
            <w:tcW w:w="2753" w:type="dxa"/>
          </w:tcPr>
          <w:p w14:paraId="1D7AED93" w14:textId="1D0BC32D" w:rsidR="0061798A" w:rsidRDefault="1E54B165" w:rsidP="005F05A1">
            <w:pPr>
              <w:spacing w:after="200"/>
            </w:pPr>
            <w:r>
              <w:t xml:space="preserve">N, </w:t>
            </w:r>
            <w:r w:rsidR="0061798A">
              <w:t>T</w:t>
            </w:r>
          </w:p>
        </w:tc>
        <w:tc>
          <w:tcPr>
            <w:tcW w:w="2753" w:type="dxa"/>
          </w:tcPr>
          <w:p w14:paraId="55F10BC6" w14:textId="6DD32B38" w:rsidR="102624ED" w:rsidRDefault="102624ED" w:rsidP="3DD08EB8">
            <w:pPr>
              <w:rPr>
                <w:rFonts w:eastAsia="Arial" w:cs="Arial"/>
                <w:szCs w:val="22"/>
              </w:rPr>
            </w:pPr>
            <w:r w:rsidRPr="0095162D">
              <w:t>Community Nurse, Community Health Centre</w:t>
            </w:r>
          </w:p>
        </w:tc>
      </w:tr>
      <w:tr w:rsidR="0061798A" w14:paraId="37019D60" w14:textId="77777777" w:rsidTr="3DD08EB8">
        <w:trPr>
          <w:trHeight w:val="300"/>
        </w:trPr>
        <w:tc>
          <w:tcPr>
            <w:tcW w:w="2753" w:type="dxa"/>
          </w:tcPr>
          <w:p w14:paraId="5CADB951" w14:textId="77777777" w:rsidR="0061798A" w:rsidRDefault="0061798A" w:rsidP="005F05A1">
            <w:pPr>
              <w:spacing w:after="200"/>
            </w:pPr>
            <w:r>
              <w:t>Aboriginal Health</w:t>
            </w:r>
          </w:p>
        </w:tc>
        <w:tc>
          <w:tcPr>
            <w:tcW w:w="2753" w:type="dxa"/>
          </w:tcPr>
          <w:p w14:paraId="0FAB3AF6" w14:textId="77777777" w:rsidR="0061798A" w:rsidRDefault="0061798A" w:rsidP="005F05A1">
            <w:pPr>
              <w:spacing w:after="200"/>
            </w:pPr>
            <w:proofErr w:type="gramStart"/>
            <w:r>
              <w:t>S ,</w:t>
            </w:r>
            <w:proofErr w:type="gramEnd"/>
            <w:r>
              <w:t xml:space="preserve"> W</w:t>
            </w:r>
          </w:p>
        </w:tc>
        <w:tc>
          <w:tcPr>
            <w:tcW w:w="2753" w:type="dxa"/>
          </w:tcPr>
          <w:p w14:paraId="16613B51" w14:textId="793369CA" w:rsidR="0A1DFDD7" w:rsidRDefault="0A1DFDD7" w:rsidP="3DD08EB8">
            <w:r>
              <w:t>Aboriginal Health Service, Aboriginal Health Worker</w:t>
            </w:r>
          </w:p>
        </w:tc>
      </w:tr>
      <w:tr w:rsidR="0061798A" w14:paraId="17B34B05" w14:textId="77777777" w:rsidTr="3DD08EB8">
        <w:trPr>
          <w:trHeight w:val="300"/>
        </w:trPr>
        <w:tc>
          <w:tcPr>
            <w:tcW w:w="2753" w:type="dxa"/>
          </w:tcPr>
          <w:p w14:paraId="53FF3395" w14:textId="77777777" w:rsidR="0061798A" w:rsidRDefault="0061798A" w:rsidP="005F05A1">
            <w:pPr>
              <w:spacing w:after="200"/>
            </w:pPr>
            <w:r>
              <w:t>Commercial</w:t>
            </w:r>
          </w:p>
        </w:tc>
        <w:tc>
          <w:tcPr>
            <w:tcW w:w="2753" w:type="dxa"/>
          </w:tcPr>
          <w:p w14:paraId="006AAE74" w14:textId="77777777" w:rsidR="0061798A" w:rsidRDefault="0061798A" w:rsidP="005F05A1">
            <w:pPr>
              <w:spacing w:after="200"/>
            </w:pPr>
            <w:r>
              <w:t>COMM</w:t>
            </w:r>
          </w:p>
        </w:tc>
        <w:tc>
          <w:tcPr>
            <w:tcW w:w="2753" w:type="dxa"/>
          </w:tcPr>
          <w:p w14:paraId="0F8AB9FF" w14:textId="1F7BFC29" w:rsidR="2E216CBD" w:rsidRDefault="2E216CBD" w:rsidP="3DD08EB8">
            <w:r>
              <w:t>Commercial</w:t>
            </w:r>
          </w:p>
        </w:tc>
      </w:tr>
      <w:tr w:rsidR="0061798A" w14:paraId="0251E041" w14:textId="77777777" w:rsidTr="3DD08EB8">
        <w:trPr>
          <w:trHeight w:val="300"/>
        </w:trPr>
        <w:tc>
          <w:tcPr>
            <w:tcW w:w="2753" w:type="dxa"/>
          </w:tcPr>
          <w:p w14:paraId="5451BF1B" w14:textId="77777777" w:rsidR="0061798A" w:rsidRDefault="0061798A" w:rsidP="005F05A1">
            <w:pPr>
              <w:spacing w:after="200"/>
            </w:pPr>
            <w:r>
              <w:t>Residential Care Facility</w:t>
            </w:r>
          </w:p>
        </w:tc>
        <w:tc>
          <w:tcPr>
            <w:tcW w:w="2753" w:type="dxa"/>
          </w:tcPr>
          <w:p w14:paraId="5F1D4E4E" w14:textId="77777777" w:rsidR="0061798A" w:rsidRDefault="0061798A" w:rsidP="005F05A1">
            <w:pPr>
              <w:spacing w:after="200"/>
            </w:pPr>
            <w:r>
              <w:t>RCF</w:t>
            </w:r>
          </w:p>
        </w:tc>
        <w:tc>
          <w:tcPr>
            <w:tcW w:w="2753" w:type="dxa"/>
          </w:tcPr>
          <w:p w14:paraId="3A7DE85F" w14:textId="63A9CFA1" w:rsidR="684BFBD8" w:rsidRDefault="684BFBD8" w:rsidP="3DD08EB8">
            <w:r>
              <w:t xml:space="preserve">Residential Care </w:t>
            </w:r>
            <w:r w:rsidR="71315D72">
              <w:t>Facility</w:t>
            </w:r>
          </w:p>
        </w:tc>
      </w:tr>
      <w:tr w:rsidR="0061798A" w14:paraId="3D4D2BAF" w14:textId="77777777" w:rsidTr="3DD08EB8">
        <w:trPr>
          <w:trHeight w:val="2415"/>
        </w:trPr>
        <w:tc>
          <w:tcPr>
            <w:tcW w:w="2753" w:type="dxa"/>
          </w:tcPr>
          <w:p w14:paraId="1A14CFE5" w14:textId="77777777" w:rsidR="0061798A" w:rsidRDefault="0061798A" w:rsidP="005F05A1">
            <w:pPr>
              <w:spacing w:after="200"/>
            </w:pPr>
            <w:r>
              <w:lastRenderedPageBreak/>
              <w:t>Other</w:t>
            </w:r>
          </w:p>
        </w:tc>
        <w:tc>
          <w:tcPr>
            <w:tcW w:w="2753" w:type="dxa"/>
          </w:tcPr>
          <w:p w14:paraId="2B78331A" w14:textId="77777777" w:rsidR="0061798A" w:rsidRDefault="0061798A" w:rsidP="005F05A1">
            <w:pPr>
              <w:spacing w:after="200"/>
            </w:pPr>
            <w:r>
              <w:t>A, B, F, H, J, M, V, Y</w:t>
            </w:r>
          </w:p>
        </w:tc>
        <w:tc>
          <w:tcPr>
            <w:tcW w:w="2753" w:type="dxa"/>
          </w:tcPr>
          <w:p w14:paraId="47B9A47A" w14:textId="62C2BB00" w:rsidR="7B12E3AD" w:rsidRPr="0095162D" w:rsidRDefault="7B12E3AD" w:rsidP="3DD08EB8">
            <w:pPr>
              <w:rPr>
                <w:rFonts w:eastAsia="Arial" w:cs="Arial"/>
                <w:szCs w:val="22"/>
              </w:rPr>
            </w:pPr>
            <w:r w:rsidRPr="0095162D">
              <w:rPr>
                <w:rFonts w:eastAsia="Arial" w:cs="Arial"/>
                <w:color w:val="000000" w:themeColor="text1"/>
                <w:szCs w:val="22"/>
              </w:rPr>
              <w:t xml:space="preserve">Division of General Practice, Information Requestor – Group, Flying Doctor Service, Medicare Local, Information Requestor - </w:t>
            </w:r>
            <w:proofErr w:type="gramStart"/>
            <w:r w:rsidRPr="0095162D">
              <w:rPr>
                <w:rFonts w:eastAsia="Arial" w:cs="Arial"/>
                <w:color w:val="000000" w:themeColor="text1"/>
                <w:szCs w:val="22"/>
              </w:rPr>
              <w:t>Individual ,</w:t>
            </w:r>
            <w:proofErr w:type="gramEnd"/>
            <w:r w:rsidRPr="0095162D">
              <w:rPr>
                <w:rFonts w:eastAsia="Arial" w:cs="Arial"/>
                <w:color w:val="000000" w:themeColor="text1"/>
                <w:szCs w:val="22"/>
              </w:rPr>
              <w:t xml:space="preserve"> </w:t>
            </w:r>
            <w:proofErr w:type="gramStart"/>
            <w:r w:rsidRPr="0095162D">
              <w:rPr>
                <w:rFonts w:eastAsia="Arial" w:cs="Arial"/>
                <w:color w:val="000000" w:themeColor="text1"/>
                <w:szCs w:val="22"/>
              </w:rPr>
              <w:t xml:space="preserve">Midwife,   </w:t>
            </w:r>
            <w:proofErr w:type="gramEnd"/>
            <w:r w:rsidRPr="0095162D">
              <w:rPr>
                <w:rFonts w:eastAsia="Arial" w:cs="Arial"/>
                <w:color w:val="000000" w:themeColor="text1"/>
                <w:szCs w:val="22"/>
              </w:rPr>
              <w:t xml:space="preserve">Vacant, </w:t>
            </w:r>
            <w:r w:rsidR="6696F224" w:rsidRPr="0095162D">
              <w:rPr>
                <w:rFonts w:eastAsia="Arial" w:cs="Arial"/>
                <w:color w:val="000000" w:themeColor="text1"/>
                <w:szCs w:val="22"/>
              </w:rPr>
              <w:t>Information Provider - Division of General Practice</w:t>
            </w:r>
          </w:p>
          <w:p w14:paraId="64194543" w14:textId="3E2C940E" w:rsidR="3DD08EB8" w:rsidRPr="0095162D" w:rsidRDefault="3DD08EB8" w:rsidP="3DD08EB8">
            <w:pPr>
              <w:rPr>
                <w:rFonts w:eastAsia="Arial" w:cs="Arial"/>
                <w:color w:val="000000" w:themeColor="text1"/>
                <w:szCs w:val="22"/>
              </w:rPr>
            </w:pPr>
          </w:p>
        </w:tc>
      </w:tr>
    </w:tbl>
    <w:p w14:paraId="5491BE1A" w14:textId="77777777" w:rsidR="0061798A" w:rsidRPr="00183A4A" w:rsidRDefault="0061798A" w:rsidP="0061798A">
      <w:pPr>
        <w:spacing w:after="200"/>
      </w:pPr>
      <w:r>
        <w:t xml:space="preserve"> </w:t>
      </w:r>
    </w:p>
    <w:p w14:paraId="2678A9D2" w14:textId="01FF96B0" w:rsidR="004B179E" w:rsidRPr="004B179E" w:rsidRDefault="004B179E" w:rsidP="004B179E">
      <w:pPr>
        <w:pStyle w:val="Heading3"/>
      </w:pPr>
      <w:r>
        <w:t>Overseas Vaccinations</w:t>
      </w:r>
    </w:p>
    <w:p w14:paraId="2EF06B0C" w14:textId="7CA7352D" w:rsidR="0061798A" w:rsidRDefault="0061798A" w:rsidP="0061798A">
      <w:pPr>
        <w:spacing w:after="200"/>
      </w:pPr>
      <w:r w:rsidRPr="408DDC25">
        <w:rPr>
          <w:b/>
          <w:bCs/>
        </w:rPr>
        <w:t xml:space="preserve">Overseas Vaccinations </w:t>
      </w:r>
      <w:r>
        <w:t xml:space="preserve">refers to vaccines that individuals have received overseas. Australian </w:t>
      </w:r>
      <w:r w:rsidR="784AEA8E">
        <w:t>p</w:t>
      </w:r>
      <w:r>
        <w:t>roviders can update records to historically input vaccinations that an individual may have received overseas.  They are identified by a provider code of A92009H.</w:t>
      </w:r>
    </w:p>
    <w:p w14:paraId="58476760" w14:textId="77777777" w:rsidR="0061798A" w:rsidRDefault="0061798A" w:rsidP="0061798A">
      <w:pPr>
        <w:spacing w:after="200"/>
      </w:pPr>
      <w:r w:rsidRPr="009B7142">
        <w:t xml:space="preserve">Overseas </w:t>
      </w:r>
      <w:r>
        <w:t>vaccinations</w:t>
      </w:r>
      <w:r w:rsidRPr="009B7142">
        <w:t xml:space="preserve"> are included in coverage calculations but are not included in doses administered or people vaccinated figures.</w:t>
      </w:r>
    </w:p>
    <w:p w14:paraId="7212A69C" w14:textId="38A105BA" w:rsidR="004B179E" w:rsidRPr="004B179E" w:rsidRDefault="004B179E" w:rsidP="004B179E">
      <w:pPr>
        <w:pStyle w:val="Heading3"/>
      </w:pPr>
      <w:r>
        <w:t>Historical Vaccinations</w:t>
      </w:r>
    </w:p>
    <w:p w14:paraId="4655BAAC" w14:textId="77777777" w:rsidR="0061798A" w:rsidRDefault="0061798A" w:rsidP="0061798A">
      <w:pPr>
        <w:spacing w:after="200"/>
      </w:pPr>
      <w:r>
        <w:rPr>
          <w:b/>
          <w:bCs/>
        </w:rPr>
        <w:t xml:space="preserve">Historical Vaccinations </w:t>
      </w:r>
      <w:r w:rsidRPr="00674BBD">
        <w:t>r</w:t>
      </w:r>
      <w:r w:rsidRPr="009B7142">
        <w:t xml:space="preserve">efers to </w:t>
      </w:r>
      <w:r>
        <w:t xml:space="preserve">cases where providers report vaccinations that were given in Australia by another vaccination provider. Historical vaccinations occur when records have not been inputted into the Australian Immunisation Register at the time of vaccination event. </w:t>
      </w:r>
      <w:r w:rsidRPr="009B7142">
        <w:t xml:space="preserve"> </w:t>
      </w:r>
      <w:r>
        <w:t xml:space="preserve">Historical vaccinations are </w:t>
      </w:r>
      <w:r w:rsidRPr="009B7142">
        <w:t xml:space="preserve">by a provider code of </w:t>
      </w:r>
      <w:r w:rsidRPr="00664A86">
        <w:t>A56801A</w:t>
      </w:r>
      <w:r>
        <w:t>.</w:t>
      </w:r>
      <w:r w:rsidRPr="00664A86">
        <w:t xml:space="preserve"> </w:t>
      </w:r>
    </w:p>
    <w:p w14:paraId="61E7286E" w14:textId="77777777" w:rsidR="0061798A" w:rsidRPr="007A6A75" w:rsidRDefault="0061798A" w:rsidP="0061798A">
      <w:pPr>
        <w:spacing w:after="200"/>
        <w:rPr>
          <w:b/>
          <w:bCs/>
        </w:rPr>
      </w:pPr>
      <w:r>
        <w:t xml:space="preserve">Historical vaccinations are included in coverage, people vaccinated and doses administered information.  </w:t>
      </w:r>
    </w:p>
    <w:p w14:paraId="6379E3D6" w14:textId="488981B7" w:rsidR="697422C4" w:rsidRDefault="697422C4" w:rsidP="3DD08EB8">
      <w:pPr>
        <w:pStyle w:val="Heading3"/>
        <w:spacing w:line="259" w:lineRule="auto"/>
      </w:pPr>
      <w:r>
        <w:t>Suppression Rules</w:t>
      </w:r>
    </w:p>
    <w:p w14:paraId="41D599C8" w14:textId="1C9553A8" w:rsidR="697422C4" w:rsidRDefault="697422C4" w:rsidP="3DD08EB8">
      <w:pPr>
        <w:pStyle w:val="Heading4"/>
      </w:pPr>
      <w:r w:rsidRPr="3DD08EB8">
        <w:rPr>
          <w:lang w:val="en-US"/>
        </w:rPr>
        <w:t>People Vaccinated and Doses Administered data</w:t>
      </w:r>
    </w:p>
    <w:p w14:paraId="6533A1C6" w14:textId="03571D06" w:rsidR="697422C4" w:rsidRPr="00666773" w:rsidRDefault="697422C4" w:rsidP="00666773">
      <w:pPr>
        <w:pStyle w:val="ListParagraph"/>
        <w:numPr>
          <w:ilvl w:val="0"/>
          <w:numId w:val="31"/>
        </w:numPr>
        <w:spacing w:after="200"/>
      </w:pPr>
      <w:r>
        <w:t>All figures have been rounded</w:t>
      </w:r>
      <w:r w:rsidR="3862503A">
        <w:t xml:space="preserve"> up</w:t>
      </w:r>
      <w:r>
        <w:t xml:space="preserve"> to the nearest 10</w:t>
      </w:r>
    </w:p>
    <w:p w14:paraId="4FA2A806" w14:textId="1112875B" w:rsidR="697422C4" w:rsidRDefault="697422C4" w:rsidP="3DD08EB8">
      <w:pPr>
        <w:pStyle w:val="Heading4"/>
      </w:pPr>
      <w:r w:rsidRPr="3DD08EB8">
        <w:t>Coverage data</w:t>
      </w:r>
    </w:p>
    <w:p w14:paraId="74CF0FDC" w14:textId="401BFC0B" w:rsidR="697422C4" w:rsidRPr="00666773" w:rsidRDefault="697422C4" w:rsidP="00666773">
      <w:pPr>
        <w:pStyle w:val="ListParagraph"/>
        <w:numPr>
          <w:ilvl w:val="0"/>
          <w:numId w:val="31"/>
        </w:numPr>
        <w:spacing w:after="200"/>
      </w:pPr>
      <w:r w:rsidRPr="00666773">
        <w:t>≥95.00 indicates that the number of individuals for that row is between 25 and 100, and the coverage rate for that population is equal to or greater than 95%.</w:t>
      </w:r>
    </w:p>
    <w:p w14:paraId="1F1CCD69" w14:textId="102C87C2" w:rsidR="697422C4" w:rsidRPr="00666773" w:rsidRDefault="697422C4" w:rsidP="00666773">
      <w:pPr>
        <w:pStyle w:val="ListParagraph"/>
        <w:numPr>
          <w:ilvl w:val="0"/>
          <w:numId w:val="31"/>
        </w:numPr>
        <w:spacing w:after="200"/>
      </w:pPr>
      <w:r w:rsidRPr="00666773">
        <w:t>≥99.00 indicates that the number of individuals for that row is greater than 100, and the coverage rate for that population is equal to or greater than 99%.</w:t>
      </w:r>
    </w:p>
    <w:p w14:paraId="5961FCC5" w14:textId="55D1DD9C" w:rsidR="697422C4" w:rsidRPr="00666773" w:rsidRDefault="697422C4" w:rsidP="00666773">
      <w:pPr>
        <w:pStyle w:val="ListParagraph"/>
        <w:numPr>
          <w:ilvl w:val="0"/>
          <w:numId w:val="31"/>
        </w:numPr>
        <w:spacing w:after="200"/>
      </w:pPr>
      <w:r w:rsidRPr="00666773">
        <w:t>≤5.00 indicates that the number of individuals for that row is between 25 and 100, and the coverage rate for that population is equal to or less than 5%</w:t>
      </w:r>
    </w:p>
    <w:p w14:paraId="3A0A6E3F" w14:textId="1740A04D" w:rsidR="697422C4" w:rsidRPr="00666773" w:rsidRDefault="697422C4" w:rsidP="00666773">
      <w:pPr>
        <w:pStyle w:val="ListParagraph"/>
        <w:numPr>
          <w:ilvl w:val="0"/>
          <w:numId w:val="31"/>
        </w:numPr>
        <w:spacing w:after="200"/>
      </w:pPr>
      <w:r w:rsidRPr="00666773">
        <w:t>≤1.00 indicates that the number of individuals for that row is greater than 100, and the coverage rate for the population is equal to or less than 1%.</w:t>
      </w:r>
    </w:p>
    <w:p w14:paraId="4F198C97" w14:textId="4AE67EF2" w:rsidR="3DD08EB8" w:rsidRDefault="3DD08EB8"/>
    <w:p w14:paraId="5F6B7B0C" w14:textId="3D62CB17" w:rsidR="3DD08EB8" w:rsidRDefault="3DD08EB8" w:rsidP="3DD08EB8">
      <w:pPr>
        <w:spacing w:after="200"/>
      </w:pPr>
    </w:p>
    <w:p w14:paraId="57F33552" w14:textId="5F54B202" w:rsidR="0061798A" w:rsidRPr="0061798A" w:rsidRDefault="0061798A" w:rsidP="0061798A">
      <w:pPr>
        <w:pStyle w:val="Heading2"/>
      </w:pPr>
      <w:r>
        <w:lastRenderedPageBreak/>
        <w:t>3.2 Methods</w:t>
      </w:r>
      <w:r w:rsidR="00E74C51">
        <w:t xml:space="preserve"> in Calculations</w:t>
      </w:r>
    </w:p>
    <w:p w14:paraId="4924809C" w14:textId="2A068BED" w:rsidR="002677AF" w:rsidRDefault="004A0E6A" w:rsidP="002677AF">
      <w:pPr>
        <w:pStyle w:val="Heading3"/>
      </w:pPr>
      <w:r>
        <w:t>NIP Schedule and Fully Vaccinated Definitions</w:t>
      </w:r>
    </w:p>
    <w:p w14:paraId="567E5F8D" w14:textId="02107175" w:rsidR="002677AF" w:rsidRDefault="004A0E6A" w:rsidP="408DDC25">
      <w:pPr>
        <w:spacing w:after="200"/>
      </w:pPr>
      <w:r>
        <w:t>The dashboards that have been developed reference a point in time copy of the National Immunisation Program</w:t>
      </w:r>
      <w:r w:rsidR="007678CE">
        <w:t xml:space="preserve"> (NIP)</w:t>
      </w:r>
      <w:r>
        <w:t xml:space="preserve">. The dashboards consider </w:t>
      </w:r>
      <w:r w:rsidR="00DF3E64">
        <w:t>vaccinations</w:t>
      </w:r>
      <w:r>
        <w:t xml:space="preserve"> that were added to the National </w:t>
      </w:r>
      <w:r w:rsidR="00DF3E64">
        <w:t>Immunisation</w:t>
      </w:r>
      <w:r>
        <w:t xml:space="preserve"> Program </w:t>
      </w:r>
      <w:r w:rsidR="00DF3E64">
        <w:t>by the 31/03/2026.</w:t>
      </w:r>
      <w:r w:rsidR="13A7688C">
        <w:t xml:space="preserve"> </w:t>
      </w:r>
    </w:p>
    <w:p w14:paraId="6D14BF3B" w14:textId="6C4CB9BC" w:rsidR="00E07C8C" w:rsidRDefault="00E07C8C" w:rsidP="00E07C8C">
      <w:pPr>
        <w:pStyle w:val="Heading3"/>
      </w:pPr>
      <w:r w:rsidRPr="003B21CA">
        <w:t>Changes in Historical Coverage</w:t>
      </w:r>
      <w:r>
        <w:t xml:space="preserve"> </w:t>
      </w:r>
    </w:p>
    <w:p w14:paraId="78AA2BB1" w14:textId="253B2329" w:rsidR="00E07C8C" w:rsidRDefault="00E07C8C" w:rsidP="00E07C8C">
      <w:pPr>
        <w:spacing w:after="200"/>
      </w:pPr>
      <w:r>
        <w:t xml:space="preserve">The Australian Immunisation Register is a dynamic database that actively updates an </w:t>
      </w:r>
      <w:r w:rsidR="00D25D43">
        <w:t>individual’s</w:t>
      </w:r>
      <w:r>
        <w:t xml:space="preserve"> personal details based on changes that occur in Medicare. Changes that are made can update doses administered/coverage rates that are reported in the AIR. </w:t>
      </w:r>
    </w:p>
    <w:p w14:paraId="4FF91B9D" w14:textId="5C5309C1" w:rsidR="00E07C8C" w:rsidRDefault="00E07C8C" w:rsidP="00E07C8C">
      <w:pPr>
        <w:spacing w:after="200"/>
      </w:pPr>
      <w:r>
        <w:t xml:space="preserve">For example, if an individual is vaccinated for Influenza in NSW in 2025 and then migrates to QLD in 2026 and updates their Medicare address, that individual’s vaccination for 2025 will then be assigned to QLD. Another key example of this issue is immigration. Individuals that immigrate to Australia and don’t have historic vaccinations recorded will be assigned as non-vaccinated and decrease previous years coverage rates. </w:t>
      </w:r>
    </w:p>
    <w:p w14:paraId="1279D0B6" w14:textId="7C34AC5C" w:rsidR="00E74C51" w:rsidRDefault="00E74C51" w:rsidP="00E07C8C">
      <w:pPr>
        <w:spacing w:after="200"/>
      </w:pPr>
      <w:r>
        <w:t xml:space="preserve">These dashboards make no attempt to capture point-in-time Australian Immunisation Register information. They allow for personal details of individuals to change retrospectively and thus allow for </w:t>
      </w:r>
      <w:r w:rsidR="002677AF">
        <w:t>changes in reported numbers</w:t>
      </w:r>
    </w:p>
    <w:p w14:paraId="02C1FA29" w14:textId="28D3E695" w:rsidR="00E74C51" w:rsidRDefault="00E74C51" w:rsidP="00E74C51">
      <w:pPr>
        <w:pStyle w:val="Heading3"/>
      </w:pPr>
      <w:r>
        <w:t xml:space="preserve">Latest Medicare Number </w:t>
      </w:r>
    </w:p>
    <w:p w14:paraId="0FA4D5D8" w14:textId="6202068B" w:rsidR="0061798A" w:rsidRDefault="0061798A" w:rsidP="0061798A">
      <w:pPr>
        <w:spacing w:after="200"/>
      </w:pPr>
      <w:r>
        <w:rPr>
          <w:b/>
          <w:bCs/>
        </w:rPr>
        <w:t xml:space="preserve">Latest Medicare Number </w:t>
      </w:r>
      <w:r w:rsidRPr="00A23F41">
        <w:t xml:space="preserve">refers to the method imposed to deduplicate individuals that may have multiple </w:t>
      </w:r>
      <w:r>
        <w:t>M</w:t>
      </w:r>
      <w:r w:rsidRPr="00A23F41">
        <w:t xml:space="preserve">edicare records and multiple entries in the Australian Immunisation Register Person table. </w:t>
      </w:r>
      <w:r>
        <w:t xml:space="preserve">The latest Medicare number is determined through a multistep process. </w:t>
      </w:r>
    </w:p>
    <w:p w14:paraId="41AC8082" w14:textId="786A261E" w:rsidR="0061798A" w:rsidRDefault="03A0FD23" w:rsidP="0061798A">
      <w:pPr>
        <w:pStyle w:val="ListParagraph"/>
        <w:numPr>
          <w:ilvl w:val="0"/>
          <w:numId w:val="29"/>
        </w:numPr>
        <w:spacing w:after="200" w:line="259" w:lineRule="auto"/>
      </w:pPr>
      <w:r>
        <w:t>Individuals'</w:t>
      </w:r>
      <w:r w:rsidR="3C89BEA3">
        <w:t xml:space="preserve"> entries are ranked such that the most recent end dated record is categorised as the most recent record. Most records most recent end date will be ‘9/9/9999’ unless the individuals Medicare identity has been ended (due to migration to another country, death, etc.) </w:t>
      </w:r>
    </w:p>
    <w:p w14:paraId="4E1A4C81" w14:textId="538B52A7" w:rsidR="00E74C51" w:rsidRDefault="0061798A" w:rsidP="0061798A">
      <w:pPr>
        <w:pStyle w:val="ListParagraph"/>
        <w:numPr>
          <w:ilvl w:val="0"/>
          <w:numId w:val="29"/>
        </w:numPr>
        <w:spacing w:after="200" w:line="259" w:lineRule="auto"/>
      </w:pPr>
      <w:r>
        <w:t xml:space="preserve">Some individuals have multiple records with the same end date. In this case, the largest </w:t>
      </w:r>
      <w:r w:rsidR="00666773">
        <w:t>Medicare</w:t>
      </w:r>
      <w:r>
        <w:t xml:space="preserve"> number is used as the most recent record. </w:t>
      </w:r>
    </w:p>
    <w:p w14:paraId="2B6E5518" w14:textId="5A7F558E" w:rsidR="0061798A" w:rsidRDefault="00E74C51" w:rsidP="00E74C51">
      <w:pPr>
        <w:spacing w:after="200" w:line="259" w:lineRule="auto"/>
      </w:pPr>
      <w:r>
        <w:t>The below table details the result of using this method to deduplicate records. Please note that all details in the table have been created for this explanation and do not relate to the identity of any individual in the AIR.</w:t>
      </w:r>
    </w:p>
    <w:p w14:paraId="67D49BCE" w14:textId="37D104B7" w:rsidR="0040350C" w:rsidRPr="00DF4205" w:rsidRDefault="0040350C" w:rsidP="0040350C">
      <w:pPr>
        <w:pStyle w:val="Tabletextleft"/>
      </w:pPr>
      <w:r>
        <w:t>Table 2: Latest Medicare Definition Example</w:t>
      </w:r>
    </w:p>
    <w:tbl>
      <w:tblPr>
        <w:tblStyle w:val="TableGrid"/>
        <w:tblW w:w="0" w:type="auto"/>
        <w:tblLook w:val="04A0" w:firstRow="1" w:lastRow="0" w:firstColumn="1" w:lastColumn="0" w:noHBand="0" w:noVBand="1"/>
      </w:tblPr>
      <w:tblGrid>
        <w:gridCol w:w="1555"/>
        <w:gridCol w:w="1701"/>
        <w:gridCol w:w="1984"/>
        <w:gridCol w:w="2636"/>
      </w:tblGrid>
      <w:tr w:rsidR="0061798A" w:rsidRPr="00DF4205" w14:paraId="41A38C57" w14:textId="77777777" w:rsidTr="3DD08EB8">
        <w:tc>
          <w:tcPr>
            <w:tcW w:w="1555" w:type="dxa"/>
            <w:hideMark/>
          </w:tcPr>
          <w:p w14:paraId="42C33F07" w14:textId="609A4E4F" w:rsidR="0061798A" w:rsidRPr="00DF4205" w:rsidRDefault="4F65DABF" w:rsidP="3DD08EB8">
            <w:pPr>
              <w:spacing w:after="200" w:line="259" w:lineRule="auto"/>
            </w:pPr>
            <w:r w:rsidRPr="3DD08EB8">
              <w:rPr>
                <w:b/>
                <w:bCs/>
              </w:rPr>
              <w:t>Person ID</w:t>
            </w:r>
          </w:p>
        </w:tc>
        <w:tc>
          <w:tcPr>
            <w:tcW w:w="1701" w:type="dxa"/>
            <w:hideMark/>
          </w:tcPr>
          <w:p w14:paraId="5755CA0E" w14:textId="68898A3A" w:rsidR="0061798A" w:rsidRPr="00DF4205" w:rsidRDefault="4F65DABF" w:rsidP="3DD08EB8">
            <w:pPr>
              <w:spacing w:after="200" w:line="259" w:lineRule="auto"/>
            </w:pPr>
            <w:r w:rsidRPr="3DD08EB8">
              <w:rPr>
                <w:b/>
                <w:bCs/>
              </w:rPr>
              <w:t>End Date</w:t>
            </w:r>
          </w:p>
        </w:tc>
        <w:tc>
          <w:tcPr>
            <w:tcW w:w="1984" w:type="dxa"/>
            <w:hideMark/>
          </w:tcPr>
          <w:p w14:paraId="1135651D" w14:textId="02A3AD14" w:rsidR="0061798A" w:rsidRPr="00DF4205" w:rsidRDefault="4F65DABF" w:rsidP="3DD08EB8">
            <w:pPr>
              <w:spacing w:after="200" w:line="259" w:lineRule="auto"/>
            </w:pPr>
            <w:r w:rsidRPr="3DD08EB8">
              <w:rPr>
                <w:b/>
                <w:bCs/>
              </w:rPr>
              <w:t>Medicare Card Number</w:t>
            </w:r>
          </w:p>
        </w:tc>
        <w:tc>
          <w:tcPr>
            <w:tcW w:w="2636" w:type="dxa"/>
            <w:hideMark/>
          </w:tcPr>
          <w:p w14:paraId="4874BDD6" w14:textId="32D3D5AD" w:rsidR="0061798A" w:rsidRPr="00DF4205" w:rsidRDefault="4F65DABF" w:rsidP="3DD08EB8">
            <w:pPr>
              <w:spacing w:after="200" w:line="259" w:lineRule="auto"/>
            </w:pPr>
            <w:r w:rsidRPr="3DD08EB8">
              <w:rPr>
                <w:b/>
                <w:bCs/>
              </w:rPr>
              <w:t>Latest Medicare Card Number Flag</w:t>
            </w:r>
          </w:p>
        </w:tc>
      </w:tr>
      <w:tr w:rsidR="0061798A" w:rsidRPr="00DF4205" w14:paraId="793F2F4F" w14:textId="77777777" w:rsidTr="3DD08EB8">
        <w:tc>
          <w:tcPr>
            <w:tcW w:w="1555" w:type="dxa"/>
            <w:hideMark/>
          </w:tcPr>
          <w:p w14:paraId="3A4BB807" w14:textId="77777777" w:rsidR="0061798A" w:rsidRPr="00DF4205" w:rsidRDefault="0061798A" w:rsidP="005F05A1">
            <w:pPr>
              <w:spacing w:after="200"/>
            </w:pPr>
            <w:r w:rsidRPr="00DF4205">
              <w:t>101</w:t>
            </w:r>
          </w:p>
        </w:tc>
        <w:tc>
          <w:tcPr>
            <w:tcW w:w="1701" w:type="dxa"/>
            <w:hideMark/>
          </w:tcPr>
          <w:p w14:paraId="05DFB6E5" w14:textId="77777777" w:rsidR="0061798A" w:rsidRPr="00DF4205" w:rsidRDefault="0061798A" w:rsidP="005F05A1">
            <w:pPr>
              <w:spacing w:after="200"/>
            </w:pPr>
            <w:r w:rsidRPr="00DF4205">
              <w:t>9999-09-09</w:t>
            </w:r>
          </w:p>
        </w:tc>
        <w:tc>
          <w:tcPr>
            <w:tcW w:w="1984" w:type="dxa"/>
            <w:hideMark/>
          </w:tcPr>
          <w:p w14:paraId="72781434" w14:textId="77777777" w:rsidR="0061798A" w:rsidRPr="00DF4205" w:rsidRDefault="0061798A" w:rsidP="005F05A1">
            <w:pPr>
              <w:spacing w:after="200"/>
            </w:pPr>
            <w:r w:rsidRPr="00DF4205">
              <w:t>C54321678</w:t>
            </w:r>
          </w:p>
        </w:tc>
        <w:tc>
          <w:tcPr>
            <w:tcW w:w="2636" w:type="dxa"/>
            <w:hideMark/>
          </w:tcPr>
          <w:p w14:paraId="03AC04C2" w14:textId="77777777" w:rsidR="0061798A" w:rsidRPr="00DF4205" w:rsidRDefault="0061798A" w:rsidP="005F05A1">
            <w:pPr>
              <w:spacing w:after="200"/>
            </w:pPr>
            <w:r w:rsidRPr="00DF4205">
              <w:t>Y</w:t>
            </w:r>
          </w:p>
        </w:tc>
      </w:tr>
      <w:tr w:rsidR="0061798A" w:rsidRPr="00DF4205" w14:paraId="3A92AF42" w14:textId="77777777" w:rsidTr="3DD08EB8">
        <w:tc>
          <w:tcPr>
            <w:tcW w:w="1555" w:type="dxa"/>
            <w:hideMark/>
          </w:tcPr>
          <w:p w14:paraId="0806E9AE" w14:textId="77777777" w:rsidR="0061798A" w:rsidRPr="00DF4205" w:rsidRDefault="0061798A" w:rsidP="005F05A1">
            <w:pPr>
              <w:spacing w:after="200"/>
            </w:pPr>
            <w:r w:rsidRPr="00DF4205">
              <w:t>101</w:t>
            </w:r>
          </w:p>
        </w:tc>
        <w:tc>
          <w:tcPr>
            <w:tcW w:w="1701" w:type="dxa"/>
            <w:hideMark/>
          </w:tcPr>
          <w:p w14:paraId="0C3F74FB" w14:textId="77777777" w:rsidR="0061798A" w:rsidRPr="00DF4205" w:rsidRDefault="0061798A" w:rsidP="005F05A1">
            <w:pPr>
              <w:spacing w:after="200"/>
            </w:pPr>
            <w:r w:rsidRPr="00DF4205">
              <w:t>9999-09-09</w:t>
            </w:r>
          </w:p>
        </w:tc>
        <w:tc>
          <w:tcPr>
            <w:tcW w:w="1984" w:type="dxa"/>
            <w:hideMark/>
          </w:tcPr>
          <w:p w14:paraId="79778092" w14:textId="77777777" w:rsidR="0061798A" w:rsidRPr="00DF4205" w:rsidRDefault="0061798A" w:rsidP="005F05A1">
            <w:pPr>
              <w:spacing w:after="200"/>
            </w:pPr>
            <w:r w:rsidRPr="00DF4205">
              <w:t>A12345678</w:t>
            </w:r>
          </w:p>
        </w:tc>
        <w:tc>
          <w:tcPr>
            <w:tcW w:w="2636" w:type="dxa"/>
            <w:hideMark/>
          </w:tcPr>
          <w:p w14:paraId="788C5480" w14:textId="77777777" w:rsidR="0061798A" w:rsidRPr="00DF4205" w:rsidRDefault="0061798A" w:rsidP="005F05A1">
            <w:pPr>
              <w:spacing w:after="200"/>
            </w:pPr>
            <w:r w:rsidRPr="00DF4205">
              <w:t>N</w:t>
            </w:r>
          </w:p>
        </w:tc>
      </w:tr>
      <w:tr w:rsidR="0061798A" w:rsidRPr="00DF4205" w14:paraId="01006752" w14:textId="77777777" w:rsidTr="3DD08EB8">
        <w:tc>
          <w:tcPr>
            <w:tcW w:w="1555" w:type="dxa"/>
            <w:hideMark/>
          </w:tcPr>
          <w:p w14:paraId="285A3B17" w14:textId="77777777" w:rsidR="0061798A" w:rsidRPr="00DF4205" w:rsidRDefault="0061798A" w:rsidP="005F05A1">
            <w:pPr>
              <w:spacing w:after="200"/>
            </w:pPr>
            <w:r w:rsidRPr="00DF4205">
              <w:t>101</w:t>
            </w:r>
          </w:p>
        </w:tc>
        <w:tc>
          <w:tcPr>
            <w:tcW w:w="1701" w:type="dxa"/>
            <w:hideMark/>
          </w:tcPr>
          <w:p w14:paraId="2899991B" w14:textId="77777777" w:rsidR="0061798A" w:rsidRPr="00DF4205" w:rsidRDefault="0061798A" w:rsidP="005F05A1">
            <w:pPr>
              <w:spacing w:after="200"/>
            </w:pPr>
            <w:r w:rsidRPr="00DF4205">
              <w:t>2024-11-15</w:t>
            </w:r>
          </w:p>
        </w:tc>
        <w:tc>
          <w:tcPr>
            <w:tcW w:w="1984" w:type="dxa"/>
            <w:hideMark/>
          </w:tcPr>
          <w:p w14:paraId="279359AE" w14:textId="77777777" w:rsidR="0061798A" w:rsidRPr="00DF4205" w:rsidRDefault="0061798A" w:rsidP="005F05A1">
            <w:pPr>
              <w:spacing w:after="200"/>
            </w:pPr>
            <w:r w:rsidRPr="00DF4205">
              <w:t>B98765432</w:t>
            </w:r>
          </w:p>
        </w:tc>
        <w:tc>
          <w:tcPr>
            <w:tcW w:w="2636" w:type="dxa"/>
            <w:hideMark/>
          </w:tcPr>
          <w:p w14:paraId="5AE43CE1" w14:textId="77777777" w:rsidR="0061798A" w:rsidRPr="00DF4205" w:rsidRDefault="0061798A" w:rsidP="005F05A1">
            <w:pPr>
              <w:spacing w:after="200"/>
            </w:pPr>
            <w:r w:rsidRPr="00DF4205">
              <w:t>N</w:t>
            </w:r>
          </w:p>
        </w:tc>
      </w:tr>
      <w:tr w:rsidR="0061798A" w:rsidRPr="00DF4205" w14:paraId="2129BF1D" w14:textId="77777777" w:rsidTr="3DD08EB8">
        <w:tc>
          <w:tcPr>
            <w:tcW w:w="1555" w:type="dxa"/>
            <w:hideMark/>
          </w:tcPr>
          <w:p w14:paraId="078877A1" w14:textId="77777777" w:rsidR="0061798A" w:rsidRPr="00DF4205" w:rsidRDefault="0061798A" w:rsidP="005F05A1">
            <w:pPr>
              <w:spacing w:after="200"/>
            </w:pPr>
            <w:r w:rsidRPr="00DF4205">
              <w:t>102</w:t>
            </w:r>
          </w:p>
        </w:tc>
        <w:tc>
          <w:tcPr>
            <w:tcW w:w="1701" w:type="dxa"/>
            <w:hideMark/>
          </w:tcPr>
          <w:p w14:paraId="19620FDE" w14:textId="77777777" w:rsidR="0061798A" w:rsidRPr="00DF4205" w:rsidRDefault="0061798A" w:rsidP="005F05A1">
            <w:pPr>
              <w:spacing w:after="200"/>
            </w:pPr>
            <w:r w:rsidRPr="00DF4205">
              <w:t>2024-10-10</w:t>
            </w:r>
          </w:p>
        </w:tc>
        <w:tc>
          <w:tcPr>
            <w:tcW w:w="1984" w:type="dxa"/>
            <w:hideMark/>
          </w:tcPr>
          <w:p w14:paraId="6207755A" w14:textId="77777777" w:rsidR="0061798A" w:rsidRPr="00DF4205" w:rsidRDefault="0061798A" w:rsidP="005F05A1">
            <w:pPr>
              <w:spacing w:after="200"/>
            </w:pPr>
            <w:r w:rsidRPr="00DF4205">
              <w:t>A11111111</w:t>
            </w:r>
          </w:p>
        </w:tc>
        <w:tc>
          <w:tcPr>
            <w:tcW w:w="2636" w:type="dxa"/>
            <w:hideMark/>
          </w:tcPr>
          <w:p w14:paraId="532DDAA5" w14:textId="77777777" w:rsidR="0061798A" w:rsidRPr="00DF4205" w:rsidRDefault="0061798A" w:rsidP="005F05A1">
            <w:pPr>
              <w:spacing w:after="200"/>
            </w:pPr>
            <w:r w:rsidRPr="00DF4205">
              <w:t>Y</w:t>
            </w:r>
          </w:p>
        </w:tc>
      </w:tr>
      <w:tr w:rsidR="0061798A" w:rsidRPr="00DF4205" w14:paraId="48A9AC7D" w14:textId="77777777" w:rsidTr="3DD08EB8">
        <w:tc>
          <w:tcPr>
            <w:tcW w:w="1555" w:type="dxa"/>
            <w:hideMark/>
          </w:tcPr>
          <w:p w14:paraId="599586D6" w14:textId="77777777" w:rsidR="0061798A" w:rsidRPr="00DF4205" w:rsidRDefault="0061798A" w:rsidP="005F05A1">
            <w:pPr>
              <w:spacing w:after="200"/>
            </w:pPr>
            <w:r w:rsidRPr="00DF4205">
              <w:t>102</w:t>
            </w:r>
          </w:p>
        </w:tc>
        <w:tc>
          <w:tcPr>
            <w:tcW w:w="1701" w:type="dxa"/>
            <w:hideMark/>
          </w:tcPr>
          <w:p w14:paraId="5862AEA3" w14:textId="77777777" w:rsidR="0061798A" w:rsidRPr="00DF4205" w:rsidRDefault="0061798A" w:rsidP="005F05A1">
            <w:pPr>
              <w:spacing w:after="200"/>
            </w:pPr>
            <w:r w:rsidRPr="00DF4205">
              <w:t>2024-09-05</w:t>
            </w:r>
          </w:p>
        </w:tc>
        <w:tc>
          <w:tcPr>
            <w:tcW w:w="1984" w:type="dxa"/>
            <w:hideMark/>
          </w:tcPr>
          <w:p w14:paraId="5CD27675" w14:textId="77777777" w:rsidR="0061798A" w:rsidRPr="00DF4205" w:rsidRDefault="0061798A" w:rsidP="005F05A1">
            <w:pPr>
              <w:spacing w:after="200"/>
            </w:pPr>
            <w:r w:rsidRPr="00DF4205">
              <w:t>B22222222</w:t>
            </w:r>
          </w:p>
        </w:tc>
        <w:tc>
          <w:tcPr>
            <w:tcW w:w="2636" w:type="dxa"/>
            <w:hideMark/>
          </w:tcPr>
          <w:p w14:paraId="11175F24" w14:textId="77777777" w:rsidR="0061798A" w:rsidRPr="00DF4205" w:rsidRDefault="0061798A" w:rsidP="005F05A1">
            <w:pPr>
              <w:spacing w:after="200"/>
            </w:pPr>
            <w:r w:rsidRPr="00DF4205">
              <w:t>N</w:t>
            </w:r>
          </w:p>
        </w:tc>
      </w:tr>
    </w:tbl>
    <w:p w14:paraId="7F27AFFE" w14:textId="77777777" w:rsidR="0061798A" w:rsidRPr="003B21CA" w:rsidRDefault="0061798A" w:rsidP="00E07C8C">
      <w:pPr>
        <w:spacing w:after="200"/>
      </w:pPr>
    </w:p>
    <w:p w14:paraId="4A63ADF0" w14:textId="5BB4F7E8" w:rsidR="00E07C8C" w:rsidRPr="00E07C8C" w:rsidRDefault="0061798A" w:rsidP="0061798A">
      <w:pPr>
        <w:pStyle w:val="Heading3"/>
      </w:pPr>
      <w:r>
        <w:lastRenderedPageBreak/>
        <w:t>Doses Administered</w:t>
      </w:r>
    </w:p>
    <w:p w14:paraId="272DECC2" w14:textId="7A07FBA3" w:rsidR="00F24938" w:rsidRDefault="00F24938" w:rsidP="00E07C8C">
      <w:pPr>
        <w:spacing w:after="200"/>
      </w:pPr>
      <w:r w:rsidRPr="0061798A">
        <w:t>Doses Administered</w:t>
      </w:r>
      <w:r w:rsidRPr="00CF0528">
        <w:rPr>
          <w:b/>
          <w:bCs/>
        </w:rPr>
        <w:t xml:space="preserve"> </w:t>
      </w:r>
      <w:r w:rsidRPr="00CF0528">
        <w:t>refers to the total number of vaccination records in the Australian Immunisation Register. This includes all records, including vaccine administration errors, doses that were administered to people who are no longer active in Australia (relocated or passed away), and doses administered to people overseas who have since interacted with the Australian health system.</w:t>
      </w:r>
    </w:p>
    <w:p w14:paraId="5095ECD0" w14:textId="2F39CDED" w:rsidR="00FD401D" w:rsidRDefault="00FD401D" w:rsidP="00E07C8C">
      <w:pPr>
        <w:spacing w:after="200"/>
      </w:pPr>
      <w:r>
        <w:t xml:space="preserve">Doses Administered only counts the number of vaccination encounters that occur </w:t>
      </w:r>
      <w:proofErr w:type="gramStart"/>
      <w:r>
        <w:t>in a given year</w:t>
      </w:r>
      <w:proofErr w:type="gramEnd"/>
      <w:r>
        <w:t>. It does not retroactively calculate the number of doses an individual would have received in their life.</w:t>
      </w:r>
    </w:p>
    <w:p w14:paraId="751CBF92" w14:textId="4CE4869C" w:rsidR="0061798A" w:rsidRPr="0061798A" w:rsidRDefault="0061798A" w:rsidP="0061798A">
      <w:pPr>
        <w:pStyle w:val="Heading3"/>
      </w:pPr>
      <w:r>
        <w:t>People Vaccinated</w:t>
      </w:r>
    </w:p>
    <w:p w14:paraId="27E09596" w14:textId="5CBFD18B" w:rsidR="00F24938" w:rsidRDefault="00F24938" w:rsidP="00E07C8C">
      <w:pPr>
        <w:spacing w:after="200"/>
      </w:pPr>
      <w:r>
        <w:t>People Vaccinated</w:t>
      </w:r>
      <w:r w:rsidRPr="3DD08EB8">
        <w:rPr>
          <w:b/>
          <w:bCs/>
        </w:rPr>
        <w:t xml:space="preserve"> </w:t>
      </w:r>
      <w:r>
        <w:t xml:space="preserve">refers to the total number of unique individuals who have received a vaccination and had it noted in the Australian Immunisation Register during any selected period. People vaccinated is measured by distinctly counting the number of unique </w:t>
      </w:r>
      <w:r w:rsidR="0DF1D31A">
        <w:t>Person IDs</w:t>
      </w:r>
      <w:r>
        <w:t>.</w:t>
      </w:r>
    </w:p>
    <w:p w14:paraId="1B3471D1" w14:textId="40B898B0" w:rsidR="00672080" w:rsidRDefault="00672080" w:rsidP="00E07C8C">
      <w:pPr>
        <w:spacing w:after="200"/>
      </w:pPr>
      <w:r>
        <w:t xml:space="preserve">People vaccinated only </w:t>
      </w:r>
      <w:r w:rsidR="00714FE8">
        <w:t xml:space="preserve">records the </w:t>
      </w:r>
      <w:r>
        <w:t xml:space="preserve">number of unique people that are administered a given vaccination </w:t>
      </w:r>
      <w:proofErr w:type="gramStart"/>
      <w:r>
        <w:t>in a given year</w:t>
      </w:r>
      <w:proofErr w:type="gramEnd"/>
      <w:r>
        <w:t>. It does not represent the number of doses administered to the individual and does not match the numerator utilised in coverage calculations.</w:t>
      </w:r>
    </w:p>
    <w:p w14:paraId="6DD75D6D" w14:textId="7B20CB7C" w:rsidR="00F24938" w:rsidRPr="0061798A" w:rsidRDefault="0061798A" w:rsidP="0061798A">
      <w:pPr>
        <w:pStyle w:val="Heading3"/>
      </w:pPr>
      <w:r w:rsidRPr="0061798A">
        <w:t>Calculation of the AIR Population (Denominator for Coverage)</w:t>
      </w:r>
    </w:p>
    <w:p w14:paraId="7A2818CD" w14:textId="6BE70147" w:rsidR="00F24938" w:rsidRPr="00A9223F" w:rsidRDefault="00F24938" w:rsidP="00E07C8C">
      <w:pPr>
        <w:spacing w:after="200"/>
      </w:pPr>
      <w:r>
        <w:t xml:space="preserve">Each of the four dashboards measures the population eligible for vaccinations by utilising the Medicare Registered Population. </w:t>
      </w:r>
      <w:r w:rsidR="5FA948DF">
        <w:t xml:space="preserve">The </w:t>
      </w:r>
      <w:r w:rsidR="4CBBF176">
        <w:t>Medicare</w:t>
      </w:r>
      <w:r w:rsidR="5FA948DF">
        <w:t xml:space="preserve"> registered population</w:t>
      </w:r>
      <w:r w:rsidR="15F8D9BB">
        <w:t xml:space="preserve"> data is used to populate the AIR population when individuals/providers do not make a change in </w:t>
      </w:r>
      <w:r w:rsidR="56B30F84">
        <w:t>detail</w:t>
      </w:r>
      <w:r w:rsidR="15F8D9BB">
        <w:t xml:space="preserve"> for the Australian I</w:t>
      </w:r>
      <w:r w:rsidR="6142E68C">
        <w:t>mmunisation Register.</w:t>
      </w:r>
      <w:r w:rsidR="5FA948DF">
        <w:t xml:space="preserve"> </w:t>
      </w:r>
      <w:r>
        <w:t xml:space="preserve">The </w:t>
      </w:r>
      <w:r w:rsidR="25347870">
        <w:t>Medicare</w:t>
      </w:r>
      <w:r w:rsidR="6CA7C5B4">
        <w:t xml:space="preserve"> and subsequent </w:t>
      </w:r>
      <w:r>
        <w:t>AIR population is dynamic and changes daily due to end dating of Medicare records</w:t>
      </w:r>
      <w:r w:rsidR="08742B99">
        <w:t>, change of Medicare address</w:t>
      </w:r>
      <w:r>
        <w:t xml:space="preserve"> or the assignment of new Medicare numbers. </w:t>
      </w:r>
    </w:p>
    <w:p w14:paraId="6F4C7A90" w14:textId="77777777" w:rsidR="00F24938" w:rsidRPr="00A9223F" w:rsidRDefault="00F24938" w:rsidP="00E07C8C">
      <w:pPr>
        <w:pStyle w:val="ListParagraph"/>
        <w:numPr>
          <w:ilvl w:val="0"/>
          <w:numId w:val="28"/>
        </w:numPr>
        <w:spacing w:after="200" w:line="259" w:lineRule="auto"/>
      </w:pPr>
      <w:r w:rsidRPr="00A9223F">
        <w:t>The AIR population of a given reporting period or reference year considers individuals who have not been end dated by the end of the calendar year.</w:t>
      </w:r>
    </w:p>
    <w:p w14:paraId="6406DD86" w14:textId="77777777" w:rsidR="00F24938" w:rsidRPr="00A9223F" w:rsidRDefault="00F24938" w:rsidP="00E07C8C">
      <w:pPr>
        <w:pStyle w:val="ListParagraph"/>
        <w:numPr>
          <w:ilvl w:val="0"/>
          <w:numId w:val="28"/>
        </w:numPr>
        <w:spacing w:after="200" w:line="259" w:lineRule="auto"/>
      </w:pPr>
      <w:r w:rsidRPr="00A9223F">
        <w:t>It removes duplicate records of individuals by only reporting the latest Medicare number an individual has received</w:t>
      </w:r>
    </w:p>
    <w:p w14:paraId="766D3737" w14:textId="3A650304" w:rsidR="00F24938" w:rsidRPr="00A9223F" w:rsidRDefault="00F24938" w:rsidP="00E07C8C">
      <w:pPr>
        <w:pStyle w:val="ListParagraph"/>
        <w:numPr>
          <w:ilvl w:val="0"/>
          <w:numId w:val="28"/>
        </w:numPr>
        <w:spacing w:after="200" w:line="259" w:lineRule="auto"/>
      </w:pPr>
      <w:r w:rsidRPr="00A9223F">
        <w:t>Age cohorts are calculated depending on the needs of the dashboard</w:t>
      </w:r>
      <w:r w:rsidR="004B179E">
        <w:t>. P</w:t>
      </w:r>
      <w:r w:rsidRPr="00A9223F">
        <w:t xml:space="preserve">lease refer to the age cohort section of </w:t>
      </w:r>
      <w:r>
        <w:t xml:space="preserve">each dashboard </w:t>
      </w:r>
      <w:r w:rsidRPr="00A9223F">
        <w:t>for more information</w:t>
      </w:r>
    </w:p>
    <w:p w14:paraId="56EC3B81" w14:textId="3C589B95" w:rsidR="00F24938" w:rsidRDefault="00F24938" w:rsidP="00E07C8C">
      <w:pPr>
        <w:pStyle w:val="ListParagraph"/>
        <w:numPr>
          <w:ilvl w:val="0"/>
          <w:numId w:val="28"/>
        </w:numPr>
        <w:spacing w:after="200" w:line="259" w:lineRule="auto"/>
      </w:pPr>
      <w:r w:rsidRPr="00A9223F">
        <w:t>Residential location is based on the current Medicare residential address of the individuals latest Medicare number</w:t>
      </w:r>
      <w:r w:rsidR="004B179E">
        <w:t>.</w:t>
      </w:r>
    </w:p>
    <w:p w14:paraId="50839BE6" w14:textId="620BD0DD" w:rsidR="007F4B3E" w:rsidRPr="007F4B3E" w:rsidRDefault="004B179E" w:rsidP="00D1206E">
      <w:pPr>
        <w:pStyle w:val="Heading1"/>
        <w:numPr>
          <w:ilvl w:val="0"/>
          <w:numId w:val="21"/>
        </w:numPr>
      </w:pPr>
      <w:r>
        <w:t xml:space="preserve">Definitions and Methods for </w:t>
      </w:r>
      <w:r w:rsidR="00474AC1">
        <w:t xml:space="preserve">Individual </w:t>
      </w:r>
      <w:r>
        <w:t>Dashboards</w:t>
      </w:r>
    </w:p>
    <w:p w14:paraId="07FEE9E4" w14:textId="7A588D11" w:rsidR="00DC7910" w:rsidRDefault="00C161C2" w:rsidP="00474AC1">
      <w:pPr>
        <w:spacing w:after="200"/>
      </w:pPr>
      <w:r>
        <w:t xml:space="preserve">Each dashboard has </w:t>
      </w:r>
      <w:r w:rsidR="001E2C36">
        <w:t>unique</w:t>
      </w:r>
      <w:r>
        <w:t xml:space="preserve"> logic based on design and requirements of the National Immunisation Program. Dashboards calculation of age cohorts, and coverage is specific to the requirements of the antigen being measured. The following subsections detail the logic that has applied to the respiratory, childhood, adolescent, and older Australian dashboards.</w:t>
      </w:r>
    </w:p>
    <w:p w14:paraId="3589E821" w14:textId="3239FACD" w:rsidR="00DC7910" w:rsidRDefault="004B179E" w:rsidP="004B179E">
      <w:pPr>
        <w:pStyle w:val="Heading2"/>
      </w:pPr>
      <w:r>
        <w:t xml:space="preserve">4.1 Respiratory Vaccination Dashboard </w:t>
      </w:r>
    </w:p>
    <w:p w14:paraId="43ECF7A3" w14:textId="03CA68A2" w:rsidR="004B179E" w:rsidRDefault="004B179E" w:rsidP="004B179E">
      <w:pPr>
        <w:spacing w:after="200"/>
      </w:pPr>
      <w:r w:rsidRPr="005C12FF">
        <w:t xml:space="preserve">This section summarises the methodology and coding logic that has been applied to the respiratory vaccination dashboard. It contains information on how coverage is calculated, the </w:t>
      </w:r>
      <w:r w:rsidR="006762F4">
        <w:t>two methods used to calculate age</w:t>
      </w:r>
      <w:r w:rsidRPr="005C12FF">
        <w:t>, and antigen/page specific logic</w:t>
      </w:r>
      <w:r w:rsidR="00474AC1">
        <w:t>.</w:t>
      </w:r>
    </w:p>
    <w:p w14:paraId="5B43736F" w14:textId="349A6AC8" w:rsidR="00C161C2" w:rsidRPr="00C161C2" w:rsidRDefault="001E2C36" w:rsidP="00C161C2">
      <w:pPr>
        <w:pStyle w:val="Heading3"/>
      </w:pPr>
      <w:r>
        <w:lastRenderedPageBreak/>
        <w:t xml:space="preserve">Age Calculation for </w:t>
      </w:r>
      <w:r w:rsidR="00C161C2" w:rsidRPr="00C161C2">
        <w:t>Doses Administered/ People Vaccinated</w:t>
      </w:r>
      <w:r>
        <w:t xml:space="preserve"> Views</w:t>
      </w:r>
    </w:p>
    <w:p w14:paraId="6AF130C0" w14:textId="72F70FCA" w:rsidR="001E2C36" w:rsidRDefault="001E2C36" w:rsidP="3DD08EB8">
      <w:pPr>
        <w:spacing w:after="200" w:line="259" w:lineRule="auto"/>
      </w:pPr>
      <w:r>
        <w:t>The doses administered and people vaccinated measures u</w:t>
      </w:r>
      <w:r w:rsidR="00C161C2">
        <w:t xml:space="preserve">tilise the age of the individual when they receive the vaccination. Age for these measures </w:t>
      </w:r>
      <w:r w:rsidR="55A19E48">
        <w:t>are</w:t>
      </w:r>
      <w:r w:rsidR="00C161C2">
        <w:t xml:space="preserve"> calculated by subtracting the encounter date of the vaccination from the date of birth of the recipient. </w:t>
      </w:r>
    </w:p>
    <w:p w14:paraId="45B044A9" w14:textId="1769425A" w:rsidR="00C161C2" w:rsidRPr="00C161C2" w:rsidRDefault="001E2C36" w:rsidP="00C161C2">
      <w:pPr>
        <w:spacing w:after="200"/>
      </w:pPr>
      <w:r>
        <w:t>Once the individual’s age is calculated, it is grouped into a</w:t>
      </w:r>
      <w:r w:rsidR="00C161C2">
        <w:t xml:space="preserve">ge brackets of </w:t>
      </w:r>
      <w:proofErr w:type="gramStart"/>
      <w:r w:rsidR="00C161C2">
        <w:t>5 year</w:t>
      </w:r>
      <w:proofErr w:type="gramEnd"/>
      <w:r w:rsidR="00C161C2">
        <w:t xml:space="preserve"> intervals</w:t>
      </w:r>
      <w:r>
        <w:t>. These age brackets</w:t>
      </w:r>
      <w:r w:rsidR="00C161C2">
        <w:t xml:space="preserve"> are </w:t>
      </w:r>
      <w:r>
        <w:t xml:space="preserve">visible as a filter in </w:t>
      </w:r>
      <w:r w:rsidR="00C161C2">
        <w:t>the dashboard.</w:t>
      </w:r>
    </w:p>
    <w:p w14:paraId="7CAB9F79" w14:textId="77777777" w:rsidR="00C161C2" w:rsidRPr="00C161C2" w:rsidRDefault="00C161C2" w:rsidP="00C161C2">
      <w:pPr>
        <w:pStyle w:val="Heading3"/>
      </w:pPr>
      <w:r w:rsidRPr="00C161C2">
        <w:t>Coverage Age Calculation</w:t>
      </w:r>
    </w:p>
    <w:p w14:paraId="61F9B374" w14:textId="1B2375AA" w:rsidR="001E2C36" w:rsidRDefault="001E2C36" w:rsidP="00C161C2">
      <w:pPr>
        <w:spacing w:after="200"/>
      </w:pPr>
      <w:r>
        <w:t>Coverage uses a different measure of age than the doses administered and people vaccinated views. For coverage, a</w:t>
      </w:r>
      <w:r w:rsidR="00C161C2" w:rsidRPr="00B737B6">
        <w:t xml:space="preserve">ge is </w:t>
      </w:r>
      <w:r w:rsidR="007F6033">
        <w:t>defined as</w:t>
      </w:r>
      <w:r w:rsidR="00C161C2" w:rsidRPr="00B737B6">
        <w:t xml:space="preserve"> the age of the individual </w:t>
      </w:r>
      <w:r w:rsidRPr="00B737B6">
        <w:t>on</w:t>
      </w:r>
      <w:r w:rsidR="00C161C2" w:rsidRPr="00B737B6">
        <w:t xml:space="preserve"> the 1</w:t>
      </w:r>
      <w:r w:rsidR="00C161C2" w:rsidRPr="00C161C2">
        <w:t>st</w:t>
      </w:r>
      <w:r w:rsidR="00C161C2" w:rsidRPr="00B737B6">
        <w:t xml:space="preserve"> of July of a given year. This age reference period is used </w:t>
      </w:r>
      <w:r>
        <w:t>as there is a necessity to calculate people that are eligible for a vaccination in a season (to estimate coverage). The 1</w:t>
      </w:r>
      <w:r w:rsidRPr="001E2C36">
        <w:rPr>
          <w:vertAlign w:val="superscript"/>
        </w:rPr>
        <w:t>st</w:t>
      </w:r>
      <w:r>
        <w:t xml:space="preserve"> of July reference date</w:t>
      </w:r>
      <w:r w:rsidR="00C161C2" w:rsidRPr="00B737B6">
        <w:t xml:space="preserve"> represents the central point of the seasonal respiratory window</w:t>
      </w:r>
      <w:r>
        <w:t xml:space="preserve"> and </w:t>
      </w:r>
      <w:r w:rsidR="00C161C2" w:rsidRPr="00B737B6">
        <w:t xml:space="preserve">aligns with how current influenza reports have been developed. </w:t>
      </w:r>
      <w:r>
        <w:t>Once the individual’s age is calculated, it is grouped into age brackets of 5 year intervals.</w:t>
      </w:r>
    </w:p>
    <w:p w14:paraId="0A8AB269" w14:textId="7A7474A8" w:rsidR="006762F4" w:rsidRDefault="006762F4" w:rsidP="006762F4">
      <w:pPr>
        <w:pStyle w:val="Heading3"/>
      </w:pPr>
      <w:r>
        <w:t>Difference in Age Calculations</w:t>
      </w:r>
    </w:p>
    <w:p w14:paraId="6AD5D91E" w14:textId="7F8D078A" w:rsidR="006762F4" w:rsidRDefault="001E2C36" w:rsidP="00C161C2">
      <w:pPr>
        <w:spacing w:after="200"/>
      </w:pPr>
      <w:r>
        <w:t xml:space="preserve">The two methods </w:t>
      </w:r>
      <w:r w:rsidR="006762F4">
        <w:t xml:space="preserve">used to calculate age </w:t>
      </w:r>
      <w:r>
        <w:t xml:space="preserve">do limit the ability to </w:t>
      </w:r>
      <w:r w:rsidR="006762F4">
        <w:t>match</w:t>
      </w:r>
      <w:r>
        <w:t xml:space="preserve"> the people vaccinated and coverage measures</w:t>
      </w:r>
      <w:r w:rsidR="006762F4">
        <w:t xml:space="preserve">. Some individuals may show in one age bracket for the doses administered/people vaccinated views and a different age bracket for the coverage views. </w:t>
      </w:r>
    </w:p>
    <w:p w14:paraId="749C1824" w14:textId="1C342CBF" w:rsidR="006762F4" w:rsidRDefault="006762F4" w:rsidP="00C161C2">
      <w:pPr>
        <w:spacing w:after="200"/>
      </w:pPr>
      <w:r>
        <w:t>For example, consider someone who is currently aged 64 that receives their Influenza vaccine in May and has a birthday in June of a given year. For doses administered and people vaccinated views, this individual will be considered as 64 and will be bracketed in the 60-64 category. Conversely for coverage, the individual will be considered as 65 on the 1</w:t>
      </w:r>
      <w:r w:rsidRPr="006762F4">
        <w:rPr>
          <w:vertAlign w:val="superscript"/>
        </w:rPr>
        <w:t>st</w:t>
      </w:r>
      <w:r>
        <w:t xml:space="preserve"> of July and will be bracketed in the 65-69 age bracket.   </w:t>
      </w:r>
    </w:p>
    <w:p w14:paraId="42DB06AF" w14:textId="77777777" w:rsidR="00C161C2" w:rsidRPr="00C161C2" w:rsidRDefault="00C161C2" w:rsidP="00C161C2">
      <w:pPr>
        <w:pStyle w:val="Heading3"/>
      </w:pPr>
      <w:r w:rsidRPr="00C161C2">
        <w:t xml:space="preserve">Influenza Coverage </w:t>
      </w:r>
    </w:p>
    <w:p w14:paraId="679C42D6" w14:textId="77777777" w:rsidR="00C161C2" w:rsidRDefault="00C161C2" w:rsidP="00C161C2">
      <w:pPr>
        <w:spacing w:after="200"/>
      </w:pPr>
      <w:r>
        <w:t>Coverage for influenza is measured for each calendar year within the respiratory vaccination dashboard. Individuals are considered covered if they have received 1 or more influenza vaccination in a given calendar year. Coverage in the current year is rolling and will update throughout the calendar season.</w:t>
      </w:r>
    </w:p>
    <w:p w14:paraId="70BCEEB8" w14:textId="77777777" w:rsidR="00C161C2" w:rsidRDefault="00C161C2" w:rsidP="00C161C2">
      <w:pPr>
        <w:spacing w:after="200"/>
      </w:pPr>
      <w:r>
        <w:t>Vaccinations for Influenza are identified by looking at the Australian Immunisation Register records that have an antigen name of ‘Influenza’</w:t>
      </w:r>
    </w:p>
    <w:p w14:paraId="1B1F0707" w14:textId="77777777" w:rsidR="00C161C2" w:rsidRPr="00C161C2" w:rsidRDefault="00C161C2" w:rsidP="00C161C2">
      <w:pPr>
        <w:pStyle w:val="Heading3"/>
      </w:pPr>
      <w:r w:rsidRPr="00C161C2">
        <w:t xml:space="preserve">COVID-19 Coverage </w:t>
      </w:r>
    </w:p>
    <w:p w14:paraId="105D4687" w14:textId="7B171039" w:rsidR="00C161C2" w:rsidRDefault="00C161C2" w:rsidP="00C161C2">
      <w:pPr>
        <w:spacing w:after="200"/>
      </w:pPr>
      <w:r>
        <w:t>Coverage for COVID-19 is measured for each calendar year within the respiratory vaccination dashboard. Individuals are considered covered if they have received 1 or more COVID vaccination in a given calendar year. Coverage in the current year is rolling and will update throughout the calendar season</w:t>
      </w:r>
      <w:r w:rsidR="006762F4">
        <w:t xml:space="preserve"> and aligns with Influenza reporting.</w:t>
      </w:r>
    </w:p>
    <w:p w14:paraId="6567583F" w14:textId="0AF2B343" w:rsidR="00C161C2" w:rsidRDefault="00C161C2" w:rsidP="00C161C2">
      <w:pPr>
        <w:spacing w:after="200"/>
      </w:pPr>
      <w:r>
        <w:t>Note this is a change from current COVID-19 reporting. Previously the Estimated Residential Population was used to estimate the denominator. In addition, coverage was previously measured from if an individual had received a vaccination in the last 6 months or 12 months.</w:t>
      </w:r>
      <w:r w:rsidR="006762F4">
        <w:t xml:space="preserve"> </w:t>
      </w:r>
    </w:p>
    <w:p w14:paraId="48B1535C" w14:textId="77777777" w:rsidR="00C161C2" w:rsidRDefault="00C161C2" w:rsidP="00C161C2">
      <w:pPr>
        <w:spacing w:after="200"/>
      </w:pPr>
      <w:r>
        <w:t>Vaccinations for COVID-19 are identified by looking at the Australian Immunisation Register records that have an antigen name of ‘COVID-19’</w:t>
      </w:r>
    </w:p>
    <w:p w14:paraId="55D7CE88" w14:textId="77777777" w:rsidR="00C161C2" w:rsidRPr="00C161C2" w:rsidRDefault="00C161C2" w:rsidP="00C161C2">
      <w:pPr>
        <w:pStyle w:val="Heading3"/>
      </w:pPr>
      <w:r w:rsidRPr="00C161C2">
        <w:lastRenderedPageBreak/>
        <w:t xml:space="preserve">RSV Coverage </w:t>
      </w:r>
    </w:p>
    <w:p w14:paraId="531B16A4" w14:textId="77777777" w:rsidR="00C161C2" w:rsidRDefault="00C161C2" w:rsidP="00C161C2">
      <w:pPr>
        <w:spacing w:after="200"/>
      </w:pPr>
      <w:r>
        <w:t xml:space="preserve">Coverage for RSV is currently not reported due to changes in recommendations. At the time of developing the dashboards, RSV was not recommended/funded on the NIP outside of for antenatal protection. </w:t>
      </w:r>
    </w:p>
    <w:p w14:paraId="5140663F" w14:textId="77777777" w:rsidR="00C161C2" w:rsidRDefault="00C161C2" w:rsidP="00C161C2">
      <w:pPr>
        <w:spacing w:after="200"/>
      </w:pPr>
      <w:r>
        <w:t xml:space="preserve">RSV Coverage for antenatal protection is not estimated in the dashboard due to the inability to accurately measure the number of pregnant individuals in a given year. Infant coverage rates for </w:t>
      </w:r>
      <w:proofErr w:type="spellStart"/>
      <w:r>
        <w:t>Nirsevimab</w:t>
      </w:r>
      <w:proofErr w:type="spellEnd"/>
      <w:r>
        <w:t xml:space="preserve"> are similarly not measured due to inability to identify babies that had received </w:t>
      </w:r>
      <w:proofErr w:type="spellStart"/>
      <w:r>
        <w:t>Abrysvo</w:t>
      </w:r>
      <w:proofErr w:type="spellEnd"/>
      <w:r>
        <w:t>.</w:t>
      </w:r>
    </w:p>
    <w:p w14:paraId="2E9F6278" w14:textId="19807184" w:rsidR="00C161C2" w:rsidRDefault="00C161C2" w:rsidP="00C161C2">
      <w:pPr>
        <w:spacing w:after="200"/>
      </w:pPr>
      <w:r>
        <w:t>Vaccinations for RSV are identified by looking at the Australian Immunisation Register records that have an antigen name of ‘Respiratory Syncytial Virus’.</w:t>
      </w:r>
    </w:p>
    <w:p w14:paraId="595F8E51" w14:textId="6F8FA3B3" w:rsidR="004B179E" w:rsidRPr="008D48C9" w:rsidRDefault="004B179E" w:rsidP="00DC7910">
      <w:pPr>
        <w:pStyle w:val="Paragraphtext"/>
        <w:sectPr w:rsidR="004B179E" w:rsidRPr="008D48C9" w:rsidSect="00751A23">
          <w:headerReference w:type="first" r:id="rId14"/>
          <w:footerReference w:type="first" r:id="rId15"/>
          <w:pgSz w:w="11906" w:h="16838"/>
          <w:pgMar w:top="1701" w:right="1418" w:bottom="1418" w:left="1418" w:header="850" w:footer="709" w:gutter="0"/>
          <w:cols w:space="708"/>
          <w:titlePg/>
          <w:docGrid w:linePitch="360"/>
        </w:sectPr>
      </w:pPr>
    </w:p>
    <w:p w14:paraId="15206BAC" w14:textId="0AD6CC7F" w:rsidR="00C161C2" w:rsidRPr="00C161C2" w:rsidRDefault="00C161C2" w:rsidP="00C161C2">
      <w:pPr>
        <w:pStyle w:val="Heading3"/>
      </w:pPr>
      <w:r w:rsidRPr="00C161C2">
        <w:t xml:space="preserve">Antenatal </w:t>
      </w:r>
      <w:r>
        <w:t>Indicator</w:t>
      </w:r>
    </w:p>
    <w:p w14:paraId="17CF72F7" w14:textId="69856078" w:rsidR="00C161C2" w:rsidRDefault="00C161C2" w:rsidP="00C161C2">
      <w:pPr>
        <w:spacing w:after="200"/>
      </w:pPr>
      <w:r>
        <w:t xml:space="preserve">The antenatal page filters RSV and Influenza vaccinations to those that have an ‘Y’ response to the antenatal field in the Australian Immunisation Register. COVID-19 vaccination information is unavailable due to it not being recommended for antenatal protection. </w:t>
      </w:r>
    </w:p>
    <w:p w14:paraId="08594372" w14:textId="77777777" w:rsidR="00AC2C7C" w:rsidRPr="00AC2C7C" w:rsidRDefault="00AC2C7C" w:rsidP="00AC2C7C">
      <w:pPr>
        <w:spacing w:after="200"/>
      </w:pPr>
      <w:r>
        <w:t>The antenatal field was added to the Australian Immunisation Register in December 2024. Utilisation in early 2025 was limited while software providers incorporated system changes to support reporting. No formal assessment of completeness or data quality has been undertaken for this field and it should be interpreted with caution.</w:t>
      </w:r>
    </w:p>
    <w:p w14:paraId="56CE089F" w14:textId="45C9E0F3" w:rsidR="00C21596" w:rsidRPr="00C21596" w:rsidRDefault="00C21596" w:rsidP="408DDC25">
      <w:pPr>
        <w:spacing w:after="200"/>
      </w:pPr>
      <w:r>
        <w:t>An additional page filter has been applied to restrict the population to individuals aged 15–54 years, to better align with the expected population for antenatal vaccination.</w:t>
      </w:r>
    </w:p>
    <w:p w14:paraId="37811662" w14:textId="3C5E9D9A" w:rsidR="006762F4" w:rsidRDefault="006762F4" w:rsidP="408DDC25">
      <w:pPr>
        <w:pStyle w:val="Heading2"/>
        <w:spacing w:after="200"/>
      </w:pPr>
      <w:r>
        <w:t xml:space="preserve">4.2 Adolescent Vaccination Dashboard </w:t>
      </w:r>
    </w:p>
    <w:p w14:paraId="6E448976" w14:textId="3204F8D2" w:rsidR="006762F4" w:rsidRDefault="006762F4" w:rsidP="006762F4">
      <w:pPr>
        <w:spacing w:after="200"/>
      </w:pPr>
      <w:r w:rsidRPr="005C12FF">
        <w:t xml:space="preserve">This section summarises the methodology and coding logic that has been applied to the </w:t>
      </w:r>
      <w:r w:rsidR="00474AC1">
        <w:t>adolescent</w:t>
      </w:r>
      <w:r w:rsidRPr="005C12FF">
        <w:t xml:space="preserve"> vaccination dashboard. It contains information on how coverage is calculated,</w:t>
      </w:r>
      <w:r w:rsidR="007F6033">
        <w:t xml:space="preserve"> and</w:t>
      </w:r>
      <w:r w:rsidRPr="005C12FF">
        <w:t xml:space="preserve"> the </w:t>
      </w:r>
      <w:r>
        <w:t>two methods used to calculate age</w:t>
      </w:r>
      <w:r w:rsidR="00474AC1">
        <w:t>.</w:t>
      </w:r>
    </w:p>
    <w:p w14:paraId="7B3ED562" w14:textId="77777777" w:rsidR="007F6033" w:rsidRPr="00C161C2" w:rsidRDefault="007F6033" w:rsidP="007F6033">
      <w:pPr>
        <w:pStyle w:val="Heading3"/>
      </w:pPr>
      <w:r>
        <w:t xml:space="preserve">Age Calculation for </w:t>
      </w:r>
      <w:r w:rsidRPr="00C161C2">
        <w:t>Doses Administered/ People Vaccinated</w:t>
      </w:r>
      <w:r>
        <w:t xml:space="preserve"> Views</w:t>
      </w:r>
    </w:p>
    <w:p w14:paraId="348D0318" w14:textId="34DFFB39" w:rsidR="007F6033" w:rsidRDefault="007F6033" w:rsidP="3DD08EB8">
      <w:pPr>
        <w:spacing w:after="200" w:line="259" w:lineRule="auto"/>
      </w:pPr>
      <w:r>
        <w:t xml:space="preserve">The doses administered and people vaccinated measures utilise the age of the individual when they receive the vaccination. Age for these measures </w:t>
      </w:r>
      <w:r w:rsidR="69FEDB28">
        <w:t>are</w:t>
      </w:r>
      <w:r>
        <w:t xml:space="preserve"> identified by </w:t>
      </w:r>
      <w:r w:rsidR="2FF4EACF">
        <w:t>calculating the difference between an individual's date of birth and the date of encounter</w:t>
      </w:r>
      <w:r>
        <w:t xml:space="preserve"> field in the Episode table. This field is calculated by subtracting the encounter date of the vaccination from the date of birth of the recipient. </w:t>
      </w:r>
    </w:p>
    <w:p w14:paraId="0325B93C" w14:textId="77777777" w:rsidR="007F6033" w:rsidRPr="00C161C2" w:rsidRDefault="007F6033" w:rsidP="007F6033">
      <w:pPr>
        <w:pStyle w:val="Heading3"/>
      </w:pPr>
      <w:r w:rsidRPr="00C161C2">
        <w:t>Coverage Age Calculation</w:t>
      </w:r>
    </w:p>
    <w:p w14:paraId="46540F7C" w14:textId="51CDF445" w:rsidR="007F6033" w:rsidRDefault="007F6033" w:rsidP="007F6033">
      <w:r>
        <w:t>Coverage uses a different measure of age than the doses administered and people vaccinated views. For coverage, age is defined as the age of the individual on the 31</w:t>
      </w:r>
      <w:r w:rsidRPr="408DDC25">
        <w:rPr>
          <w:vertAlign w:val="superscript"/>
        </w:rPr>
        <w:t>st</w:t>
      </w:r>
      <w:r>
        <w:t xml:space="preserve"> of December of a given year. Age is calculated at this point as it allows evaluations of coverage rates of individuals who reached the recommended age to receive a vaccination in the calendar year. This method also aligns with </w:t>
      </w:r>
      <w:r w:rsidR="00D60D40">
        <w:t>p</w:t>
      </w:r>
      <w:r>
        <w:t xml:space="preserve">revious HPV reporting </w:t>
      </w:r>
      <w:r w:rsidR="00D60D40">
        <w:t>methods</w:t>
      </w:r>
      <w:r>
        <w:t xml:space="preserve"> undertaken on the department’s website.</w:t>
      </w:r>
    </w:p>
    <w:p w14:paraId="0FB0C3A7" w14:textId="77777777" w:rsidR="007F6033" w:rsidRDefault="007F6033" w:rsidP="007F6033">
      <w:pPr>
        <w:pStyle w:val="Heading3"/>
      </w:pPr>
      <w:r>
        <w:t>Difference in Age Calculations</w:t>
      </w:r>
    </w:p>
    <w:p w14:paraId="0B4E9A97" w14:textId="558BD9F2" w:rsidR="007F6033" w:rsidRDefault="007F6033" w:rsidP="007F6033">
      <w:pPr>
        <w:spacing w:after="200"/>
      </w:pPr>
      <w:r>
        <w:t xml:space="preserve">The two methods used to calculate age limit the ability to match the people vaccinated and coverage measures. Individuals may show as one age for the doses administered/people vaccinated views and a different age for the coverage views. </w:t>
      </w:r>
    </w:p>
    <w:p w14:paraId="6C0514D4" w14:textId="461AE384" w:rsidR="007F6033" w:rsidRPr="00474AC1" w:rsidRDefault="007F6033" w:rsidP="00474AC1">
      <w:pPr>
        <w:spacing w:after="200"/>
      </w:pPr>
      <w:r>
        <w:lastRenderedPageBreak/>
        <w:t xml:space="preserve">For example, consider a person aged 14 at the start of the year who has a birthday in September </w:t>
      </w:r>
      <w:r w:rsidR="002061C1">
        <w:t xml:space="preserve">and </w:t>
      </w:r>
      <w:r>
        <w:t>received their HPV vaccination in March</w:t>
      </w:r>
      <w:r w:rsidR="002061C1">
        <w:t xml:space="preserve">. In the adolescent dashboard, this individual will be categorised as 14 for the doses administered and people vaccinated view. However, in coverage views they will be defined as 15. </w:t>
      </w:r>
    </w:p>
    <w:p w14:paraId="21E2F080" w14:textId="7E71BA4D" w:rsidR="007F6033" w:rsidRPr="002061C1" w:rsidRDefault="007F6033" w:rsidP="002061C1">
      <w:pPr>
        <w:pStyle w:val="Heading3"/>
      </w:pPr>
      <w:r w:rsidRPr="002061C1">
        <w:t>DTP Coverage</w:t>
      </w:r>
    </w:p>
    <w:p w14:paraId="6BBE782F" w14:textId="2C0AF7B5" w:rsidR="002061C1" w:rsidRDefault="007F6033" w:rsidP="002061C1">
      <w:pPr>
        <w:spacing w:after="200"/>
      </w:pPr>
      <w:r>
        <w:t>Coverage for DTP is measured by considering adolescents that have received one or more vaccination tagged with an antigen code of ‘DIP’, ‘TET’, “PER’. Early vaccinations before</w:t>
      </w:r>
      <w:r w:rsidR="77B823CF">
        <w:t xml:space="preserve"> 10</w:t>
      </w:r>
      <w:r>
        <w:t xml:space="preserve"> years of age have been considered as not meeting adolescent requirements and thus excluded from coverage.</w:t>
      </w:r>
      <w:r w:rsidR="002061C1">
        <w:t xml:space="preserve"> </w:t>
      </w:r>
    </w:p>
    <w:p w14:paraId="1A3119EC" w14:textId="441B70AD" w:rsidR="007F6033" w:rsidRPr="005573D3" w:rsidRDefault="007F6033" w:rsidP="002061C1">
      <w:pPr>
        <w:spacing w:after="200"/>
      </w:pPr>
      <w:r w:rsidRPr="005573D3">
        <w:t xml:space="preserve">The coverage tab of the adolescent dashboard looks at DTP coverage for individuals who have turned 15 in the reference year. Coverage rates of other age cohorts are also measured in the demographics tab. </w:t>
      </w:r>
    </w:p>
    <w:p w14:paraId="68BC27C8" w14:textId="77777777" w:rsidR="007F6033" w:rsidRPr="002061C1" w:rsidRDefault="007F6033" w:rsidP="002061C1">
      <w:pPr>
        <w:pStyle w:val="Heading3"/>
      </w:pPr>
      <w:r w:rsidRPr="002061C1">
        <w:t>HPV Coverage</w:t>
      </w:r>
    </w:p>
    <w:p w14:paraId="6D11D7E8" w14:textId="77777777" w:rsidR="002061C1" w:rsidRDefault="007F6033" w:rsidP="002061C1">
      <w:pPr>
        <w:spacing w:after="200"/>
      </w:pPr>
      <w:r w:rsidRPr="005573D3">
        <w:t xml:space="preserve">Coverage for </w:t>
      </w:r>
      <w:r>
        <w:t>H</w:t>
      </w:r>
      <w:r w:rsidRPr="005573D3">
        <w:t>P</w:t>
      </w:r>
      <w:r>
        <w:t>V</w:t>
      </w:r>
      <w:r w:rsidRPr="005573D3">
        <w:t xml:space="preserve"> is measured by considering adolescents that have received one or more vaccination tagged</w:t>
      </w:r>
      <w:r>
        <w:t xml:space="preserve"> with an antigen code of ‘HPV‘</w:t>
      </w:r>
      <w:r w:rsidRPr="005573D3">
        <w:t>.</w:t>
      </w:r>
      <w:r>
        <w:t xml:space="preserve"> Early vaccinations before 9 years of age have been considered as not meeting adolescent requirements and thus excluded from coverage. </w:t>
      </w:r>
    </w:p>
    <w:p w14:paraId="154F1493" w14:textId="5A579592" w:rsidR="007F6033" w:rsidRPr="0092457F" w:rsidRDefault="007F6033" w:rsidP="002061C1">
      <w:pPr>
        <w:spacing w:after="200"/>
      </w:pPr>
      <w:r w:rsidRPr="005573D3">
        <w:t xml:space="preserve">The coverage tab of the adolescent dashboard looks at </w:t>
      </w:r>
      <w:r>
        <w:t>HPV</w:t>
      </w:r>
      <w:r w:rsidRPr="005573D3">
        <w:t xml:space="preserve"> coverage for individuals who have turned 15 in the reference year. Coverage rates of other age cohorts are also measured in the demographics tab. </w:t>
      </w:r>
    </w:p>
    <w:p w14:paraId="15D51AFB" w14:textId="77777777" w:rsidR="007F6033" w:rsidRPr="002061C1" w:rsidRDefault="007F6033" w:rsidP="002061C1">
      <w:pPr>
        <w:pStyle w:val="Heading3"/>
      </w:pPr>
      <w:r w:rsidRPr="002061C1">
        <w:t>Men ACWY Coverage</w:t>
      </w:r>
    </w:p>
    <w:p w14:paraId="681DCD3D" w14:textId="535F7AB1" w:rsidR="002061C1" w:rsidRDefault="007F6033" w:rsidP="002061C1">
      <w:pPr>
        <w:spacing w:after="200"/>
      </w:pPr>
      <w:r>
        <w:t>Coverage for Men ACWY is measured by considering adolescents that have received one or more vaccination tagged with an antigen code of ‘MCY‘. Early vaccinations before</w:t>
      </w:r>
      <w:r w:rsidR="6AE74608">
        <w:t xml:space="preserve"> 10</w:t>
      </w:r>
      <w:r>
        <w:t xml:space="preserve"> years of age have been considered as not meeting adolescent requirements and thus excluded from coverage. </w:t>
      </w:r>
    </w:p>
    <w:p w14:paraId="2B78BEEA" w14:textId="65B1913D" w:rsidR="007F6033" w:rsidRPr="0092457F" w:rsidRDefault="007F6033" w:rsidP="002061C1">
      <w:pPr>
        <w:spacing w:after="200"/>
      </w:pPr>
      <w:r w:rsidRPr="005573D3">
        <w:t xml:space="preserve">The coverage tab of the adolescent dashboard looks at </w:t>
      </w:r>
      <w:r>
        <w:t>Men ACWY</w:t>
      </w:r>
      <w:r w:rsidRPr="005573D3">
        <w:t xml:space="preserve"> coverage for individuals who have turned </w:t>
      </w:r>
      <w:r>
        <w:t>17</w:t>
      </w:r>
      <w:r w:rsidRPr="005573D3">
        <w:t xml:space="preserve"> in the reference year. Coverage rates of other age cohorts are also measured in the demographics tab. </w:t>
      </w:r>
    </w:p>
    <w:p w14:paraId="65B83EA9" w14:textId="1BC81A2D" w:rsidR="00474AC1" w:rsidRDefault="00474AC1" w:rsidP="00474AC1">
      <w:pPr>
        <w:pStyle w:val="Heading2"/>
      </w:pPr>
      <w:r>
        <w:t xml:space="preserve">4.3 Older Australian Vaccination Dashboard </w:t>
      </w:r>
    </w:p>
    <w:p w14:paraId="6848D27A" w14:textId="0364184D" w:rsidR="00474AC1" w:rsidRDefault="00474AC1" w:rsidP="00474AC1">
      <w:pPr>
        <w:spacing w:after="200"/>
      </w:pPr>
      <w:r w:rsidRPr="005C12FF">
        <w:t xml:space="preserve">This section summarises the methodology and coding logic that has been applied to the </w:t>
      </w:r>
      <w:r>
        <w:t>older Australian</w:t>
      </w:r>
      <w:r w:rsidRPr="005C12FF">
        <w:t xml:space="preserve"> vaccination dashboard. It contains information on how coverage is calculated,</w:t>
      </w:r>
      <w:r>
        <w:t xml:space="preserve"> and</w:t>
      </w:r>
      <w:r w:rsidRPr="005C12FF">
        <w:t xml:space="preserve"> the </w:t>
      </w:r>
      <w:r>
        <w:t>two methods used to calculate age.</w:t>
      </w:r>
    </w:p>
    <w:p w14:paraId="0A7246AF" w14:textId="77777777" w:rsidR="00474AC1" w:rsidRPr="00C161C2" w:rsidRDefault="00474AC1" w:rsidP="00474AC1">
      <w:pPr>
        <w:pStyle w:val="Heading3"/>
      </w:pPr>
      <w:r>
        <w:t xml:space="preserve">Age Calculation for </w:t>
      </w:r>
      <w:r w:rsidRPr="00C161C2">
        <w:t>Doses Administered/ People Vaccinated</w:t>
      </w:r>
      <w:r>
        <w:t xml:space="preserve"> Views</w:t>
      </w:r>
    </w:p>
    <w:p w14:paraId="5D0E57FA" w14:textId="2B0FCF74" w:rsidR="00474AC1" w:rsidRDefault="00474AC1" w:rsidP="00474AC1">
      <w:pPr>
        <w:spacing w:after="200"/>
      </w:pPr>
      <w:r>
        <w:t xml:space="preserve">The doses administered and people vaccinated measures utilise the age of the individual when they receive the vaccination. Age for these measures is identified by subtracting the encounter date of the vaccination from the date of birth of the recipient. </w:t>
      </w:r>
    </w:p>
    <w:p w14:paraId="0A51F8B3" w14:textId="77777777" w:rsidR="00474AC1" w:rsidRPr="00C161C2" w:rsidRDefault="00474AC1" w:rsidP="00474AC1">
      <w:pPr>
        <w:spacing w:after="200"/>
      </w:pPr>
      <w:r>
        <w:t>Once the individual’s age is calculated, it is grouped into age brackets of 5 year intervals. These age brackets are visible as a filter in the dashboard.</w:t>
      </w:r>
    </w:p>
    <w:p w14:paraId="4CEA7E77" w14:textId="3B2BFDA7" w:rsidR="00474AC1" w:rsidRPr="00474AC1" w:rsidRDefault="00474AC1" w:rsidP="00474AC1">
      <w:pPr>
        <w:pStyle w:val="Heading3"/>
      </w:pPr>
      <w:r w:rsidRPr="00474AC1">
        <w:t>Age Calculation Coverage</w:t>
      </w:r>
    </w:p>
    <w:p w14:paraId="1CC86FE6" w14:textId="5F60713E" w:rsidR="002F0EB7" w:rsidRDefault="00474AC1" w:rsidP="408DDC25">
      <w:pPr>
        <w:spacing w:after="200"/>
      </w:pPr>
      <w:r>
        <w:t>Coverage uses a different measure of age than the doses administered and people vaccinated views. For coverage, age is defined as the age of the individual on the 31</w:t>
      </w:r>
      <w:r w:rsidRPr="408DDC25">
        <w:rPr>
          <w:vertAlign w:val="superscript"/>
        </w:rPr>
        <w:t>st</w:t>
      </w:r>
      <w:r>
        <w:t xml:space="preserve"> of December of a given year. The measure of coverage for the current year shows the current </w:t>
      </w:r>
      <w:r>
        <w:lastRenderedPageBreak/>
        <w:t xml:space="preserve">performance for the calendar years result. Once age is calculated, </w:t>
      </w:r>
      <w:r w:rsidR="08DCAA2E">
        <w:t>a</w:t>
      </w:r>
      <w:r>
        <w:t>ge brackets of 5 year intervals are visible as a filter in the dashboard.</w:t>
      </w:r>
    </w:p>
    <w:p w14:paraId="27461A27" w14:textId="77777777" w:rsidR="00216E7A" w:rsidRDefault="00216E7A" w:rsidP="00216E7A">
      <w:pPr>
        <w:pStyle w:val="Heading3"/>
      </w:pPr>
      <w:r>
        <w:t>Difference in Age Calculations</w:t>
      </w:r>
    </w:p>
    <w:p w14:paraId="476621D5" w14:textId="5B20501C" w:rsidR="00216E7A" w:rsidRDefault="00216E7A" w:rsidP="00216E7A">
      <w:pPr>
        <w:spacing w:after="200"/>
      </w:pPr>
      <w:r>
        <w:t>The two methods used to calculate age limit</w:t>
      </w:r>
      <w:r w:rsidR="00F91051">
        <w:t>s</w:t>
      </w:r>
      <w:r>
        <w:t xml:space="preserve"> the ability to match the people vaccinated and coverage measures. Some individuals may show in one age bracket for the doses administered/people vaccinated views and a different age bracket for the coverage views. </w:t>
      </w:r>
    </w:p>
    <w:p w14:paraId="342CD626" w14:textId="299A49B7" w:rsidR="00216E7A" w:rsidRDefault="00216E7A" w:rsidP="00216E7A">
      <w:pPr>
        <w:spacing w:after="200"/>
      </w:pPr>
      <w:r>
        <w:t xml:space="preserve">For example, consider someone who is currently aged 69 that receives a Shingles vaccine in May and has a birthday in June of a given year. For doses administered and people vaccinated views, this individual will be considered as 69 and will be bracketed in the 65-69 category. Conversely for coverage, the individual will be considered as 70 at the end of the calendar year and will be bracketed in the 70-74 age bracket.   </w:t>
      </w:r>
    </w:p>
    <w:p w14:paraId="49E9CBFF" w14:textId="3062F0EF" w:rsidR="000B5EBD" w:rsidRDefault="000B5EBD" w:rsidP="000B5EBD">
      <w:pPr>
        <w:rPr>
          <w:rFonts w:cs="Arial"/>
          <w:bCs/>
          <w:color w:val="358189"/>
          <w:sz w:val="28"/>
          <w:szCs w:val="26"/>
        </w:rPr>
      </w:pPr>
      <w:r>
        <w:rPr>
          <w:rFonts w:cs="Arial"/>
          <w:bCs/>
          <w:color w:val="358189"/>
          <w:sz w:val="28"/>
          <w:szCs w:val="26"/>
        </w:rPr>
        <w:t xml:space="preserve">Shingles (Herpes </w:t>
      </w:r>
      <w:r w:rsidRPr="000B5EBD">
        <w:rPr>
          <w:rFonts w:cs="Arial"/>
          <w:bCs/>
          <w:color w:val="358189"/>
          <w:sz w:val="28"/>
          <w:szCs w:val="26"/>
        </w:rPr>
        <w:t>Zoster</w:t>
      </w:r>
      <w:r>
        <w:rPr>
          <w:rFonts w:cs="Arial"/>
          <w:bCs/>
          <w:color w:val="358189"/>
          <w:sz w:val="28"/>
          <w:szCs w:val="26"/>
        </w:rPr>
        <w:t>)</w:t>
      </w:r>
      <w:r w:rsidRPr="000B5EBD">
        <w:rPr>
          <w:rFonts w:cs="Arial"/>
          <w:bCs/>
          <w:color w:val="358189"/>
          <w:sz w:val="28"/>
          <w:szCs w:val="26"/>
        </w:rPr>
        <w:t xml:space="preserve"> Coverage </w:t>
      </w:r>
    </w:p>
    <w:p w14:paraId="5799B15F" w14:textId="444B8C8C" w:rsidR="000B5EBD" w:rsidRDefault="000B5EBD" w:rsidP="000B5EBD">
      <w:pPr>
        <w:spacing w:after="200"/>
      </w:pPr>
      <w:r>
        <w:t xml:space="preserve">Coverage for Shingles (Herpes Zoster) is considered for individuals aged over 65 for non-indigenous individuals and individuals aged over 50 for indigenous. A person is considered covered if they have received two doses of Shingrix. </w:t>
      </w:r>
      <w:r w:rsidR="00893780">
        <w:t>T</w:t>
      </w:r>
      <w:r w:rsidR="00893780" w:rsidRPr="004F0CBE">
        <w:t xml:space="preserve">he dashboard </w:t>
      </w:r>
      <w:r w:rsidR="00893780">
        <w:t>considers individuals who have Australian Immunisation Records that have a vaccine code of ‘SGX’.</w:t>
      </w:r>
    </w:p>
    <w:p w14:paraId="6DED9D6B" w14:textId="061F2E84" w:rsidR="000B5EBD" w:rsidRPr="000B5EBD" w:rsidRDefault="000B5EBD" w:rsidP="000B5EBD">
      <w:pPr>
        <w:spacing w:after="200"/>
      </w:pPr>
      <w:r>
        <w:t>The da</w:t>
      </w:r>
      <w:r w:rsidRPr="004F0CBE">
        <w:t>shboard does not consider waning protection from prior Zostavax vaccinations in its calculation of coverage. The Australian Immunisation Handbook states if you previously received a free Zostavax</w:t>
      </w:r>
      <w:r w:rsidRPr="000B5EBD">
        <w:t>®</w:t>
      </w:r>
      <w:r w:rsidRPr="004F0CBE">
        <w:t> shingles vaccine under the NIP, you are not eligible to receive Shingrix</w:t>
      </w:r>
      <w:r w:rsidRPr="000B5EBD">
        <w:t>®</w:t>
      </w:r>
      <w:r w:rsidRPr="004F0CBE">
        <w:t> through the NIP until 5 years after the Zostavax dose. Shingrix was introduced to the NIP on 1 December 2023. There are two years of individuals who have received Zostavax in 2022 and 2023 who are not eligible to receive Shingrix through the NIP who are counted as not covered.</w:t>
      </w:r>
    </w:p>
    <w:p w14:paraId="0B898C94" w14:textId="77777777" w:rsidR="000B5EBD" w:rsidRPr="000B5EBD" w:rsidRDefault="000B5EBD" w:rsidP="000B5EBD">
      <w:pPr>
        <w:rPr>
          <w:rFonts w:cs="Arial"/>
          <w:bCs/>
          <w:color w:val="358189"/>
          <w:sz w:val="28"/>
          <w:szCs w:val="26"/>
        </w:rPr>
      </w:pPr>
      <w:r w:rsidRPr="000B5EBD">
        <w:rPr>
          <w:rFonts w:cs="Arial"/>
          <w:bCs/>
          <w:color w:val="358189"/>
          <w:sz w:val="28"/>
          <w:szCs w:val="26"/>
        </w:rPr>
        <w:t xml:space="preserve">Pneumococcal Coverage </w:t>
      </w:r>
    </w:p>
    <w:p w14:paraId="0AB15CBB" w14:textId="1A67D6FD" w:rsidR="000B5EBD" w:rsidRDefault="000B5EBD" w:rsidP="00893780">
      <w:pPr>
        <w:spacing w:after="200"/>
      </w:pPr>
      <w:r>
        <w:t xml:space="preserve">The Older Australian dashboard considers coverage from Pneumococcal for non-indigenous  individuals aged over 70 and indigenous individuals aged over 50. A person is considered covered if they have received one dose of Pneumococcal. </w:t>
      </w:r>
      <w:r w:rsidR="00893780">
        <w:t>T</w:t>
      </w:r>
      <w:r w:rsidR="00893780" w:rsidRPr="004F0CBE">
        <w:t xml:space="preserve">he dashboard </w:t>
      </w:r>
      <w:r w:rsidR="00893780">
        <w:t xml:space="preserve">considers individuals who have Australian Immunisation Records that have an antigen name of Pneumococcal. </w:t>
      </w:r>
    </w:p>
    <w:p w14:paraId="242D72BB" w14:textId="4392278E" w:rsidR="000B5EBD" w:rsidRDefault="000B5EBD" w:rsidP="00893780">
      <w:pPr>
        <w:spacing w:after="200"/>
      </w:pPr>
      <w:r>
        <w:t xml:space="preserve">Coverage being measured at 1 dose for indigenous </w:t>
      </w:r>
      <w:r w:rsidR="00893780">
        <w:t xml:space="preserve">individuals </w:t>
      </w:r>
      <w:r>
        <w:t>does contradict the National Immunisation Program. Within the NIP</w:t>
      </w:r>
      <w:r w:rsidR="00893780">
        <w:t>,</w:t>
      </w:r>
      <w:r>
        <w:t xml:space="preserve"> </w:t>
      </w:r>
      <w:r w:rsidR="00893780">
        <w:t>i</w:t>
      </w:r>
      <w:r>
        <w:t xml:space="preserve">ndigenous individuals are recommended to receive </w:t>
      </w:r>
      <w:r w:rsidR="00893780">
        <w:t xml:space="preserve">3 doses of </w:t>
      </w:r>
      <w:r w:rsidR="00B660A6">
        <w:t>Pneumococcal</w:t>
      </w:r>
      <w:r w:rsidR="00893780">
        <w:t>. C</w:t>
      </w:r>
      <w:r>
        <w:t xml:space="preserve">overage is considered at one dose for this dashboard due to </w:t>
      </w:r>
      <w:r w:rsidR="00893780">
        <w:t xml:space="preserve">the requirement for individuals </w:t>
      </w:r>
      <w:r>
        <w:t xml:space="preserve">to receive their </w:t>
      </w:r>
      <w:r w:rsidR="00893780">
        <w:t>2nd</w:t>
      </w:r>
      <w:r>
        <w:t xml:space="preserve"> dose of 23vPPV 10 years after their 1st dose of 13vPCV.</w:t>
      </w:r>
      <w:r w:rsidR="00893780">
        <w:t xml:space="preserve"> </w:t>
      </w:r>
    </w:p>
    <w:p w14:paraId="67341D9B" w14:textId="166E2400" w:rsidR="000B5EBD" w:rsidRDefault="000B5EBD" w:rsidP="00893780">
      <w:pPr>
        <w:spacing w:after="200"/>
      </w:pPr>
    </w:p>
    <w:p w14:paraId="3A4E4AF5" w14:textId="2510E8A4" w:rsidR="003104EB" w:rsidRDefault="003104EB" w:rsidP="003104EB">
      <w:pPr>
        <w:pStyle w:val="Heading2"/>
      </w:pPr>
      <w:r>
        <w:t xml:space="preserve">4.4 Childhood Vaccination Dashboard </w:t>
      </w:r>
    </w:p>
    <w:p w14:paraId="2B15A732" w14:textId="6AAF5820" w:rsidR="003104EB" w:rsidRPr="0040350C" w:rsidRDefault="003104EB" w:rsidP="0040350C">
      <w:pPr>
        <w:spacing w:after="200"/>
      </w:pPr>
      <w:r>
        <w:t>This section summarises the methodology and logic that has been applied to the childhood vaccination dashboard. It contains information on cadence of data updates, how coverage is calculated, and the two methods used to calculate age.</w:t>
      </w:r>
    </w:p>
    <w:p w14:paraId="06572A78" w14:textId="42AEEB55" w:rsidR="0040350C" w:rsidRPr="0040350C" w:rsidRDefault="0040350C" w:rsidP="0040350C">
      <w:pPr>
        <w:pStyle w:val="Heading3"/>
      </w:pPr>
      <w:r w:rsidRPr="0040350C">
        <w:lastRenderedPageBreak/>
        <w:t>Coverage Source and Update Cadence</w:t>
      </w:r>
    </w:p>
    <w:p w14:paraId="0215E1C8" w14:textId="77777777" w:rsidR="00F05C86" w:rsidRPr="002D398C" w:rsidRDefault="00F05C86" w:rsidP="00F05C86">
      <w:pPr>
        <w:pStyle w:val="Heading3"/>
        <w:rPr>
          <w:rFonts w:cs="Times New Roman"/>
          <w:color w:val="auto"/>
          <w:sz w:val="22"/>
          <w:szCs w:val="22"/>
        </w:rPr>
      </w:pPr>
      <w:r w:rsidRPr="002D398C">
        <w:rPr>
          <w:rFonts w:cs="Times New Roman"/>
          <w:color w:val="auto"/>
          <w:sz w:val="22"/>
          <w:szCs w:val="22"/>
        </w:rPr>
        <w:t>The childhood coverage dashboard relies on quarterly reports provided by Services Australia, which are produced on the final day of each quarter and typically made available within the first few weeks of the following quarter.</w:t>
      </w:r>
    </w:p>
    <w:p w14:paraId="2D2B3684" w14:textId="4B286E40" w:rsidR="0040350C" w:rsidRDefault="0040350C" w:rsidP="0040350C">
      <w:pPr>
        <w:pStyle w:val="Heading3"/>
      </w:pPr>
      <w:r>
        <w:t>Doses Administered/People Vaccinated Source and Update Cadence</w:t>
      </w:r>
    </w:p>
    <w:p w14:paraId="5D706A31" w14:textId="553A6A4D" w:rsidR="003104EB" w:rsidRPr="0040350C" w:rsidRDefault="0040350C" w:rsidP="003104EB">
      <w:r>
        <w:t xml:space="preserve">Information on doses administered and people vaccinated is produced directly from the Australian Immunisation Register. Updates for these statistics will be provided </w:t>
      </w:r>
      <w:r w:rsidR="5C11F284">
        <w:t>monthly</w:t>
      </w:r>
      <w:r>
        <w:t>.</w:t>
      </w:r>
    </w:p>
    <w:p w14:paraId="7AF3E2A1" w14:textId="4CB99ED1" w:rsidR="0040350C" w:rsidRPr="0040350C" w:rsidRDefault="0040350C" w:rsidP="0040350C">
      <w:pPr>
        <w:pStyle w:val="Heading3"/>
      </w:pPr>
      <w:r w:rsidRPr="0040350C">
        <w:t>Age Calculation Doses Administered/ People Vaccinated</w:t>
      </w:r>
    </w:p>
    <w:p w14:paraId="75B45972" w14:textId="7914D4DD" w:rsidR="0040350C" w:rsidRPr="0040350C" w:rsidRDefault="0040350C" w:rsidP="0040350C">
      <w:pPr>
        <w:spacing w:after="200"/>
      </w:pPr>
      <w:r>
        <w:t xml:space="preserve">The doses administered and people vaccinated measures utilise the age of the individual when they receive the vaccination. Age for these measures </w:t>
      </w:r>
      <w:r w:rsidR="5379F52E">
        <w:t>are</w:t>
      </w:r>
      <w:r>
        <w:t xml:space="preserve"> calculated by subtracting the encounter date of the vaccination from the date of birth of the recipient. </w:t>
      </w:r>
    </w:p>
    <w:p w14:paraId="7EC2670C" w14:textId="4F9CA76B" w:rsidR="0040350C" w:rsidRDefault="0040350C" w:rsidP="0040350C">
      <w:r w:rsidRPr="408DDC25">
        <w:rPr>
          <w:rFonts w:cs="Arial"/>
          <w:color w:val="358189" w:themeColor="accent2"/>
          <w:sz w:val="28"/>
          <w:szCs w:val="28"/>
        </w:rPr>
        <w:t>Coverage Age Calculation</w:t>
      </w:r>
      <w:r w:rsidRPr="408DDC25">
        <w:rPr>
          <w:b/>
          <w:bCs/>
        </w:rPr>
        <w:t xml:space="preserve"> </w:t>
      </w:r>
      <w:r>
        <w:br/>
        <w:t>Childhood coverage reports are developed by looking at quarterly cohorts of individuals who have had their 1</w:t>
      </w:r>
      <w:r w:rsidRPr="408DDC25">
        <w:rPr>
          <w:vertAlign w:val="superscript"/>
        </w:rPr>
        <w:t>st</w:t>
      </w:r>
      <w:r>
        <w:t xml:space="preserve"> birthday, 2</w:t>
      </w:r>
      <w:r w:rsidRPr="408DDC25">
        <w:rPr>
          <w:vertAlign w:val="superscript"/>
        </w:rPr>
        <w:t>nd</w:t>
      </w:r>
      <w:r>
        <w:t xml:space="preserve"> birthday and 5</w:t>
      </w:r>
      <w:r w:rsidRPr="408DDC25">
        <w:rPr>
          <w:vertAlign w:val="superscript"/>
        </w:rPr>
        <w:t>th</w:t>
      </w:r>
      <w:r>
        <w:t xml:space="preserve"> birthday in the previous quarter. Coverage only considers individuals age in three brackets 1 year olds (12-&lt;15 Months), 2 year olds (24-&lt;27 Months), and 5 year olds (60-&lt;63 Months)</w:t>
      </w:r>
    </w:p>
    <w:p w14:paraId="5F7D4AD9" w14:textId="77777777" w:rsidR="0040350C" w:rsidRPr="007D1D35" w:rsidRDefault="0040350C" w:rsidP="0040350C"/>
    <w:p w14:paraId="02F82DD3" w14:textId="74ECB51D" w:rsidR="0040350C" w:rsidRDefault="0040350C" w:rsidP="0040350C">
      <w:r w:rsidRPr="007D1D35">
        <w:t>The below table summarises</w:t>
      </w:r>
      <w:r>
        <w:t xml:space="preserve"> the method for determining</w:t>
      </w:r>
      <w:r w:rsidRPr="007D1D35">
        <w:t xml:space="preserve"> individuals that are included in the 01/07/2025 quarter 2 report.</w:t>
      </w:r>
    </w:p>
    <w:p w14:paraId="4194508F" w14:textId="77777777" w:rsidR="0040350C" w:rsidRDefault="0040350C" w:rsidP="0040350C">
      <w:pPr>
        <w:rPr>
          <w:b/>
          <w:bCs/>
        </w:rPr>
      </w:pPr>
    </w:p>
    <w:p w14:paraId="0602B1E0" w14:textId="22917723" w:rsidR="0040350C" w:rsidRPr="0040350C" w:rsidRDefault="0040350C" w:rsidP="0040350C">
      <w:pPr>
        <w:rPr>
          <w:b/>
          <w:bCs/>
        </w:rPr>
      </w:pPr>
      <w:r w:rsidRPr="0040350C">
        <w:rPr>
          <w:b/>
          <w:bCs/>
        </w:rPr>
        <w:t>Table 3: Method for determining individuals included in each quarterly report</w:t>
      </w:r>
    </w:p>
    <w:tbl>
      <w:tblPr>
        <w:tblStyle w:val="TableGrid"/>
        <w:tblW w:w="0" w:type="auto"/>
        <w:tblLook w:val="04A0" w:firstRow="1" w:lastRow="0" w:firstColumn="1" w:lastColumn="0" w:noHBand="0" w:noVBand="1"/>
      </w:tblPr>
      <w:tblGrid>
        <w:gridCol w:w="2254"/>
        <w:gridCol w:w="2254"/>
        <w:gridCol w:w="2254"/>
        <w:gridCol w:w="2254"/>
      </w:tblGrid>
      <w:tr w:rsidR="0040350C" w:rsidRPr="00CF4B3A" w14:paraId="3AC595A2" w14:textId="77777777" w:rsidTr="005F05A1">
        <w:tc>
          <w:tcPr>
            <w:tcW w:w="2254" w:type="dxa"/>
          </w:tcPr>
          <w:p w14:paraId="306E9706" w14:textId="77777777" w:rsidR="0040350C" w:rsidRPr="00CF4B3A" w:rsidRDefault="0040350C" w:rsidP="005F05A1"/>
        </w:tc>
        <w:tc>
          <w:tcPr>
            <w:tcW w:w="2254" w:type="dxa"/>
          </w:tcPr>
          <w:p w14:paraId="1DA497F1" w14:textId="77777777" w:rsidR="0040350C" w:rsidRPr="00CF4B3A" w:rsidRDefault="0040350C" w:rsidP="005F05A1">
            <w:pPr>
              <w:rPr>
                <w:b/>
                <w:bCs/>
              </w:rPr>
            </w:pPr>
            <w:r w:rsidRPr="00CF4B3A">
              <w:rPr>
                <w:b/>
                <w:bCs/>
              </w:rPr>
              <w:t>1 Year Olds (12 -&lt;15 months)</w:t>
            </w:r>
          </w:p>
        </w:tc>
        <w:tc>
          <w:tcPr>
            <w:tcW w:w="2254" w:type="dxa"/>
          </w:tcPr>
          <w:p w14:paraId="4E65A9D1" w14:textId="77777777" w:rsidR="0040350C" w:rsidRPr="00CF4B3A" w:rsidRDefault="0040350C" w:rsidP="005F05A1">
            <w:pPr>
              <w:rPr>
                <w:b/>
                <w:bCs/>
              </w:rPr>
            </w:pPr>
            <w:r w:rsidRPr="00CF4B3A">
              <w:rPr>
                <w:b/>
                <w:bCs/>
              </w:rPr>
              <w:t>2 Year Olds (24 -&lt;27months)</w:t>
            </w:r>
          </w:p>
        </w:tc>
        <w:tc>
          <w:tcPr>
            <w:tcW w:w="2254" w:type="dxa"/>
          </w:tcPr>
          <w:p w14:paraId="2D308E08" w14:textId="77777777" w:rsidR="0040350C" w:rsidRPr="00CF4B3A" w:rsidRDefault="0040350C" w:rsidP="005F05A1">
            <w:pPr>
              <w:rPr>
                <w:b/>
                <w:bCs/>
              </w:rPr>
            </w:pPr>
            <w:r w:rsidRPr="00CF4B3A">
              <w:rPr>
                <w:b/>
                <w:bCs/>
              </w:rPr>
              <w:t>5 Year Olds (60 -&lt;63 months)</w:t>
            </w:r>
          </w:p>
        </w:tc>
      </w:tr>
      <w:tr w:rsidR="0040350C" w:rsidRPr="00CF4B3A" w14:paraId="08C22735" w14:textId="77777777" w:rsidTr="005F05A1">
        <w:tc>
          <w:tcPr>
            <w:tcW w:w="2254" w:type="dxa"/>
          </w:tcPr>
          <w:p w14:paraId="490A41B1" w14:textId="77777777" w:rsidR="0040350C" w:rsidRPr="00CF4B3A" w:rsidRDefault="0040350C" w:rsidP="005F05A1">
            <w:pPr>
              <w:rPr>
                <w:b/>
                <w:bCs/>
              </w:rPr>
            </w:pPr>
            <w:r w:rsidRPr="00CF4B3A">
              <w:rPr>
                <w:b/>
                <w:bCs/>
              </w:rPr>
              <w:t>Date of Birth Range</w:t>
            </w:r>
          </w:p>
        </w:tc>
        <w:tc>
          <w:tcPr>
            <w:tcW w:w="2254" w:type="dxa"/>
          </w:tcPr>
          <w:p w14:paraId="2986F4F9" w14:textId="77777777" w:rsidR="0040350C" w:rsidRPr="00CF4B3A" w:rsidRDefault="0040350C" w:rsidP="005F05A1">
            <w:r w:rsidRPr="00CF4B3A">
              <w:t>01/01/2024-31/03/2024</w:t>
            </w:r>
          </w:p>
        </w:tc>
        <w:tc>
          <w:tcPr>
            <w:tcW w:w="2254" w:type="dxa"/>
          </w:tcPr>
          <w:p w14:paraId="3970CDD9" w14:textId="77777777" w:rsidR="0040350C" w:rsidRPr="00CF4B3A" w:rsidRDefault="0040350C" w:rsidP="005F05A1">
            <w:r w:rsidRPr="00CF4B3A">
              <w:t>01/01/2023-31/03/2023</w:t>
            </w:r>
          </w:p>
        </w:tc>
        <w:tc>
          <w:tcPr>
            <w:tcW w:w="2254" w:type="dxa"/>
          </w:tcPr>
          <w:p w14:paraId="3795CC0F" w14:textId="77777777" w:rsidR="0040350C" w:rsidRPr="00CF4B3A" w:rsidRDefault="0040350C" w:rsidP="005F05A1">
            <w:r w:rsidRPr="00CF4B3A">
              <w:t>01/01/2020-31/03/2020</w:t>
            </w:r>
          </w:p>
        </w:tc>
      </w:tr>
      <w:tr w:rsidR="0040350C" w:rsidRPr="00CF4B3A" w14:paraId="6F7C8019" w14:textId="77777777" w:rsidTr="005F05A1">
        <w:tc>
          <w:tcPr>
            <w:tcW w:w="2254" w:type="dxa"/>
          </w:tcPr>
          <w:p w14:paraId="1B66C1DF" w14:textId="77777777" w:rsidR="0040350C" w:rsidRPr="00CF4B3A" w:rsidRDefault="0040350C" w:rsidP="005F05A1">
            <w:pPr>
              <w:rPr>
                <w:b/>
                <w:bCs/>
              </w:rPr>
            </w:pPr>
            <w:r w:rsidRPr="00CF4B3A">
              <w:rPr>
                <w:b/>
                <w:bCs/>
              </w:rPr>
              <w:t>Age Calculated</w:t>
            </w:r>
          </w:p>
        </w:tc>
        <w:tc>
          <w:tcPr>
            <w:tcW w:w="2254" w:type="dxa"/>
          </w:tcPr>
          <w:p w14:paraId="50284288" w14:textId="77777777" w:rsidR="0040350C" w:rsidRPr="00CF4B3A" w:rsidRDefault="0040350C" w:rsidP="005F05A1">
            <w:r w:rsidRPr="00CF4B3A">
              <w:t>31/03/2025</w:t>
            </w:r>
          </w:p>
        </w:tc>
        <w:tc>
          <w:tcPr>
            <w:tcW w:w="2254" w:type="dxa"/>
          </w:tcPr>
          <w:p w14:paraId="338D2FED" w14:textId="77777777" w:rsidR="0040350C" w:rsidRPr="00CF4B3A" w:rsidRDefault="0040350C" w:rsidP="005F05A1">
            <w:r w:rsidRPr="00CF4B3A">
              <w:t>31/03/2025</w:t>
            </w:r>
          </w:p>
        </w:tc>
        <w:tc>
          <w:tcPr>
            <w:tcW w:w="2254" w:type="dxa"/>
          </w:tcPr>
          <w:p w14:paraId="4A746CBE" w14:textId="77777777" w:rsidR="0040350C" w:rsidRPr="00CF4B3A" w:rsidRDefault="0040350C" w:rsidP="005F05A1">
            <w:r w:rsidRPr="00CF4B3A">
              <w:t>31/03/2025</w:t>
            </w:r>
          </w:p>
        </w:tc>
      </w:tr>
      <w:tr w:rsidR="0040350C" w:rsidRPr="00CF4B3A" w14:paraId="1067573D" w14:textId="77777777" w:rsidTr="005F05A1">
        <w:tc>
          <w:tcPr>
            <w:tcW w:w="2254" w:type="dxa"/>
          </w:tcPr>
          <w:p w14:paraId="164B3F70" w14:textId="77777777" w:rsidR="0040350C" w:rsidRPr="00CF4B3A" w:rsidRDefault="0040350C" w:rsidP="005F05A1">
            <w:pPr>
              <w:rPr>
                <w:b/>
                <w:bCs/>
              </w:rPr>
            </w:pPr>
            <w:r w:rsidRPr="00CF4B3A">
              <w:rPr>
                <w:b/>
                <w:bCs/>
              </w:rPr>
              <w:t>Date of Processing</w:t>
            </w:r>
          </w:p>
        </w:tc>
        <w:tc>
          <w:tcPr>
            <w:tcW w:w="2254" w:type="dxa"/>
          </w:tcPr>
          <w:p w14:paraId="5FCD6502" w14:textId="77777777" w:rsidR="0040350C" w:rsidRPr="00CF4B3A" w:rsidRDefault="0040350C" w:rsidP="005F05A1">
            <w:r w:rsidRPr="00CF4B3A">
              <w:t>30/06/2025</w:t>
            </w:r>
          </w:p>
        </w:tc>
        <w:tc>
          <w:tcPr>
            <w:tcW w:w="2254" w:type="dxa"/>
          </w:tcPr>
          <w:p w14:paraId="65A8D5D7" w14:textId="77777777" w:rsidR="0040350C" w:rsidRPr="00CF4B3A" w:rsidRDefault="0040350C" w:rsidP="005F05A1">
            <w:r w:rsidRPr="00CF4B3A">
              <w:t>30/06/2025</w:t>
            </w:r>
          </w:p>
        </w:tc>
        <w:tc>
          <w:tcPr>
            <w:tcW w:w="2254" w:type="dxa"/>
          </w:tcPr>
          <w:p w14:paraId="19208A53" w14:textId="77777777" w:rsidR="0040350C" w:rsidRPr="00CF4B3A" w:rsidRDefault="0040350C" w:rsidP="005F05A1">
            <w:r w:rsidRPr="00CF4B3A">
              <w:t>30/06/2025</w:t>
            </w:r>
          </w:p>
        </w:tc>
      </w:tr>
    </w:tbl>
    <w:p w14:paraId="678A84C4" w14:textId="77777777" w:rsidR="0040350C" w:rsidRDefault="0040350C" w:rsidP="0040350C">
      <w:pPr>
        <w:rPr>
          <w:b/>
          <w:bCs/>
        </w:rPr>
      </w:pPr>
    </w:p>
    <w:p w14:paraId="0057132B" w14:textId="77777777" w:rsidR="0040350C" w:rsidRPr="0040350C" w:rsidRDefault="0040350C" w:rsidP="0040350C">
      <w:pPr>
        <w:rPr>
          <w:rFonts w:cs="Arial"/>
          <w:bCs/>
          <w:color w:val="358189"/>
          <w:sz w:val="28"/>
          <w:szCs w:val="26"/>
        </w:rPr>
      </w:pPr>
      <w:r w:rsidRPr="0040350C">
        <w:rPr>
          <w:rFonts w:cs="Arial"/>
          <w:bCs/>
          <w:color w:val="358189"/>
          <w:sz w:val="28"/>
          <w:szCs w:val="26"/>
        </w:rPr>
        <w:t xml:space="preserve">Coverage </w:t>
      </w:r>
      <w:proofErr w:type="spellStart"/>
      <w:r w:rsidRPr="0040350C">
        <w:rPr>
          <w:rFonts w:cs="Arial"/>
          <w:bCs/>
          <w:color w:val="358189"/>
          <w:sz w:val="28"/>
          <w:szCs w:val="26"/>
        </w:rPr>
        <w:t>Annualisation</w:t>
      </w:r>
      <w:proofErr w:type="spellEnd"/>
      <w:r w:rsidRPr="0040350C">
        <w:rPr>
          <w:rFonts w:cs="Arial"/>
          <w:bCs/>
          <w:color w:val="358189"/>
          <w:sz w:val="28"/>
          <w:szCs w:val="26"/>
        </w:rPr>
        <w:t xml:space="preserve"> </w:t>
      </w:r>
    </w:p>
    <w:p w14:paraId="042FC0D9" w14:textId="77777777" w:rsidR="0040350C" w:rsidRDefault="0040350C" w:rsidP="0040350C">
      <w:pPr>
        <w:spacing w:after="200"/>
      </w:pPr>
      <w:r w:rsidRPr="002278CF">
        <w:t xml:space="preserve">Childhood coverage measures are calculated by aggregating 4 quarterly reports to provide a rolling average coverage rate. </w:t>
      </w:r>
      <w:r>
        <w:t>Aggregating 4 quarters of information gives a full picture of individuals who have reached an age milestone in the last year and removes seasonality of vaccinations</w:t>
      </w:r>
    </w:p>
    <w:p w14:paraId="1E8B3334" w14:textId="281D670A" w:rsidR="0040350C" w:rsidRDefault="0040350C" w:rsidP="0040350C">
      <w:pPr>
        <w:spacing w:after="200"/>
      </w:pPr>
      <w:r w:rsidRPr="002278CF">
        <w:t xml:space="preserve">For example, the reporting period shown in the dashboard that states December 2025 will include </w:t>
      </w:r>
      <w:r w:rsidR="00B660A6">
        <w:t xml:space="preserve">and aggregate information from </w:t>
      </w:r>
      <w:r w:rsidRPr="002278CF">
        <w:t>the March 2025, June 2025, September 2025 and December 2025</w:t>
      </w:r>
      <w:r w:rsidR="00B660A6">
        <w:t xml:space="preserve"> Services Australia reports</w:t>
      </w:r>
      <w:r>
        <w:t xml:space="preserve"> </w:t>
      </w:r>
    </w:p>
    <w:p w14:paraId="59FE5F77" w14:textId="72E788EC" w:rsidR="003104EB" w:rsidRPr="000B5EBD" w:rsidRDefault="003104EB" w:rsidP="003104EB">
      <w:pPr>
        <w:rPr>
          <w:rFonts w:cs="Arial"/>
          <w:bCs/>
          <w:color w:val="358189"/>
          <w:sz w:val="28"/>
          <w:szCs w:val="26"/>
        </w:rPr>
      </w:pPr>
      <w:r>
        <w:rPr>
          <w:rFonts w:cs="Arial"/>
          <w:bCs/>
          <w:color w:val="358189"/>
          <w:sz w:val="28"/>
          <w:szCs w:val="26"/>
        </w:rPr>
        <w:t>Antigen</w:t>
      </w:r>
      <w:r w:rsidRPr="000B5EBD">
        <w:rPr>
          <w:rFonts w:cs="Arial"/>
          <w:bCs/>
          <w:color w:val="358189"/>
          <w:sz w:val="28"/>
          <w:szCs w:val="26"/>
        </w:rPr>
        <w:t xml:space="preserve"> Coverage </w:t>
      </w:r>
    </w:p>
    <w:p w14:paraId="33C4919B" w14:textId="5464C8E5" w:rsidR="003104EB" w:rsidRPr="00CC3A63" w:rsidRDefault="003104EB" w:rsidP="003104EB">
      <w:pPr>
        <w:rPr>
          <w:b/>
          <w:bCs/>
        </w:rPr>
      </w:pPr>
      <w:r w:rsidRPr="004F40BC">
        <w:t xml:space="preserve">The childhood coverage reports utilised in this dashboard apply the higher dose rule when measuring if someone is fully vaccinated for a given antigen. Coverage considers individuals who have received the latest vaccine in their schedule for the milestone and does not consider previous vaccinations. Dose requirements for each antigen and age group are summarised in Table </w:t>
      </w:r>
      <w:r w:rsidR="00B660A6">
        <w:t>4</w:t>
      </w:r>
      <w:r w:rsidRPr="004F40BC">
        <w:t xml:space="preserve"> below.</w:t>
      </w:r>
    </w:p>
    <w:p w14:paraId="649616E4" w14:textId="77777777" w:rsidR="003104EB" w:rsidRDefault="003104EB" w:rsidP="003104EB"/>
    <w:p w14:paraId="55A33F47" w14:textId="77777777" w:rsidR="004E2A93" w:rsidRDefault="004E2A93" w:rsidP="003104EB">
      <w:pPr>
        <w:rPr>
          <w:b/>
          <w:bCs/>
        </w:rPr>
      </w:pPr>
    </w:p>
    <w:p w14:paraId="359719BF" w14:textId="77777777" w:rsidR="004E2A93" w:rsidRDefault="004E2A93" w:rsidP="003104EB">
      <w:pPr>
        <w:rPr>
          <w:b/>
          <w:bCs/>
        </w:rPr>
      </w:pPr>
    </w:p>
    <w:p w14:paraId="65E13F05" w14:textId="77777777" w:rsidR="004E2A93" w:rsidRDefault="004E2A93" w:rsidP="003104EB">
      <w:pPr>
        <w:rPr>
          <w:b/>
          <w:bCs/>
        </w:rPr>
      </w:pPr>
    </w:p>
    <w:p w14:paraId="42ADA22E" w14:textId="77777777" w:rsidR="004E2A93" w:rsidRDefault="004E2A93" w:rsidP="003104EB">
      <w:pPr>
        <w:rPr>
          <w:b/>
          <w:bCs/>
        </w:rPr>
      </w:pPr>
    </w:p>
    <w:p w14:paraId="461D25AA" w14:textId="77777777" w:rsidR="004E2A93" w:rsidRDefault="004E2A93" w:rsidP="003104EB">
      <w:pPr>
        <w:rPr>
          <w:b/>
          <w:bCs/>
        </w:rPr>
      </w:pPr>
    </w:p>
    <w:p w14:paraId="1712AABF" w14:textId="1A33890B" w:rsidR="003104EB" w:rsidRPr="003104EB" w:rsidRDefault="003104EB" w:rsidP="003104EB">
      <w:pPr>
        <w:rPr>
          <w:b/>
          <w:bCs/>
        </w:rPr>
      </w:pPr>
      <w:r w:rsidRPr="003104EB">
        <w:rPr>
          <w:b/>
          <w:bCs/>
        </w:rPr>
        <w:lastRenderedPageBreak/>
        <w:t xml:space="preserve">Table </w:t>
      </w:r>
      <w:r w:rsidR="00B660A6">
        <w:rPr>
          <w:b/>
          <w:bCs/>
        </w:rPr>
        <w:t>4</w:t>
      </w:r>
      <w:r w:rsidRPr="003104EB">
        <w:rPr>
          <w:b/>
          <w:bCs/>
        </w:rPr>
        <w:t>: Current Childhood Coverage rules for AIR as at February 2026</w:t>
      </w:r>
    </w:p>
    <w:tbl>
      <w:tblPr>
        <w:tblStyle w:val="TableGrid"/>
        <w:tblW w:w="0" w:type="auto"/>
        <w:tblLook w:val="04A0" w:firstRow="1" w:lastRow="0" w:firstColumn="1" w:lastColumn="0" w:noHBand="0" w:noVBand="1"/>
      </w:tblPr>
      <w:tblGrid>
        <w:gridCol w:w="4508"/>
        <w:gridCol w:w="4508"/>
      </w:tblGrid>
      <w:tr w:rsidR="003104EB" w14:paraId="59439466" w14:textId="77777777" w:rsidTr="005F05A1">
        <w:tc>
          <w:tcPr>
            <w:tcW w:w="9016" w:type="dxa"/>
            <w:gridSpan w:val="2"/>
          </w:tcPr>
          <w:p w14:paraId="422D2725" w14:textId="77777777" w:rsidR="003104EB" w:rsidRPr="00495D16" w:rsidRDefault="003104EB" w:rsidP="005F05A1">
            <w:pPr>
              <w:rPr>
                <w:b/>
                <w:bCs/>
              </w:rPr>
            </w:pPr>
            <w:r w:rsidRPr="00495D16">
              <w:rPr>
                <w:b/>
                <w:bCs/>
              </w:rPr>
              <w:t>12 -&lt;15 Month Cohort (1 Year Milestone)</w:t>
            </w:r>
          </w:p>
        </w:tc>
      </w:tr>
      <w:tr w:rsidR="003104EB" w14:paraId="091856C7" w14:textId="77777777" w:rsidTr="005F05A1">
        <w:tc>
          <w:tcPr>
            <w:tcW w:w="4508" w:type="dxa"/>
          </w:tcPr>
          <w:p w14:paraId="10A104B8" w14:textId="77777777" w:rsidR="003104EB" w:rsidRPr="00B45416" w:rsidRDefault="003104EB" w:rsidP="005F05A1">
            <w:pPr>
              <w:spacing w:after="160" w:line="259" w:lineRule="auto"/>
            </w:pPr>
            <w:r w:rsidRPr="00B45416">
              <w:t xml:space="preserve">DTP </w:t>
            </w:r>
          </w:p>
          <w:p w14:paraId="0C3EBD65" w14:textId="77777777" w:rsidR="003104EB" w:rsidRDefault="003104EB" w:rsidP="005F05A1"/>
        </w:tc>
        <w:tc>
          <w:tcPr>
            <w:tcW w:w="4508" w:type="dxa"/>
          </w:tcPr>
          <w:p w14:paraId="5DF48828" w14:textId="77777777" w:rsidR="003104EB" w:rsidRDefault="003104EB" w:rsidP="005F05A1">
            <w:r w:rsidRPr="00B45416">
              <w:t>Diphtheria dose 3 + Tetanus dose 3 + Pertussis dose 3</w:t>
            </w:r>
          </w:p>
        </w:tc>
      </w:tr>
      <w:tr w:rsidR="003104EB" w14:paraId="525F6215" w14:textId="77777777" w:rsidTr="005F05A1">
        <w:tc>
          <w:tcPr>
            <w:tcW w:w="4508" w:type="dxa"/>
          </w:tcPr>
          <w:p w14:paraId="05C5C785" w14:textId="77777777" w:rsidR="003104EB" w:rsidRDefault="003104EB" w:rsidP="005F05A1">
            <w:r>
              <w:t>POLIO</w:t>
            </w:r>
          </w:p>
        </w:tc>
        <w:tc>
          <w:tcPr>
            <w:tcW w:w="4508" w:type="dxa"/>
          </w:tcPr>
          <w:p w14:paraId="0F83E7C6" w14:textId="77777777" w:rsidR="003104EB" w:rsidRDefault="003104EB" w:rsidP="005F05A1">
            <w:r w:rsidRPr="00B45416">
              <w:t>Polio dose 3</w:t>
            </w:r>
          </w:p>
        </w:tc>
      </w:tr>
      <w:tr w:rsidR="003104EB" w14:paraId="2699BE35" w14:textId="77777777" w:rsidTr="005F05A1">
        <w:tc>
          <w:tcPr>
            <w:tcW w:w="4508" w:type="dxa"/>
          </w:tcPr>
          <w:p w14:paraId="3042A096" w14:textId="77777777" w:rsidR="003104EB" w:rsidRDefault="003104EB" w:rsidP="005F05A1">
            <w:r>
              <w:t>HIB</w:t>
            </w:r>
          </w:p>
        </w:tc>
        <w:tc>
          <w:tcPr>
            <w:tcW w:w="4508" w:type="dxa"/>
          </w:tcPr>
          <w:p w14:paraId="071775FC" w14:textId="77777777" w:rsidR="003104EB" w:rsidRPr="00B45416" w:rsidRDefault="003104EB" w:rsidP="005F05A1">
            <w:pPr>
              <w:spacing w:after="160" w:line="259" w:lineRule="auto"/>
            </w:pPr>
            <w:r w:rsidRPr="00B45416">
              <w:t xml:space="preserve">Haemophilus type B (Pathway B) dose 2 </w:t>
            </w:r>
            <w:r>
              <w:t xml:space="preserve">or </w:t>
            </w:r>
            <w:r w:rsidRPr="00B45416">
              <w:t>Haemophilus type B (Pathway A) dose 3</w:t>
            </w:r>
          </w:p>
          <w:p w14:paraId="2A15EFB5" w14:textId="77777777" w:rsidR="003104EB" w:rsidRDefault="003104EB" w:rsidP="005F05A1"/>
        </w:tc>
      </w:tr>
      <w:tr w:rsidR="003104EB" w14:paraId="0710D3B7" w14:textId="77777777" w:rsidTr="005F05A1">
        <w:tc>
          <w:tcPr>
            <w:tcW w:w="4508" w:type="dxa"/>
          </w:tcPr>
          <w:p w14:paraId="7322CDB8" w14:textId="77777777" w:rsidR="003104EB" w:rsidRDefault="003104EB" w:rsidP="005F05A1">
            <w:r>
              <w:t>HEP B</w:t>
            </w:r>
          </w:p>
        </w:tc>
        <w:tc>
          <w:tcPr>
            <w:tcW w:w="4508" w:type="dxa"/>
          </w:tcPr>
          <w:p w14:paraId="193AFD37" w14:textId="77777777" w:rsidR="003104EB" w:rsidRDefault="003104EB" w:rsidP="005F05A1">
            <w:r w:rsidRPr="00B45416">
              <w:t>Hepatitis B (Birth dose) + dose 2 OR dose 3</w:t>
            </w:r>
          </w:p>
        </w:tc>
      </w:tr>
      <w:tr w:rsidR="003104EB" w14:paraId="05C7B5A4" w14:textId="77777777" w:rsidTr="005F05A1">
        <w:tc>
          <w:tcPr>
            <w:tcW w:w="4508" w:type="dxa"/>
          </w:tcPr>
          <w:p w14:paraId="2B96D7D1" w14:textId="77777777" w:rsidR="003104EB" w:rsidRDefault="003104EB" w:rsidP="005F05A1">
            <w:pPr>
              <w:spacing w:after="160" w:line="259" w:lineRule="auto"/>
            </w:pPr>
            <w:proofErr w:type="spellStart"/>
            <w:r w:rsidRPr="00B45416">
              <w:t>Pneumo</w:t>
            </w:r>
            <w:proofErr w:type="spellEnd"/>
            <w:r w:rsidRPr="00B45416">
              <w:t xml:space="preserve"> </w:t>
            </w:r>
          </w:p>
        </w:tc>
        <w:tc>
          <w:tcPr>
            <w:tcW w:w="4508" w:type="dxa"/>
          </w:tcPr>
          <w:p w14:paraId="54E23994" w14:textId="77777777" w:rsidR="003104EB" w:rsidRDefault="003104EB" w:rsidP="005F05A1">
            <w:r w:rsidRPr="00B45416">
              <w:t>Pneumococcal dose 2 OR dose 3</w:t>
            </w:r>
          </w:p>
        </w:tc>
      </w:tr>
      <w:tr w:rsidR="003104EB" w14:paraId="0374DFC6" w14:textId="77777777" w:rsidTr="005F05A1">
        <w:tc>
          <w:tcPr>
            <w:tcW w:w="4508" w:type="dxa"/>
          </w:tcPr>
          <w:p w14:paraId="59900402" w14:textId="77777777" w:rsidR="003104EB" w:rsidRDefault="003104EB" w:rsidP="005F05A1">
            <w:r w:rsidRPr="00B45416">
              <w:t>MMR</w:t>
            </w:r>
          </w:p>
        </w:tc>
        <w:tc>
          <w:tcPr>
            <w:tcW w:w="4508" w:type="dxa"/>
          </w:tcPr>
          <w:p w14:paraId="04F699BF" w14:textId="77777777" w:rsidR="003104EB" w:rsidRDefault="003104EB" w:rsidP="005F05A1">
            <w:r w:rsidRPr="00B45416">
              <w:t>Not assessed</w:t>
            </w:r>
          </w:p>
        </w:tc>
      </w:tr>
      <w:tr w:rsidR="003104EB" w14:paraId="4F8F9504" w14:textId="77777777" w:rsidTr="005F05A1">
        <w:tc>
          <w:tcPr>
            <w:tcW w:w="4508" w:type="dxa"/>
          </w:tcPr>
          <w:p w14:paraId="35B968ED" w14:textId="77777777" w:rsidR="003104EB" w:rsidRDefault="003104EB" w:rsidP="005F05A1">
            <w:pPr>
              <w:spacing w:after="160" w:line="259" w:lineRule="auto"/>
            </w:pPr>
            <w:r w:rsidRPr="00B45416">
              <w:t xml:space="preserve">Men C/Men ACWY </w:t>
            </w:r>
          </w:p>
        </w:tc>
        <w:tc>
          <w:tcPr>
            <w:tcW w:w="4508" w:type="dxa"/>
          </w:tcPr>
          <w:p w14:paraId="24FB1634" w14:textId="77777777" w:rsidR="003104EB" w:rsidRDefault="003104EB" w:rsidP="005F05A1">
            <w:r w:rsidRPr="00B45416">
              <w:t>Not assessed</w:t>
            </w:r>
          </w:p>
        </w:tc>
      </w:tr>
      <w:tr w:rsidR="003104EB" w14:paraId="23B12C26" w14:textId="77777777" w:rsidTr="005F05A1">
        <w:tc>
          <w:tcPr>
            <w:tcW w:w="4508" w:type="dxa"/>
          </w:tcPr>
          <w:p w14:paraId="5254A945" w14:textId="77777777" w:rsidR="003104EB" w:rsidRDefault="003104EB" w:rsidP="005F05A1">
            <w:pPr>
              <w:spacing w:after="160" w:line="259" w:lineRule="auto"/>
            </w:pPr>
            <w:r w:rsidRPr="00B45416">
              <w:t xml:space="preserve">Varicella </w:t>
            </w:r>
          </w:p>
        </w:tc>
        <w:tc>
          <w:tcPr>
            <w:tcW w:w="4508" w:type="dxa"/>
          </w:tcPr>
          <w:p w14:paraId="14EEAEB6" w14:textId="77777777" w:rsidR="003104EB" w:rsidRDefault="003104EB" w:rsidP="005F05A1">
            <w:pPr>
              <w:spacing w:after="160" w:line="259" w:lineRule="auto"/>
            </w:pPr>
            <w:r w:rsidRPr="00B45416">
              <w:t>Not assessed</w:t>
            </w:r>
          </w:p>
        </w:tc>
      </w:tr>
      <w:tr w:rsidR="003104EB" w14:paraId="3863803E" w14:textId="77777777" w:rsidTr="005F05A1">
        <w:tc>
          <w:tcPr>
            <w:tcW w:w="9016" w:type="dxa"/>
            <w:gridSpan w:val="2"/>
          </w:tcPr>
          <w:p w14:paraId="5EF771D7" w14:textId="77777777" w:rsidR="003104EB" w:rsidRPr="00B45416" w:rsidRDefault="003104EB" w:rsidP="005F05A1">
            <w:pPr>
              <w:spacing w:after="160" w:line="259" w:lineRule="auto"/>
              <w:rPr>
                <w:b/>
                <w:bCs/>
              </w:rPr>
            </w:pPr>
            <w:r w:rsidRPr="00B45416">
              <w:rPr>
                <w:b/>
                <w:bCs/>
              </w:rPr>
              <w:t>24-&lt;27 Month Cohort</w:t>
            </w:r>
            <w:r w:rsidRPr="00495D16">
              <w:rPr>
                <w:b/>
                <w:bCs/>
              </w:rPr>
              <w:t xml:space="preserve"> (</w:t>
            </w:r>
            <w:proofErr w:type="gramStart"/>
            <w:r w:rsidRPr="00495D16">
              <w:rPr>
                <w:b/>
                <w:bCs/>
              </w:rPr>
              <w:t>2 Year Old</w:t>
            </w:r>
            <w:proofErr w:type="gramEnd"/>
            <w:r w:rsidRPr="00495D16">
              <w:rPr>
                <w:b/>
                <w:bCs/>
              </w:rPr>
              <w:t xml:space="preserve"> Milestone)</w:t>
            </w:r>
          </w:p>
          <w:p w14:paraId="55D71C3F" w14:textId="77777777" w:rsidR="003104EB" w:rsidRDefault="003104EB" w:rsidP="005F05A1"/>
        </w:tc>
      </w:tr>
      <w:tr w:rsidR="003104EB" w14:paraId="73CB8830" w14:textId="77777777" w:rsidTr="005F05A1">
        <w:tc>
          <w:tcPr>
            <w:tcW w:w="4508" w:type="dxa"/>
          </w:tcPr>
          <w:p w14:paraId="5C3B9ED1" w14:textId="77777777" w:rsidR="003104EB" w:rsidRPr="00B45416" w:rsidRDefault="003104EB" w:rsidP="005F05A1">
            <w:pPr>
              <w:spacing w:after="160" w:line="259" w:lineRule="auto"/>
            </w:pPr>
            <w:r w:rsidRPr="00B45416">
              <w:t xml:space="preserve">DTP </w:t>
            </w:r>
          </w:p>
          <w:p w14:paraId="76489F06" w14:textId="77777777" w:rsidR="003104EB" w:rsidRDefault="003104EB" w:rsidP="005F05A1"/>
        </w:tc>
        <w:tc>
          <w:tcPr>
            <w:tcW w:w="4508" w:type="dxa"/>
          </w:tcPr>
          <w:p w14:paraId="5B09A6FC" w14:textId="77777777" w:rsidR="003104EB" w:rsidRPr="00B45416" w:rsidRDefault="003104EB" w:rsidP="005F05A1">
            <w:pPr>
              <w:spacing w:after="160" w:line="259" w:lineRule="auto"/>
            </w:pPr>
            <w:r w:rsidRPr="00B45416">
              <w:t>Diphtheria dose 4 + Tetanus dose 4 + Pertussis dose 4</w:t>
            </w:r>
          </w:p>
          <w:p w14:paraId="1C57EA7D" w14:textId="77777777" w:rsidR="003104EB" w:rsidRDefault="003104EB" w:rsidP="005F05A1"/>
        </w:tc>
      </w:tr>
      <w:tr w:rsidR="003104EB" w14:paraId="3A2916F7" w14:textId="77777777" w:rsidTr="005F05A1">
        <w:tc>
          <w:tcPr>
            <w:tcW w:w="4508" w:type="dxa"/>
          </w:tcPr>
          <w:p w14:paraId="62347DEA" w14:textId="77777777" w:rsidR="003104EB" w:rsidRDefault="003104EB" w:rsidP="005F05A1">
            <w:r>
              <w:t>POLIO</w:t>
            </w:r>
          </w:p>
        </w:tc>
        <w:tc>
          <w:tcPr>
            <w:tcW w:w="4508" w:type="dxa"/>
          </w:tcPr>
          <w:p w14:paraId="12CF6A2E" w14:textId="77777777" w:rsidR="003104EB" w:rsidRDefault="003104EB" w:rsidP="005F05A1">
            <w:r w:rsidRPr="00B45416">
              <w:t>Polio dose 3</w:t>
            </w:r>
          </w:p>
        </w:tc>
      </w:tr>
      <w:tr w:rsidR="003104EB" w14:paraId="6D91504A" w14:textId="77777777" w:rsidTr="005F05A1">
        <w:tc>
          <w:tcPr>
            <w:tcW w:w="4508" w:type="dxa"/>
          </w:tcPr>
          <w:p w14:paraId="5562DAAB" w14:textId="77777777" w:rsidR="003104EB" w:rsidRDefault="003104EB" w:rsidP="005F05A1">
            <w:r>
              <w:t>HIB</w:t>
            </w:r>
          </w:p>
        </w:tc>
        <w:tc>
          <w:tcPr>
            <w:tcW w:w="4508" w:type="dxa"/>
          </w:tcPr>
          <w:p w14:paraId="4C6BC343" w14:textId="77777777" w:rsidR="003104EB" w:rsidRPr="00B45416" w:rsidRDefault="003104EB" w:rsidP="005F05A1">
            <w:pPr>
              <w:spacing w:after="160" w:line="259" w:lineRule="auto"/>
            </w:pPr>
            <w:r w:rsidRPr="00B45416">
              <w:t>Haemophilus type B (Pathway B) dose 3 OR dose 4</w:t>
            </w:r>
          </w:p>
          <w:p w14:paraId="5D2EC5D1" w14:textId="77777777" w:rsidR="003104EB" w:rsidRPr="00B45416" w:rsidRDefault="003104EB" w:rsidP="005F05A1">
            <w:pPr>
              <w:spacing w:after="160" w:line="259" w:lineRule="auto"/>
            </w:pPr>
            <w:r w:rsidRPr="00B45416">
              <w:t xml:space="preserve">Haemophilus type B (Pathway A) dose 4 OR dose 3 given greater than 11 </w:t>
            </w:r>
            <w:r w:rsidRPr="00B45416">
              <w:rPr>
                <w:rFonts w:hint="eastAsia"/>
              </w:rPr>
              <w:t>½</w:t>
            </w:r>
          </w:p>
          <w:p w14:paraId="6667D304" w14:textId="77777777" w:rsidR="003104EB" w:rsidRPr="00B45416" w:rsidRDefault="003104EB" w:rsidP="005F05A1">
            <w:pPr>
              <w:spacing w:after="160" w:line="259" w:lineRule="auto"/>
            </w:pPr>
            <w:r w:rsidRPr="00B45416">
              <w:t>months of age</w:t>
            </w:r>
          </w:p>
          <w:p w14:paraId="38173677" w14:textId="77777777" w:rsidR="003104EB" w:rsidRDefault="003104EB" w:rsidP="005F05A1"/>
        </w:tc>
      </w:tr>
      <w:tr w:rsidR="003104EB" w14:paraId="7083EF05" w14:textId="77777777" w:rsidTr="005F05A1">
        <w:tc>
          <w:tcPr>
            <w:tcW w:w="4508" w:type="dxa"/>
          </w:tcPr>
          <w:p w14:paraId="7AC217A6" w14:textId="77777777" w:rsidR="003104EB" w:rsidRDefault="003104EB" w:rsidP="005F05A1">
            <w:r>
              <w:t>HEP B</w:t>
            </w:r>
          </w:p>
        </w:tc>
        <w:tc>
          <w:tcPr>
            <w:tcW w:w="4508" w:type="dxa"/>
          </w:tcPr>
          <w:p w14:paraId="03122362" w14:textId="77777777" w:rsidR="003104EB" w:rsidRPr="00B45416" w:rsidRDefault="003104EB" w:rsidP="005F05A1">
            <w:pPr>
              <w:spacing w:after="160" w:line="259" w:lineRule="auto"/>
            </w:pPr>
            <w:r w:rsidRPr="00B45416">
              <w:t>Hepatitis B (Birth dose) + dose 2 or dose 3</w:t>
            </w:r>
          </w:p>
          <w:p w14:paraId="69E4259D" w14:textId="77777777" w:rsidR="003104EB" w:rsidRDefault="003104EB" w:rsidP="005F05A1"/>
        </w:tc>
      </w:tr>
      <w:tr w:rsidR="003104EB" w14:paraId="41C3F007" w14:textId="77777777" w:rsidTr="005F05A1">
        <w:tc>
          <w:tcPr>
            <w:tcW w:w="4508" w:type="dxa"/>
          </w:tcPr>
          <w:p w14:paraId="107594BF" w14:textId="77777777" w:rsidR="003104EB" w:rsidRDefault="003104EB" w:rsidP="005F05A1">
            <w:proofErr w:type="spellStart"/>
            <w:r w:rsidRPr="00B45416">
              <w:t>Pneumo</w:t>
            </w:r>
            <w:proofErr w:type="spellEnd"/>
            <w:r w:rsidRPr="00B45416">
              <w:t xml:space="preserve"> </w:t>
            </w:r>
          </w:p>
        </w:tc>
        <w:tc>
          <w:tcPr>
            <w:tcW w:w="4508" w:type="dxa"/>
          </w:tcPr>
          <w:p w14:paraId="09D815AB" w14:textId="77777777" w:rsidR="003104EB" w:rsidRDefault="003104EB" w:rsidP="005F05A1">
            <w:r w:rsidRPr="00B45416">
              <w:t>Pneumococcal dose 3 OR dose 4</w:t>
            </w:r>
          </w:p>
        </w:tc>
      </w:tr>
      <w:tr w:rsidR="003104EB" w14:paraId="4C053D19" w14:textId="77777777" w:rsidTr="005F05A1">
        <w:tc>
          <w:tcPr>
            <w:tcW w:w="4508" w:type="dxa"/>
          </w:tcPr>
          <w:p w14:paraId="14DC0B25" w14:textId="77777777" w:rsidR="003104EB" w:rsidRDefault="003104EB" w:rsidP="005F05A1">
            <w:r w:rsidRPr="00B45416">
              <w:t>MMR</w:t>
            </w:r>
          </w:p>
        </w:tc>
        <w:tc>
          <w:tcPr>
            <w:tcW w:w="4508" w:type="dxa"/>
          </w:tcPr>
          <w:p w14:paraId="58A452AC" w14:textId="77777777" w:rsidR="003104EB" w:rsidRPr="00B45416" w:rsidRDefault="003104EB" w:rsidP="005F05A1">
            <w:pPr>
              <w:spacing w:after="160" w:line="259" w:lineRule="auto"/>
            </w:pPr>
            <w:r w:rsidRPr="00B45416">
              <w:t>Measles dose 2 + Mumps dose 2 + Rubella dose 2</w:t>
            </w:r>
          </w:p>
          <w:p w14:paraId="33046E39" w14:textId="77777777" w:rsidR="003104EB" w:rsidRDefault="003104EB" w:rsidP="005F05A1"/>
        </w:tc>
      </w:tr>
      <w:tr w:rsidR="003104EB" w14:paraId="224240A7" w14:textId="77777777" w:rsidTr="005F05A1">
        <w:tc>
          <w:tcPr>
            <w:tcW w:w="4508" w:type="dxa"/>
          </w:tcPr>
          <w:p w14:paraId="0005D15C" w14:textId="77777777" w:rsidR="003104EB" w:rsidRDefault="003104EB" w:rsidP="005F05A1">
            <w:r w:rsidRPr="00B45416">
              <w:t xml:space="preserve">Men C/Men ACWY </w:t>
            </w:r>
          </w:p>
        </w:tc>
        <w:tc>
          <w:tcPr>
            <w:tcW w:w="4508" w:type="dxa"/>
          </w:tcPr>
          <w:p w14:paraId="7A3D71C3" w14:textId="77777777" w:rsidR="003104EB" w:rsidRDefault="003104EB" w:rsidP="005F05A1">
            <w:r w:rsidRPr="00B45416">
              <w:t>Meningococcal C dose 1</w:t>
            </w:r>
          </w:p>
        </w:tc>
      </w:tr>
      <w:tr w:rsidR="003104EB" w14:paraId="4AAE28FD" w14:textId="77777777" w:rsidTr="005F05A1">
        <w:tc>
          <w:tcPr>
            <w:tcW w:w="4508" w:type="dxa"/>
          </w:tcPr>
          <w:p w14:paraId="62B6FCD7" w14:textId="77777777" w:rsidR="003104EB" w:rsidRDefault="003104EB" w:rsidP="005F05A1">
            <w:r w:rsidRPr="00B45416">
              <w:t xml:space="preserve">Varicella </w:t>
            </w:r>
          </w:p>
        </w:tc>
        <w:tc>
          <w:tcPr>
            <w:tcW w:w="4508" w:type="dxa"/>
          </w:tcPr>
          <w:p w14:paraId="210EAA76" w14:textId="77777777" w:rsidR="003104EB" w:rsidRDefault="003104EB" w:rsidP="005F05A1">
            <w:r w:rsidRPr="00B45416">
              <w:t>Varicella dose 1 OR dose 2</w:t>
            </w:r>
          </w:p>
        </w:tc>
      </w:tr>
      <w:tr w:rsidR="003104EB" w14:paraId="1419B331" w14:textId="77777777" w:rsidTr="005F05A1">
        <w:tc>
          <w:tcPr>
            <w:tcW w:w="9016" w:type="dxa"/>
            <w:gridSpan w:val="2"/>
          </w:tcPr>
          <w:p w14:paraId="16674DA0" w14:textId="77777777" w:rsidR="003104EB" w:rsidRPr="00495D16" w:rsidRDefault="003104EB" w:rsidP="005F05A1">
            <w:pPr>
              <w:rPr>
                <w:b/>
                <w:bCs/>
              </w:rPr>
            </w:pPr>
            <w:r w:rsidRPr="00495D16">
              <w:rPr>
                <w:b/>
                <w:bCs/>
              </w:rPr>
              <w:t>60-63 Month Olds (5 Year Olds Milestone)</w:t>
            </w:r>
          </w:p>
        </w:tc>
      </w:tr>
      <w:tr w:rsidR="003104EB" w14:paraId="0554671C" w14:textId="77777777" w:rsidTr="005F05A1">
        <w:tc>
          <w:tcPr>
            <w:tcW w:w="4508" w:type="dxa"/>
          </w:tcPr>
          <w:p w14:paraId="38FC1DE4" w14:textId="77777777" w:rsidR="003104EB" w:rsidRPr="00B45416" w:rsidRDefault="003104EB" w:rsidP="005F05A1">
            <w:pPr>
              <w:spacing w:after="160" w:line="259" w:lineRule="auto"/>
            </w:pPr>
            <w:r w:rsidRPr="00B45416">
              <w:t xml:space="preserve">DTP </w:t>
            </w:r>
          </w:p>
          <w:p w14:paraId="3B138B6C" w14:textId="77777777" w:rsidR="003104EB" w:rsidRDefault="003104EB" w:rsidP="005F05A1"/>
        </w:tc>
        <w:tc>
          <w:tcPr>
            <w:tcW w:w="4508" w:type="dxa"/>
          </w:tcPr>
          <w:p w14:paraId="77D86EAB" w14:textId="77777777" w:rsidR="003104EB" w:rsidRPr="00B45416" w:rsidRDefault="003104EB" w:rsidP="005F05A1">
            <w:pPr>
              <w:spacing w:after="160" w:line="259" w:lineRule="auto"/>
            </w:pPr>
            <w:r w:rsidRPr="00B45416">
              <w:t>Diphtheria dose 5 + Tetanus dose 5 + Pertussis dose 5</w:t>
            </w:r>
          </w:p>
          <w:p w14:paraId="451A9E6A" w14:textId="77777777" w:rsidR="003104EB" w:rsidRPr="00B45416" w:rsidRDefault="003104EB" w:rsidP="005F05A1">
            <w:pPr>
              <w:spacing w:after="160" w:line="259" w:lineRule="auto"/>
            </w:pPr>
            <w:r w:rsidRPr="00B45416">
              <w:t>OR</w:t>
            </w:r>
          </w:p>
          <w:p w14:paraId="293C31EF" w14:textId="77777777" w:rsidR="003104EB" w:rsidRDefault="003104EB" w:rsidP="005F05A1">
            <w:pPr>
              <w:spacing w:after="160" w:line="259" w:lineRule="auto"/>
            </w:pPr>
            <w:r w:rsidRPr="00B45416">
              <w:t>Diphtheria dose 4 + Tetanus dose 4 + Pertussis dose 4 (if given to individual</w:t>
            </w:r>
            <w:r>
              <w:t xml:space="preserve"> </w:t>
            </w:r>
            <w:r w:rsidRPr="00B45416">
              <w:t>after 3.5 years of age).</w:t>
            </w:r>
          </w:p>
        </w:tc>
      </w:tr>
      <w:tr w:rsidR="003104EB" w14:paraId="2E8D251C" w14:textId="77777777" w:rsidTr="005F05A1">
        <w:tc>
          <w:tcPr>
            <w:tcW w:w="4508" w:type="dxa"/>
          </w:tcPr>
          <w:p w14:paraId="12044304" w14:textId="77777777" w:rsidR="003104EB" w:rsidRDefault="003104EB" w:rsidP="005F05A1">
            <w:r>
              <w:t>POLIO</w:t>
            </w:r>
          </w:p>
        </w:tc>
        <w:tc>
          <w:tcPr>
            <w:tcW w:w="4508" w:type="dxa"/>
          </w:tcPr>
          <w:p w14:paraId="488B9983" w14:textId="77777777" w:rsidR="003104EB" w:rsidRDefault="003104EB" w:rsidP="005F05A1">
            <w:r w:rsidRPr="00B45416">
              <w:t>Polio dose 4</w:t>
            </w:r>
          </w:p>
        </w:tc>
      </w:tr>
      <w:tr w:rsidR="003104EB" w14:paraId="34B4F5CA" w14:textId="77777777" w:rsidTr="005F05A1">
        <w:tc>
          <w:tcPr>
            <w:tcW w:w="4508" w:type="dxa"/>
          </w:tcPr>
          <w:p w14:paraId="77D579F0" w14:textId="77777777" w:rsidR="003104EB" w:rsidRDefault="003104EB" w:rsidP="005F05A1">
            <w:r>
              <w:t>HIB</w:t>
            </w:r>
          </w:p>
        </w:tc>
        <w:tc>
          <w:tcPr>
            <w:tcW w:w="4508" w:type="dxa"/>
          </w:tcPr>
          <w:p w14:paraId="53B3D310" w14:textId="77777777" w:rsidR="003104EB" w:rsidRDefault="003104EB" w:rsidP="005F05A1">
            <w:r>
              <w:t>Not Assessed</w:t>
            </w:r>
          </w:p>
        </w:tc>
      </w:tr>
      <w:tr w:rsidR="003104EB" w14:paraId="3BC47DD2" w14:textId="77777777" w:rsidTr="005F05A1">
        <w:tc>
          <w:tcPr>
            <w:tcW w:w="4508" w:type="dxa"/>
          </w:tcPr>
          <w:p w14:paraId="1D460C38" w14:textId="77777777" w:rsidR="003104EB" w:rsidRDefault="003104EB" w:rsidP="005F05A1">
            <w:r>
              <w:lastRenderedPageBreak/>
              <w:t>HEP B</w:t>
            </w:r>
          </w:p>
        </w:tc>
        <w:tc>
          <w:tcPr>
            <w:tcW w:w="4508" w:type="dxa"/>
          </w:tcPr>
          <w:p w14:paraId="234F7EE9" w14:textId="77777777" w:rsidR="003104EB" w:rsidRDefault="003104EB" w:rsidP="005F05A1">
            <w:r>
              <w:t>Not Assessed</w:t>
            </w:r>
          </w:p>
        </w:tc>
      </w:tr>
      <w:tr w:rsidR="003104EB" w14:paraId="5407DDC1" w14:textId="77777777" w:rsidTr="005F05A1">
        <w:tc>
          <w:tcPr>
            <w:tcW w:w="4508" w:type="dxa"/>
          </w:tcPr>
          <w:p w14:paraId="7C1BBE92" w14:textId="77777777" w:rsidR="003104EB" w:rsidRDefault="003104EB" w:rsidP="005F05A1">
            <w:proofErr w:type="spellStart"/>
            <w:r w:rsidRPr="00B45416">
              <w:t>Pneumo</w:t>
            </w:r>
            <w:proofErr w:type="spellEnd"/>
            <w:r w:rsidRPr="00B45416">
              <w:t xml:space="preserve"> </w:t>
            </w:r>
          </w:p>
        </w:tc>
        <w:tc>
          <w:tcPr>
            <w:tcW w:w="4508" w:type="dxa"/>
          </w:tcPr>
          <w:p w14:paraId="4F6AECB6" w14:textId="77777777" w:rsidR="003104EB" w:rsidRDefault="003104EB" w:rsidP="005F05A1">
            <w:r>
              <w:t>Not Assessed</w:t>
            </w:r>
          </w:p>
        </w:tc>
      </w:tr>
      <w:tr w:rsidR="003104EB" w14:paraId="34427441" w14:textId="77777777" w:rsidTr="005F05A1">
        <w:tc>
          <w:tcPr>
            <w:tcW w:w="4508" w:type="dxa"/>
          </w:tcPr>
          <w:p w14:paraId="4CD31492" w14:textId="77777777" w:rsidR="003104EB" w:rsidRDefault="003104EB" w:rsidP="005F05A1">
            <w:r w:rsidRPr="00B45416">
              <w:t>MMR</w:t>
            </w:r>
          </w:p>
        </w:tc>
        <w:tc>
          <w:tcPr>
            <w:tcW w:w="4508" w:type="dxa"/>
          </w:tcPr>
          <w:p w14:paraId="58C90E9D" w14:textId="77777777" w:rsidR="003104EB" w:rsidRDefault="003104EB" w:rsidP="005F05A1">
            <w:r>
              <w:t>Not Assessed</w:t>
            </w:r>
          </w:p>
        </w:tc>
      </w:tr>
      <w:tr w:rsidR="003104EB" w14:paraId="4F899707" w14:textId="77777777" w:rsidTr="005F05A1">
        <w:tc>
          <w:tcPr>
            <w:tcW w:w="4508" w:type="dxa"/>
          </w:tcPr>
          <w:p w14:paraId="7472A592" w14:textId="77777777" w:rsidR="003104EB" w:rsidRDefault="003104EB" w:rsidP="005F05A1">
            <w:r w:rsidRPr="00B45416">
              <w:t xml:space="preserve">Men C/Men ACWY </w:t>
            </w:r>
          </w:p>
        </w:tc>
        <w:tc>
          <w:tcPr>
            <w:tcW w:w="4508" w:type="dxa"/>
          </w:tcPr>
          <w:p w14:paraId="6D46C893" w14:textId="77777777" w:rsidR="003104EB" w:rsidRDefault="003104EB" w:rsidP="005F05A1">
            <w:r>
              <w:t>Not Assessed</w:t>
            </w:r>
          </w:p>
        </w:tc>
      </w:tr>
      <w:tr w:rsidR="003104EB" w14:paraId="2A4F692A" w14:textId="77777777" w:rsidTr="005F05A1">
        <w:tc>
          <w:tcPr>
            <w:tcW w:w="4508" w:type="dxa"/>
          </w:tcPr>
          <w:p w14:paraId="6C73C979" w14:textId="77777777" w:rsidR="003104EB" w:rsidRDefault="003104EB" w:rsidP="005F05A1">
            <w:r w:rsidRPr="00B45416">
              <w:t xml:space="preserve">Varicella </w:t>
            </w:r>
          </w:p>
        </w:tc>
        <w:tc>
          <w:tcPr>
            <w:tcW w:w="4508" w:type="dxa"/>
          </w:tcPr>
          <w:p w14:paraId="3105104F" w14:textId="77777777" w:rsidR="003104EB" w:rsidRDefault="003104EB" w:rsidP="005F05A1">
            <w:r>
              <w:t>Not Assessed</w:t>
            </w:r>
          </w:p>
        </w:tc>
      </w:tr>
    </w:tbl>
    <w:p w14:paraId="12BAE73F" w14:textId="77777777" w:rsidR="00216E7A" w:rsidRDefault="00216E7A" w:rsidP="004E2A93">
      <w:pPr>
        <w:spacing w:after="200"/>
      </w:pPr>
    </w:p>
    <w:sectPr w:rsidR="00216E7A" w:rsidSect="004B179E">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7D1B5" w14:textId="77777777" w:rsidR="00197814" w:rsidRDefault="00197814" w:rsidP="006B56BB">
      <w:r>
        <w:separator/>
      </w:r>
    </w:p>
    <w:p w14:paraId="1624F1D6" w14:textId="77777777" w:rsidR="00197814" w:rsidRDefault="00197814"/>
  </w:endnote>
  <w:endnote w:type="continuationSeparator" w:id="0">
    <w:p w14:paraId="17B5DDD2" w14:textId="77777777" w:rsidR="00197814" w:rsidRDefault="00197814" w:rsidP="006B56BB">
      <w:r>
        <w:continuationSeparator/>
      </w:r>
    </w:p>
    <w:p w14:paraId="370B7AFC" w14:textId="77777777" w:rsidR="00197814" w:rsidRDefault="00197814"/>
  </w:endnote>
  <w:endnote w:type="continuationNotice" w:id="1">
    <w:p w14:paraId="361843B1" w14:textId="77777777" w:rsidR="00197814" w:rsidRDefault="00197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178C5" w14:textId="03CC28F4" w:rsidR="00B551DE" w:rsidRDefault="00D01209">
    <w:pPr>
      <w:pStyle w:val="Footer"/>
    </w:pPr>
    <w:r>
      <w:rPr>
        <w:noProof/>
      </w:rPr>
      <mc:AlternateContent>
        <mc:Choice Requires="wps">
          <w:drawing>
            <wp:anchor distT="0" distB="0" distL="0" distR="0" simplePos="0" relativeHeight="251669517" behindDoc="0" locked="0" layoutInCell="1" allowOverlap="1" wp14:anchorId="4A4BDD59" wp14:editId="379684AB">
              <wp:simplePos x="635" y="635"/>
              <wp:positionH relativeFrom="page">
                <wp:align>center</wp:align>
              </wp:positionH>
              <wp:positionV relativeFrom="page">
                <wp:align>bottom</wp:align>
              </wp:positionV>
              <wp:extent cx="622300" cy="376555"/>
              <wp:effectExtent l="0" t="0" r="6350" b="0"/>
              <wp:wrapNone/>
              <wp:docPr id="1594150239"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4AF1949" w14:textId="1C69B6D3" w:rsidR="00D01209" w:rsidRPr="00D01209" w:rsidRDefault="00D01209" w:rsidP="00D01209">
                          <w:pPr>
                            <w:rPr>
                              <w:rFonts w:ascii="Aptos" w:eastAsia="Aptos" w:hAnsi="Aptos" w:cs="Aptos"/>
                              <w:noProof/>
                              <w:color w:val="FF0000"/>
                              <w:sz w:val="24"/>
                            </w:rPr>
                          </w:pPr>
                          <w:r w:rsidRPr="00D01209">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4BDD59" id="_x0000_t202" coordsize="21600,21600" o:spt="202" path="m,l,21600r21600,l21600,xe">
              <v:stroke joinstyle="miter"/>
              <v:path gradientshapeok="t" o:connecttype="rect"/>
            </v:shapetype>
            <v:shape id="Text Box 15" o:spid="_x0000_s1027" type="#_x0000_t202" alt="OFFICIAL" style="position:absolute;margin-left:0;margin-top:0;width:49pt;height:29.65pt;z-index:25166951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14AF1949" w14:textId="1C69B6D3" w:rsidR="00D01209" w:rsidRPr="00D01209" w:rsidRDefault="00D01209" w:rsidP="00D01209">
                    <w:pPr>
                      <w:rPr>
                        <w:rFonts w:ascii="Aptos" w:eastAsia="Aptos" w:hAnsi="Aptos" w:cs="Aptos"/>
                        <w:noProof/>
                        <w:color w:val="FF0000"/>
                        <w:sz w:val="24"/>
                      </w:rPr>
                    </w:pPr>
                    <w:r w:rsidRPr="00D01209">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A634" w14:textId="20FDFE57" w:rsidR="00D01209" w:rsidRDefault="00D01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E956" w14:textId="012C4875" w:rsidR="00D01209" w:rsidRDefault="00D012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CF4A" w14:textId="3E8E3D85" w:rsidR="00751A23" w:rsidRPr="00DE3355" w:rsidRDefault="0061798A" w:rsidP="00751A23">
    <w:pPr>
      <w:pStyle w:val="Footer"/>
      <w:tabs>
        <w:tab w:val="clear" w:pos="4513"/>
        <w:tab w:val="center" w:pos="0"/>
      </w:tabs>
      <w:jc w:val="right"/>
    </w:pPr>
    <w:r>
      <w:rPr>
        <w:szCs w:val="20"/>
      </w:rPr>
      <w:t>AIR Dashboard Methodology Paper</w:t>
    </w:r>
    <w:r w:rsidR="00751A23" w:rsidRPr="00751A23">
      <w:rPr>
        <w:szCs w:val="20"/>
      </w:rPr>
      <w:t xml:space="preserve"> </w:t>
    </w:r>
    <w:r w:rsidR="00751A23" w:rsidRPr="00751A23">
      <w:rPr>
        <w:szCs w:val="20"/>
      </w:rPr>
      <w:tab/>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5213" w14:textId="12450A96" w:rsidR="00C23FF1" w:rsidRDefault="00D01209">
    <w:pPr>
      <w:pStyle w:val="Footer"/>
    </w:pPr>
    <w:r>
      <w:rPr>
        <w:noProof/>
      </w:rPr>
      <mc:AlternateContent>
        <mc:Choice Requires="wps">
          <w:drawing>
            <wp:anchor distT="0" distB="0" distL="0" distR="0" simplePos="0" relativeHeight="251673613" behindDoc="0" locked="0" layoutInCell="1" allowOverlap="1" wp14:anchorId="7DB3C4BA" wp14:editId="36A65D14">
              <wp:simplePos x="635" y="635"/>
              <wp:positionH relativeFrom="page">
                <wp:align>center</wp:align>
              </wp:positionH>
              <wp:positionV relativeFrom="page">
                <wp:align>bottom</wp:align>
              </wp:positionV>
              <wp:extent cx="622300" cy="376555"/>
              <wp:effectExtent l="0" t="0" r="6350" b="0"/>
              <wp:wrapNone/>
              <wp:docPr id="64497101"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FDB0D1A" w14:textId="71928EAF" w:rsidR="00D01209" w:rsidRPr="00D01209" w:rsidRDefault="00D01209" w:rsidP="00D01209">
                          <w:pPr>
                            <w:rPr>
                              <w:rFonts w:ascii="Aptos" w:eastAsia="Aptos" w:hAnsi="Aptos" w:cs="Aptos"/>
                              <w:noProof/>
                              <w:color w:val="FF0000"/>
                              <w:sz w:val="24"/>
                            </w:rPr>
                          </w:pPr>
                          <w:r w:rsidRPr="00D01209">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B3C4BA" id="_x0000_t202" coordsize="21600,21600" o:spt="202" path="m,l,21600r21600,l21600,xe">
              <v:stroke joinstyle="miter"/>
              <v:path gradientshapeok="t" o:connecttype="rect"/>
            </v:shapetype>
            <v:shape id="Text Box 19" o:spid="_x0000_s1029" type="#_x0000_t202" alt="OFFICIAL" style="position:absolute;margin-left:0;margin-top:0;width:49pt;height:29.65pt;z-index:2516736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FDB0D1A" w14:textId="71928EAF" w:rsidR="00D01209" w:rsidRPr="00D01209" w:rsidRDefault="00D01209" w:rsidP="00D01209">
                    <w:pPr>
                      <w:rPr>
                        <w:rFonts w:ascii="Aptos" w:eastAsia="Aptos" w:hAnsi="Aptos" w:cs="Aptos"/>
                        <w:noProof/>
                        <w:color w:val="FF0000"/>
                        <w:sz w:val="24"/>
                      </w:rPr>
                    </w:pPr>
                    <w:r w:rsidRPr="00D01209">
                      <w:rPr>
                        <w:rFonts w:ascii="Aptos" w:eastAsia="Aptos" w:hAnsi="Aptos" w:cs="Aptos"/>
                        <w:noProof/>
                        <w:color w:val="FF0000"/>
                        <w:sz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57BB" w14:textId="1E89CF09" w:rsidR="00C23FF1" w:rsidRDefault="00C23FF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E1A7" w14:textId="499022F7" w:rsidR="00C23FF1" w:rsidRDefault="00D01209">
    <w:pPr>
      <w:pStyle w:val="Footer"/>
    </w:pPr>
    <w:r>
      <w:rPr>
        <w:noProof/>
      </w:rPr>
      <mc:AlternateContent>
        <mc:Choice Requires="wps">
          <w:drawing>
            <wp:anchor distT="0" distB="0" distL="0" distR="0" simplePos="0" relativeHeight="251672589" behindDoc="0" locked="0" layoutInCell="1" allowOverlap="1" wp14:anchorId="399A2EF4" wp14:editId="366209DC">
              <wp:simplePos x="635" y="635"/>
              <wp:positionH relativeFrom="page">
                <wp:align>center</wp:align>
              </wp:positionH>
              <wp:positionV relativeFrom="page">
                <wp:align>bottom</wp:align>
              </wp:positionV>
              <wp:extent cx="622300" cy="376555"/>
              <wp:effectExtent l="0" t="0" r="6350" b="0"/>
              <wp:wrapNone/>
              <wp:docPr id="867150371"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BA85A49" w14:textId="249C6B34" w:rsidR="00D01209" w:rsidRPr="00D01209" w:rsidRDefault="00D01209" w:rsidP="00D01209">
                          <w:pPr>
                            <w:rPr>
                              <w:rFonts w:ascii="Aptos" w:eastAsia="Aptos" w:hAnsi="Aptos" w:cs="Aptos"/>
                              <w:noProof/>
                              <w:color w:val="FF0000"/>
                              <w:sz w:val="24"/>
                            </w:rPr>
                          </w:pPr>
                          <w:r w:rsidRPr="00D01209">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9A2EF4" id="_x0000_t202" coordsize="21600,21600" o:spt="202" path="m,l,21600r21600,l21600,xe">
              <v:stroke joinstyle="miter"/>
              <v:path gradientshapeok="t" o:connecttype="rect"/>
            </v:shapetype>
            <v:shape id="Text Box 18" o:spid="_x0000_s1031" type="#_x0000_t202" alt="OFFICIAL" style="position:absolute;margin-left:0;margin-top:0;width:49pt;height:29.65pt;z-index:2516725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1BA85A49" w14:textId="249C6B34" w:rsidR="00D01209" w:rsidRPr="00D01209" w:rsidRDefault="00D01209" w:rsidP="00D01209">
                    <w:pPr>
                      <w:rPr>
                        <w:rFonts w:ascii="Aptos" w:eastAsia="Aptos" w:hAnsi="Aptos" w:cs="Aptos"/>
                        <w:noProof/>
                        <w:color w:val="FF0000"/>
                        <w:sz w:val="24"/>
                      </w:rPr>
                    </w:pPr>
                    <w:r w:rsidRPr="00D01209">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4A326" w14:textId="77777777" w:rsidR="00197814" w:rsidRDefault="00197814" w:rsidP="006B56BB">
      <w:r>
        <w:separator/>
      </w:r>
    </w:p>
    <w:p w14:paraId="6B13D6B9" w14:textId="77777777" w:rsidR="00197814" w:rsidRDefault="00197814"/>
  </w:footnote>
  <w:footnote w:type="continuationSeparator" w:id="0">
    <w:p w14:paraId="62E0EC11" w14:textId="77777777" w:rsidR="00197814" w:rsidRDefault="00197814" w:rsidP="006B56BB">
      <w:r>
        <w:continuationSeparator/>
      </w:r>
    </w:p>
    <w:p w14:paraId="69CD3100" w14:textId="77777777" w:rsidR="00197814" w:rsidRDefault="00197814"/>
  </w:footnote>
  <w:footnote w:type="continuationNotice" w:id="1">
    <w:p w14:paraId="75FFF025" w14:textId="77777777" w:rsidR="00197814" w:rsidRDefault="00197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E38F" w14:textId="57212A33" w:rsidR="00B551DE" w:rsidRDefault="00D01209">
    <w:pPr>
      <w:pStyle w:val="Header"/>
    </w:pPr>
    <w:r>
      <w:rPr>
        <w:noProof/>
      </w:rPr>
      <mc:AlternateContent>
        <mc:Choice Requires="wps">
          <w:drawing>
            <wp:anchor distT="0" distB="0" distL="0" distR="0" simplePos="0" relativeHeight="251662349" behindDoc="0" locked="0" layoutInCell="1" allowOverlap="1" wp14:anchorId="2E5CCE14" wp14:editId="7E493D92">
              <wp:simplePos x="635" y="635"/>
              <wp:positionH relativeFrom="page">
                <wp:align>center</wp:align>
              </wp:positionH>
              <wp:positionV relativeFrom="page">
                <wp:align>top</wp:align>
              </wp:positionV>
              <wp:extent cx="622300" cy="376555"/>
              <wp:effectExtent l="0" t="0" r="6350" b="4445"/>
              <wp:wrapNone/>
              <wp:docPr id="19719396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724AEAB" w14:textId="054DC28C" w:rsidR="00D01209" w:rsidRPr="00D01209" w:rsidRDefault="00D01209" w:rsidP="00D01209">
                          <w:pPr>
                            <w:rPr>
                              <w:rFonts w:ascii="Aptos" w:eastAsia="Aptos" w:hAnsi="Aptos" w:cs="Aptos"/>
                              <w:noProof/>
                              <w:color w:val="FF0000"/>
                              <w:sz w:val="24"/>
                            </w:rPr>
                          </w:pPr>
                          <w:r w:rsidRPr="00D01209">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5CCE14" id="_x0000_t202" coordsize="21600,21600" o:spt="202" path="m,l,21600r21600,l21600,xe">
              <v:stroke joinstyle="miter"/>
              <v:path gradientshapeok="t" o:connecttype="rect"/>
            </v:shapetype>
            <v:shape id="Text Box 8" o:spid="_x0000_s1026" type="#_x0000_t202" alt="OFFICIAL" style="position:absolute;margin-left:0;margin-top:0;width:49pt;height:29.65pt;z-index:2516623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6724AEAB" w14:textId="054DC28C" w:rsidR="00D01209" w:rsidRPr="00D01209" w:rsidRDefault="00D01209" w:rsidP="00D01209">
                    <w:pPr>
                      <w:rPr>
                        <w:rFonts w:ascii="Aptos" w:eastAsia="Aptos" w:hAnsi="Aptos" w:cs="Aptos"/>
                        <w:noProof/>
                        <w:color w:val="FF0000"/>
                        <w:sz w:val="24"/>
                      </w:rPr>
                    </w:pPr>
                    <w:r w:rsidRPr="00D01209">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FD49" w14:textId="5C6BA9EE" w:rsidR="00D01209" w:rsidRDefault="00D012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8F05" w14:textId="5B778ADA" w:rsidR="00751A23" w:rsidRDefault="00B35981">
    <w:pPr>
      <w:pStyle w:val="Header"/>
    </w:pPr>
    <w:r>
      <w:rPr>
        <w:noProof/>
      </w:rPr>
      <w:drawing>
        <wp:anchor distT="0" distB="0" distL="114300" distR="114300" simplePos="0" relativeHeight="251660301" behindDoc="0" locked="0" layoutInCell="1" allowOverlap="1" wp14:anchorId="186765CE" wp14:editId="489E4E74">
          <wp:simplePos x="0" y="0"/>
          <wp:positionH relativeFrom="page">
            <wp:align>left</wp:align>
          </wp:positionH>
          <wp:positionV relativeFrom="paragraph">
            <wp:posOffset>-539750</wp:posOffset>
          </wp:positionV>
          <wp:extent cx="7760970" cy="1066800"/>
          <wp:effectExtent l="0" t="0" r="0" b="0"/>
          <wp:wrapNone/>
          <wp:docPr id="210256149" name="Picture 1" descr="A line graph showing monthly sales figures for three products from January to June, with Product A in blue, Product B in orange, and Product C in green. Product A shows a steady increase, Product B fluctuates with a peak in April, and Product C remains relatively stable throughout the peri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6149" name="Picture 1" descr="A line graph showing monthly sales figures for three products from January to June, with Product A in blue, Product B in orange, and Product C in green. Product A shows a steady increase, Product B fluctuates with a peak in April, and Product C remains relatively stable throughout the perio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60970" cy="1066800"/>
                  </a:xfrm>
                  <a:prstGeom prst="rect">
                    <a:avLst/>
                  </a:prstGeom>
                </pic:spPr>
              </pic:pic>
            </a:graphicData>
          </a:graphic>
          <wp14:sizeRelH relativeFrom="page">
            <wp14:pctWidth>0</wp14:pctWidth>
          </wp14:sizeRelH>
          <wp14:sizeRelV relativeFrom="page">
            <wp14:pctHeight>0</wp14:pctHeight>
          </wp14:sizeRelV>
        </wp:anchor>
      </w:drawing>
    </w:r>
    <w:r w:rsidR="00751A23">
      <w:rPr>
        <w:noProof/>
        <w:lang w:eastAsia="en-AU"/>
      </w:rPr>
      <w:drawing>
        <wp:anchor distT="0" distB="0" distL="114300" distR="114300" simplePos="0" relativeHeight="251658240" behindDoc="1" locked="0" layoutInCell="1" allowOverlap="1" wp14:anchorId="50BB7CC1" wp14:editId="3C92F455">
          <wp:simplePos x="0" y="0"/>
          <wp:positionH relativeFrom="page">
            <wp:posOffset>0</wp:posOffset>
          </wp:positionH>
          <wp:positionV relativeFrom="page">
            <wp:posOffset>1047750</wp:posOffset>
          </wp:positionV>
          <wp:extent cx="7559615" cy="9644380"/>
          <wp:effectExtent l="0" t="0" r="3810" b="0"/>
          <wp:wrapNone/>
          <wp:docPr id="3" name="Picture 3"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Health crest"/>
                  <pic:cNvPicPr/>
                </pic:nvPicPr>
                <pic:blipFill rotWithShape="1">
                  <a:blip r:embed="rId2" cstate="print">
                    <a:extLst>
                      <a:ext uri="{28A0092B-C50C-407E-A947-70E740481C1C}">
                        <a14:useLocalDpi xmlns:a14="http://schemas.microsoft.com/office/drawing/2010/main" val="0"/>
                      </a:ext>
                    </a:extLst>
                  </a:blip>
                  <a:srcRect t="9799"/>
                  <a:stretch>
                    <a:fillRect/>
                  </a:stretch>
                </pic:blipFill>
                <pic:spPr bwMode="auto">
                  <a:xfrm>
                    <a:off x="0" y="0"/>
                    <a:ext cx="7560000" cy="96448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E641" w14:textId="0475B7C0" w:rsidR="00751A23" w:rsidRDefault="00751A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1D7B" w14:textId="46343D71" w:rsidR="00C23FF1" w:rsidRDefault="00D01209">
    <w:pPr>
      <w:pStyle w:val="Header"/>
    </w:pPr>
    <w:r>
      <w:rPr>
        <w:noProof/>
      </w:rPr>
      <mc:AlternateContent>
        <mc:Choice Requires="wps">
          <w:drawing>
            <wp:anchor distT="0" distB="0" distL="0" distR="0" simplePos="0" relativeHeight="251666445" behindDoc="0" locked="0" layoutInCell="1" allowOverlap="1" wp14:anchorId="5D25F5DC" wp14:editId="3D16C492">
              <wp:simplePos x="635" y="635"/>
              <wp:positionH relativeFrom="page">
                <wp:align>center</wp:align>
              </wp:positionH>
              <wp:positionV relativeFrom="page">
                <wp:align>top</wp:align>
              </wp:positionV>
              <wp:extent cx="622300" cy="376555"/>
              <wp:effectExtent l="0" t="0" r="6350" b="4445"/>
              <wp:wrapNone/>
              <wp:docPr id="921494333"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A9DAFCE" w14:textId="5E6E1C65" w:rsidR="00D01209" w:rsidRPr="00D01209" w:rsidRDefault="00D01209" w:rsidP="00D01209">
                          <w:pPr>
                            <w:rPr>
                              <w:rFonts w:ascii="Aptos" w:eastAsia="Aptos" w:hAnsi="Aptos" w:cs="Aptos"/>
                              <w:noProof/>
                              <w:color w:val="FF0000"/>
                              <w:sz w:val="24"/>
                            </w:rPr>
                          </w:pPr>
                          <w:r w:rsidRPr="00D01209">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25F5DC" id="_x0000_t202" coordsize="21600,21600" o:spt="202" path="m,l,21600r21600,l21600,xe">
              <v:stroke joinstyle="miter"/>
              <v:path gradientshapeok="t" o:connecttype="rect"/>
            </v:shapetype>
            <v:shape id="Text Box 12" o:spid="_x0000_s1028" type="#_x0000_t202" alt="OFFICIAL" style="position:absolute;margin-left:0;margin-top:0;width:49pt;height:29.65pt;z-index:2516664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0A9DAFCE" w14:textId="5E6E1C65" w:rsidR="00D01209" w:rsidRPr="00D01209" w:rsidRDefault="00D01209" w:rsidP="00D01209">
                    <w:pPr>
                      <w:rPr>
                        <w:rFonts w:ascii="Aptos" w:eastAsia="Aptos" w:hAnsi="Aptos" w:cs="Aptos"/>
                        <w:noProof/>
                        <w:color w:val="FF0000"/>
                        <w:sz w:val="24"/>
                      </w:rPr>
                    </w:pPr>
                    <w:r w:rsidRPr="00D01209">
                      <w:rPr>
                        <w:rFonts w:ascii="Aptos" w:eastAsia="Aptos" w:hAnsi="Aptos" w:cs="Aptos"/>
                        <w:noProof/>
                        <w:color w:val="FF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7400" w14:textId="3D4AAB54" w:rsidR="00C23FF1" w:rsidRDefault="00C23FF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99B0" w14:textId="690295AD" w:rsidR="00C23FF1" w:rsidRDefault="00D01209">
    <w:pPr>
      <w:pStyle w:val="Header"/>
    </w:pPr>
    <w:r>
      <w:rPr>
        <w:noProof/>
      </w:rPr>
      <mc:AlternateContent>
        <mc:Choice Requires="wps">
          <w:drawing>
            <wp:anchor distT="0" distB="0" distL="0" distR="0" simplePos="0" relativeHeight="251665421" behindDoc="0" locked="0" layoutInCell="1" allowOverlap="1" wp14:anchorId="2334EEBB" wp14:editId="4A9D109A">
              <wp:simplePos x="635" y="635"/>
              <wp:positionH relativeFrom="page">
                <wp:align>center</wp:align>
              </wp:positionH>
              <wp:positionV relativeFrom="page">
                <wp:align>top</wp:align>
              </wp:positionV>
              <wp:extent cx="622300" cy="376555"/>
              <wp:effectExtent l="0" t="0" r="6350" b="4445"/>
              <wp:wrapNone/>
              <wp:docPr id="700707003"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4CB519" w14:textId="64CC5A12" w:rsidR="00D01209" w:rsidRPr="00D01209" w:rsidRDefault="00D01209" w:rsidP="00D01209">
                          <w:pPr>
                            <w:rPr>
                              <w:rFonts w:ascii="Aptos" w:eastAsia="Aptos" w:hAnsi="Aptos" w:cs="Aptos"/>
                              <w:noProof/>
                              <w:color w:val="FF0000"/>
                              <w:sz w:val="24"/>
                            </w:rPr>
                          </w:pPr>
                          <w:r w:rsidRPr="00D01209">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34EEBB" id="_x0000_t202" coordsize="21600,21600" o:spt="202" path="m,l,21600r21600,l21600,xe">
              <v:stroke joinstyle="miter"/>
              <v:path gradientshapeok="t" o:connecttype="rect"/>
            </v:shapetype>
            <v:shape id="Text Box 11" o:spid="_x0000_s1030" type="#_x0000_t202" alt="OFFICIAL" style="position:absolute;margin-left:0;margin-top:0;width:49pt;height:29.65pt;z-index:25166542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474CB519" w14:textId="64CC5A12" w:rsidR="00D01209" w:rsidRPr="00D01209" w:rsidRDefault="00D01209" w:rsidP="00D01209">
                    <w:pPr>
                      <w:rPr>
                        <w:rFonts w:ascii="Aptos" w:eastAsia="Aptos" w:hAnsi="Aptos" w:cs="Aptos"/>
                        <w:noProof/>
                        <w:color w:val="FF0000"/>
                        <w:sz w:val="24"/>
                      </w:rPr>
                    </w:pPr>
                    <w:r w:rsidRPr="00D01209">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D303BC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353462F"/>
    <w:multiLevelType w:val="hybridMultilevel"/>
    <w:tmpl w:val="6E2CF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9FBE33"/>
    <w:multiLevelType w:val="hybridMultilevel"/>
    <w:tmpl w:val="5302EA88"/>
    <w:lvl w:ilvl="0" w:tplc="FFCE0B0A">
      <w:start w:val="1"/>
      <w:numFmt w:val="bullet"/>
      <w:lvlText w:val="·"/>
      <w:lvlJc w:val="left"/>
      <w:pPr>
        <w:ind w:left="720" w:hanging="360"/>
      </w:pPr>
      <w:rPr>
        <w:rFonts w:ascii="Symbol" w:hAnsi="Symbol" w:hint="default"/>
      </w:rPr>
    </w:lvl>
    <w:lvl w:ilvl="1" w:tplc="E962D8B0">
      <w:start w:val="1"/>
      <w:numFmt w:val="bullet"/>
      <w:lvlText w:val="o"/>
      <w:lvlJc w:val="left"/>
      <w:pPr>
        <w:ind w:left="1440" w:hanging="360"/>
      </w:pPr>
      <w:rPr>
        <w:rFonts w:ascii="Courier New" w:hAnsi="Courier New" w:hint="default"/>
      </w:rPr>
    </w:lvl>
    <w:lvl w:ilvl="2" w:tplc="51405486">
      <w:start w:val="1"/>
      <w:numFmt w:val="bullet"/>
      <w:lvlText w:val=""/>
      <w:lvlJc w:val="left"/>
      <w:pPr>
        <w:ind w:left="2160" w:hanging="360"/>
      </w:pPr>
      <w:rPr>
        <w:rFonts w:ascii="Wingdings" w:hAnsi="Wingdings" w:hint="default"/>
      </w:rPr>
    </w:lvl>
    <w:lvl w:ilvl="3" w:tplc="317CD624">
      <w:start w:val="1"/>
      <w:numFmt w:val="bullet"/>
      <w:lvlText w:val=""/>
      <w:lvlJc w:val="left"/>
      <w:pPr>
        <w:ind w:left="2880" w:hanging="360"/>
      </w:pPr>
      <w:rPr>
        <w:rFonts w:ascii="Symbol" w:hAnsi="Symbol" w:hint="default"/>
      </w:rPr>
    </w:lvl>
    <w:lvl w:ilvl="4" w:tplc="AEFA3BE8">
      <w:start w:val="1"/>
      <w:numFmt w:val="bullet"/>
      <w:lvlText w:val="o"/>
      <w:lvlJc w:val="left"/>
      <w:pPr>
        <w:ind w:left="3600" w:hanging="360"/>
      </w:pPr>
      <w:rPr>
        <w:rFonts w:ascii="Courier New" w:hAnsi="Courier New" w:hint="default"/>
      </w:rPr>
    </w:lvl>
    <w:lvl w:ilvl="5" w:tplc="97D447C2">
      <w:start w:val="1"/>
      <w:numFmt w:val="bullet"/>
      <w:lvlText w:val=""/>
      <w:lvlJc w:val="left"/>
      <w:pPr>
        <w:ind w:left="4320" w:hanging="360"/>
      </w:pPr>
      <w:rPr>
        <w:rFonts w:ascii="Wingdings" w:hAnsi="Wingdings" w:hint="default"/>
      </w:rPr>
    </w:lvl>
    <w:lvl w:ilvl="6" w:tplc="449EDEFA">
      <w:start w:val="1"/>
      <w:numFmt w:val="bullet"/>
      <w:lvlText w:val=""/>
      <w:lvlJc w:val="left"/>
      <w:pPr>
        <w:ind w:left="5040" w:hanging="360"/>
      </w:pPr>
      <w:rPr>
        <w:rFonts w:ascii="Symbol" w:hAnsi="Symbol" w:hint="default"/>
      </w:rPr>
    </w:lvl>
    <w:lvl w:ilvl="7" w:tplc="B7360062">
      <w:start w:val="1"/>
      <w:numFmt w:val="bullet"/>
      <w:lvlText w:val="o"/>
      <w:lvlJc w:val="left"/>
      <w:pPr>
        <w:ind w:left="5760" w:hanging="360"/>
      </w:pPr>
      <w:rPr>
        <w:rFonts w:ascii="Courier New" w:hAnsi="Courier New" w:hint="default"/>
      </w:rPr>
    </w:lvl>
    <w:lvl w:ilvl="8" w:tplc="298C3258">
      <w:start w:val="1"/>
      <w:numFmt w:val="bullet"/>
      <w:lvlText w:val=""/>
      <w:lvlJc w:val="left"/>
      <w:pPr>
        <w:ind w:left="6480" w:hanging="360"/>
      </w:pPr>
      <w:rPr>
        <w:rFonts w:ascii="Wingdings" w:hAnsi="Wingdings" w:hint="default"/>
      </w:rPr>
    </w:lvl>
  </w:abstractNum>
  <w:abstractNum w:abstractNumId="13" w15:restartNumberingAfterBreak="0">
    <w:nsid w:val="1AF02C00"/>
    <w:multiLevelType w:val="hybridMultilevel"/>
    <w:tmpl w:val="833E7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67558F"/>
    <w:multiLevelType w:val="hybridMultilevel"/>
    <w:tmpl w:val="FD5A0BEE"/>
    <w:lvl w:ilvl="0" w:tplc="23306EAA">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46771328"/>
    <w:multiLevelType w:val="hybridMultilevel"/>
    <w:tmpl w:val="2126F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AF36E15"/>
    <w:multiLevelType w:val="hybridMultilevel"/>
    <w:tmpl w:val="CA38828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656807AE"/>
    <w:multiLevelType w:val="hybridMultilevel"/>
    <w:tmpl w:val="7C9E4C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28623B"/>
    <w:multiLevelType w:val="hybridMultilevel"/>
    <w:tmpl w:val="5B0C3C8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6F5D14EA"/>
    <w:multiLevelType w:val="hybridMultilevel"/>
    <w:tmpl w:val="9B4083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8BE5B53"/>
    <w:multiLevelType w:val="hybridMultilevel"/>
    <w:tmpl w:val="AF42F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410F87"/>
    <w:multiLevelType w:val="hybridMultilevel"/>
    <w:tmpl w:val="DE6C7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C847FC"/>
    <w:multiLevelType w:val="hybridMultilevel"/>
    <w:tmpl w:val="9E56C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10868119">
    <w:abstractNumId w:val="12"/>
  </w:num>
  <w:num w:numId="2" w16cid:durableId="373695266">
    <w:abstractNumId w:val="7"/>
  </w:num>
  <w:num w:numId="3" w16cid:durableId="516119969">
    <w:abstractNumId w:val="19"/>
  </w:num>
  <w:num w:numId="4" w16cid:durableId="703486628">
    <w:abstractNumId w:val="23"/>
  </w:num>
  <w:num w:numId="5" w16cid:durableId="669137808">
    <w:abstractNumId w:val="8"/>
  </w:num>
  <w:num w:numId="6" w16cid:durableId="424107633">
    <w:abstractNumId w:val="8"/>
    <w:lvlOverride w:ilvl="0">
      <w:startOverride w:val="1"/>
    </w:lvlOverride>
  </w:num>
  <w:num w:numId="7" w16cid:durableId="1059590251">
    <w:abstractNumId w:val="10"/>
  </w:num>
  <w:num w:numId="8" w16cid:durableId="993264544">
    <w:abstractNumId w:val="17"/>
  </w:num>
  <w:num w:numId="9" w16cid:durableId="337855303">
    <w:abstractNumId w:val="22"/>
  </w:num>
  <w:num w:numId="10" w16cid:durableId="685906908">
    <w:abstractNumId w:val="5"/>
  </w:num>
  <w:num w:numId="11" w16cid:durableId="1654286650">
    <w:abstractNumId w:val="4"/>
  </w:num>
  <w:num w:numId="12" w16cid:durableId="483665372">
    <w:abstractNumId w:val="3"/>
  </w:num>
  <w:num w:numId="13" w16cid:durableId="642202101">
    <w:abstractNumId w:val="2"/>
  </w:num>
  <w:num w:numId="14" w16cid:durableId="1114715231">
    <w:abstractNumId w:val="6"/>
  </w:num>
  <w:num w:numId="15" w16cid:durableId="1497384806">
    <w:abstractNumId w:val="1"/>
  </w:num>
  <w:num w:numId="16" w16cid:durableId="1307248811">
    <w:abstractNumId w:val="0"/>
  </w:num>
  <w:num w:numId="17" w16cid:durableId="2124840370">
    <w:abstractNumId w:val="29"/>
  </w:num>
  <w:num w:numId="18" w16cid:durableId="625355982">
    <w:abstractNumId w:val="11"/>
  </w:num>
  <w:num w:numId="19" w16cid:durableId="981732090">
    <w:abstractNumId w:val="14"/>
  </w:num>
  <w:num w:numId="20" w16cid:durableId="768698729">
    <w:abstractNumId w:val="16"/>
  </w:num>
  <w:num w:numId="21" w16cid:durableId="1743067788">
    <w:abstractNumId w:val="25"/>
  </w:num>
  <w:num w:numId="22" w16cid:durableId="1043866912">
    <w:abstractNumId w:val="27"/>
  </w:num>
  <w:num w:numId="23" w16cid:durableId="974872201">
    <w:abstractNumId w:val="26"/>
  </w:num>
  <w:num w:numId="24" w16cid:durableId="1216891571">
    <w:abstractNumId w:val="9"/>
  </w:num>
  <w:num w:numId="25" w16cid:durableId="1024552990">
    <w:abstractNumId w:val="28"/>
  </w:num>
  <w:num w:numId="26" w16cid:durableId="604387396">
    <w:abstractNumId w:val="20"/>
  </w:num>
  <w:num w:numId="27" w16cid:durableId="1942952276">
    <w:abstractNumId w:val="24"/>
  </w:num>
  <w:num w:numId="28" w16cid:durableId="657542022">
    <w:abstractNumId w:val="13"/>
  </w:num>
  <w:num w:numId="29" w16cid:durableId="1020357831">
    <w:abstractNumId w:val="21"/>
  </w:num>
  <w:num w:numId="30" w16cid:durableId="1499270765">
    <w:abstractNumId w:val="15"/>
  </w:num>
  <w:num w:numId="31" w16cid:durableId="6051874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1C6"/>
    <w:rsid w:val="00003743"/>
    <w:rsid w:val="000047B4"/>
    <w:rsid w:val="00005712"/>
    <w:rsid w:val="00005C69"/>
    <w:rsid w:val="00007FD8"/>
    <w:rsid w:val="000117F8"/>
    <w:rsid w:val="00026139"/>
    <w:rsid w:val="00027071"/>
    <w:rsid w:val="00027601"/>
    <w:rsid w:val="00030885"/>
    <w:rsid w:val="00033321"/>
    <w:rsid w:val="000338E5"/>
    <w:rsid w:val="00033ECC"/>
    <w:rsid w:val="0003422F"/>
    <w:rsid w:val="00037FDB"/>
    <w:rsid w:val="00046FF0"/>
    <w:rsid w:val="000479BC"/>
    <w:rsid w:val="00050176"/>
    <w:rsid w:val="00050F47"/>
    <w:rsid w:val="00062B65"/>
    <w:rsid w:val="00067456"/>
    <w:rsid w:val="00067B10"/>
    <w:rsid w:val="00071506"/>
    <w:rsid w:val="0007154F"/>
    <w:rsid w:val="000759C2"/>
    <w:rsid w:val="00081AB1"/>
    <w:rsid w:val="00086C6E"/>
    <w:rsid w:val="00090316"/>
    <w:rsid w:val="00093981"/>
    <w:rsid w:val="00093CD9"/>
    <w:rsid w:val="000A227C"/>
    <w:rsid w:val="000B067A"/>
    <w:rsid w:val="000B1540"/>
    <w:rsid w:val="000B33FD"/>
    <w:rsid w:val="000B4ABA"/>
    <w:rsid w:val="000B5EBD"/>
    <w:rsid w:val="000C193F"/>
    <w:rsid w:val="000C4B16"/>
    <w:rsid w:val="000C50C3"/>
    <w:rsid w:val="000D21F6"/>
    <w:rsid w:val="000D42C3"/>
    <w:rsid w:val="000D4500"/>
    <w:rsid w:val="000D7AEA"/>
    <w:rsid w:val="000E01A9"/>
    <w:rsid w:val="000E2C66"/>
    <w:rsid w:val="000E4834"/>
    <w:rsid w:val="000E6E7D"/>
    <w:rsid w:val="000F123C"/>
    <w:rsid w:val="000F2FED"/>
    <w:rsid w:val="0010616D"/>
    <w:rsid w:val="001100B5"/>
    <w:rsid w:val="00110478"/>
    <w:rsid w:val="0011711B"/>
    <w:rsid w:val="00117F8A"/>
    <w:rsid w:val="00121B9B"/>
    <w:rsid w:val="00122ADC"/>
    <w:rsid w:val="00123A13"/>
    <w:rsid w:val="00126F71"/>
    <w:rsid w:val="00130F59"/>
    <w:rsid w:val="00133EC0"/>
    <w:rsid w:val="00141CE5"/>
    <w:rsid w:val="00144908"/>
    <w:rsid w:val="001571C7"/>
    <w:rsid w:val="00160776"/>
    <w:rsid w:val="00161094"/>
    <w:rsid w:val="00172A55"/>
    <w:rsid w:val="001758CD"/>
    <w:rsid w:val="0017665C"/>
    <w:rsid w:val="00177AD2"/>
    <w:rsid w:val="001815A8"/>
    <w:rsid w:val="001840FA"/>
    <w:rsid w:val="00190079"/>
    <w:rsid w:val="0019622E"/>
    <w:rsid w:val="001966A7"/>
    <w:rsid w:val="00197814"/>
    <w:rsid w:val="00197963"/>
    <w:rsid w:val="001A27D0"/>
    <w:rsid w:val="001A4627"/>
    <w:rsid w:val="001A4979"/>
    <w:rsid w:val="001B15D3"/>
    <w:rsid w:val="001B1D20"/>
    <w:rsid w:val="001B3443"/>
    <w:rsid w:val="001C0326"/>
    <w:rsid w:val="001C192F"/>
    <w:rsid w:val="001C3C42"/>
    <w:rsid w:val="001D2FEF"/>
    <w:rsid w:val="001D70C9"/>
    <w:rsid w:val="001D7869"/>
    <w:rsid w:val="001E2C36"/>
    <w:rsid w:val="001F2F78"/>
    <w:rsid w:val="002026CD"/>
    <w:rsid w:val="002033FC"/>
    <w:rsid w:val="002044BB"/>
    <w:rsid w:val="002061C1"/>
    <w:rsid w:val="00210B09"/>
    <w:rsid w:val="00210C9E"/>
    <w:rsid w:val="00211840"/>
    <w:rsid w:val="00215B3C"/>
    <w:rsid w:val="00216E7A"/>
    <w:rsid w:val="00220E5F"/>
    <w:rsid w:val="002212B5"/>
    <w:rsid w:val="00226668"/>
    <w:rsid w:val="00233809"/>
    <w:rsid w:val="00234D51"/>
    <w:rsid w:val="00240046"/>
    <w:rsid w:val="0024281E"/>
    <w:rsid w:val="00242BF5"/>
    <w:rsid w:val="0024797F"/>
    <w:rsid w:val="0025119E"/>
    <w:rsid w:val="00251269"/>
    <w:rsid w:val="002535C0"/>
    <w:rsid w:val="002579FE"/>
    <w:rsid w:val="0026311C"/>
    <w:rsid w:val="0026668C"/>
    <w:rsid w:val="00266AC1"/>
    <w:rsid w:val="002677AF"/>
    <w:rsid w:val="0027178C"/>
    <w:rsid w:val="002719FA"/>
    <w:rsid w:val="00272668"/>
    <w:rsid w:val="0027330B"/>
    <w:rsid w:val="002803AD"/>
    <w:rsid w:val="00282052"/>
    <w:rsid w:val="002820C6"/>
    <w:rsid w:val="002841A7"/>
    <w:rsid w:val="0028519E"/>
    <w:rsid w:val="002856A5"/>
    <w:rsid w:val="00286292"/>
    <w:rsid w:val="002872ED"/>
    <w:rsid w:val="002905C2"/>
    <w:rsid w:val="002910F8"/>
    <w:rsid w:val="00295AF2"/>
    <w:rsid w:val="00295C91"/>
    <w:rsid w:val="00297151"/>
    <w:rsid w:val="002A5ABC"/>
    <w:rsid w:val="002B20E6"/>
    <w:rsid w:val="002B42A3"/>
    <w:rsid w:val="002C0CDD"/>
    <w:rsid w:val="002D398C"/>
    <w:rsid w:val="002E1A1D"/>
    <w:rsid w:val="002E4081"/>
    <w:rsid w:val="002E5766"/>
    <w:rsid w:val="002E5B78"/>
    <w:rsid w:val="002F0EB7"/>
    <w:rsid w:val="002F3AE3"/>
    <w:rsid w:val="002F7787"/>
    <w:rsid w:val="0030464B"/>
    <w:rsid w:val="0030786C"/>
    <w:rsid w:val="003104EB"/>
    <w:rsid w:val="003233DE"/>
    <w:rsid w:val="0032466B"/>
    <w:rsid w:val="003251E5"/>
    <w:rsid w:val="00327B44"/>
    <w:rsid w:val="0033018D"/>
    <w:rsid w:val="003330EB"/>
    <w:rsid w:val="00336605"/>
    <w:rsid w:val="003415FD"/>
    <w:rsid w:val="003429F0"/>
    <w:rsid w:val="00342D5A"/>
    <w:rsid w:val="0035097A"/>
    <w:rsid w:val="003540A4"/>
    <w:rsid w:val="00360E4E"/>
    <w:rsid w:val="00370AAA"/>
    <w:rsid w:val="00375F77"/>
    <w:rsid w:val="00377A78"/>
    <w:rsid w:val="00381BBE"/>
    <w:rsid w:val="00382903"/>
    <w:rsid w:val="003846FF"/>
    <w:rsid w:val="00385AD4"/>
    <w:rsid w:val="00387924"/>
    <w:rsid w:val="0039384D"/>
    <w:rsid w:val="00395C23"/>
    <w:rsid w:val="003A2E4F"/>
    <w:rsid w:val="003A4438"/>
    <w:rsid w:val="003A5013"/>
    <w:rsid w:val="003A5078"/>
    <w:rsid w:val="003A62DD"/>
    <w:rsid w:val="003A775A"/>
    <w:rsid w:val="003B0DAB"/>
    <w:rsid w:val="003B213A"/>
    <w:rsid w:val="003B43AD"/>
    <w:rsid w:val="003B4694"/>
    <w:rsid w:val="003C0FEC"/>
    <w:rsid w:val="003C15B8"/>
    <w:rsid w:val="003C2AC8"/>
    <w:rsid w:val="003D17F9"/>
    <w:rsid w:val="003D1DAD"/>
    <w:rsid w:val="003D1E54"/>
    <w:rsid w:val="003D2D88"/>
    <w:rsid w:val="003D41EA"/>
    <w:rsid w:val="003D4850"/>
    <w:rsid w:val="003D535A"/>
    <w:rsid w:val="003E48EB"/>
    <w:rsid w:val="003E5265"/>
    <w:rsid w:val="003F0955"/>
    <w:rsid w:val="003F6FE1"/>
    <w:rsid w:val="00400088"/>
    <w:rsid w:val="00400F00"/>
    <w:rsid w:val="0040350C"/>
    <w:rsid w:val="00404F8B"/>
    <w:rsid w:val="00405256"/>
    <w:rsid w:val="00410031"/>
    <w:rsid w:val="004115A2"/>
    <w:rsid w:val="00415C81"/>
    <w:rsid w:val="0041627C"/>
    <w:rsid w:val="00416731"/>
    <w:rsid w:val="00421E7B"/>
    <w:rsid w:val="00422F22"/>
    <w:rsid w:val="00432378"/>
    <w:rsid w:val="00440D65"/>
    <w:rsid w:val="004435E6"/>
    <w:rsid w:val="0044415D"/>
    <w:rsid w:val="00447E31"/>
    <w:rsid w:val="00447E47"/>
    <w:rsid w:val="00453923"/>
    <w:rsid w:val="00454B9B"/>
    <w:rsid w:val="00457858"/>
    <w:rsid w:val="00460B0B"/>
    <w:rsid w:val="00461023"/>
    <w:rsid w:val="00462FAC"/>
    <w:rsid w:val="00464631"/>
    <w:rsid w:val="00464B79"/>
    <w:rsid w:val="00467BBF"/>
    <w:rsid w:val="00474AC1"/>
    <w:rsid w:val="00474FCE"/>
    <w:rsid w:val="004867E2"/>
    <w:rsid w:val="004929A9"/>
    <w:rsid w:val="004A0E6A"/>
    <w:rsid w:val="004A73D9"/>
    <w:rsid w:val="004B179E"/>
    <w:rsid w:val="004B2E25"/>
    <w:rsid w:val="004C2FEC"/>
    <w:rsid w:val="004C6BCF"/>
    <w:rsid w:val="004D4697"/>
    <w:rsid w:val="004D58BF"/>
    <w:rsid w:val="004E2A93"/>
    <w:rsid w:val="004E4335"/>
    <w:rsid w:val="004E5ACF"/>
    <w:rsid w:val="004F13EE"/>
    <w:rsid w:val="004F2022"/>
    <w:rsid w:val="004F2626"/>
    <w:rsid w:val="004F7C05"/>
    <w:rsid w:val="00501C94"/>
    <w:rsid w:val="00506432"/>
    <w:rsid w:val="0051242B"/>
    <w:rsid w:val="00517E87"/>
    <w:rsid w:val="0052051D"/>
    <w:rsid w:val="00545EE6"/>
    <w:rsid w:val="00550C03"/>
    <w:rsid w:val="005550E7"/>
    <w:rsid w:val="005564FB"/>
    <w:rsid w:val="005572C7"/>
    <w:rsid w:val="005650ED"/>
    <w:rsid w:val="00565140"/>
    <w:rsid w:val="00567061"/>
    <w:rsid w:val="00575754"/>
    <w:rsid w:val="00575D3A"/>
    <w:rsid w:val="00591E20"/>
    <w:rsid w:val="005928E2"/>
    <w:rsid w:val="005931A8"/>
    <w:rsid w:val="00595408"/>
    <w:rsid w:val="00595E84"/>
    <w:rsid w:val="005A0C59"/>
    <w:rsid w:val="005A38CA"/>
    <w:rsid w:val="005A48EB"/>
    <w:rsid w:val="005A6CFB"/>
    <w:rsid w:val="005C5AEB"/>
    <w:rsid w:val="005E0A3F"/>
    <w:rsid w:val="005E6883"/>
    <w:rsid w:val="005E772F"/>
    <w:rsid w:val="005F4ECA"/>
    <w:rsid w:val="006041A6"/>
    <w:rsid w:val="006041BE"/>
    <w:rsid w:val="006043C7"/>
    <w:rsid w:val="0061798A"/>
    <w:rsid w:val="00624B52"/>
    <w:rsid w:val="00631DF4"/>
    <w:rsid w:val="00634175"/>
    <w:rsid w:val="006408AC"/>
    <w:rsid w:val="0064454F"/>
    <w:rsid w:val="00644698"/>
    <w:rsid w:val="006511B6"/>
    <w:rsid w:val="00652742"/>
    <w:rsid w:val="00653D63"/>
    <w:rsid w:val="00657FF8"/>
    <w:rsid w:val="00666773"/>
    <w:rsid w:val="00667288"/>
    <w:rsid w:val="00670D99"/>
    <w:rsid w:val="00670E2B"/>
    <w:rsid w:val="00672080"/>
    <w:rsid w:val="006734BB"/>
    <w:rsid w:val="00675555"/>
    <w:rsid w:val="0067629B"/>
    <w:rsid w:val="006762F4"/>
    <w:rsid w:val="00681590"/>
    <w:rsid w:val="00681A34"/>
    <w:rsid w:val="006821EB"/>
    <w:rsid w:val="006B0C82"/>
    <w:rsid w:val="006B1AF2"/>
    <w:rsid w:val="006B2286"/>
    <w:rsid w:val="006B56BB"/>
    <w:rsid w:val="006C3247"/>
    <w:rsid w:val="006C77A8"/>
    <w:rsid w:val="006D0DAC"/>
    <w:rsid w:val="006D1085"/>
    <w:rsid w:val="006D4098"/>
    <w:rsid w:val="006D7681"/>
    <w:rsid w:val="006D7B2E"/>
    <w:rsid w:val="006E02EA"/>
    <w:rsid w:val="006E0968"/>
    <w:rsid w:val="006E2AF6"/>
    <w:rsid w:val="00701275"/>
    <w:rsid w:val="00707F56"/>
    <w:rsid w:val="00713558"/>
    <w:rsid w:val="00714FE8"/>
    <w:rsid w:val="00720D08"/>
    <w:rsid w:val="007263B9"/>
    <w:rsid w:val="007334F8"/>
    <w:rsid w:val="007339CD"/>
    <w:rsid w:val="007351CE"/>
    <w:rsid w:val="007359D8"/>
    <w:rsid w:val="007362D4"/>
    <w:rsid w:val="00745C82"/>
    <w:rsid w:val="00751A23"/>
    <w:rsid w:val="00752E75"/>
    <w:rsid w:val="007638CB"/>
    <w:rsid w:val="00764287"/>
    <w:rsid w:val="0076672A"/>
    <w:rsid w:val="007678CE"/>
    <w:rsid w:val="00770DFC"/>
    <w:rsid w:val="00775E45"/>
    <w:rsid w:val="00776E74"/>
    <w:rsid w:val="00785169"/>
    <w:rsid w:val="00785719"/>
    <w:rsid w:val="00793B39"/>
    <w:rsid w:val="007954AB"/>
    <w:rsid w:val="007A14C5"/>
    <w:rsid w:val="007A3E38"/>
    <w:rsid w:val="007A4A10"/>
    <w:rsid w:val="007A569F"/>
    <w:rsid w:val="007A7294"/>
    <w:rsid w:val="007B1760"/>
    <w:rsid w:val="007C1F3F"/>
    <w:rsid w:val="007C3125"/>
    <w:rsid w:val="007C6D9C"/>
    <w:rsid w:val="007C7DDB"/>
    <w:rsid w:val="007D12C7"/>
    <w:rsid w:val="007D2CC7"/>
    <w:rsid w:val="007D673D"/>
    <w:rsid w:val="007D6DEA"/>
    <w:rsid w:val="007F2220"/>
    <w:rsid w:val="007F3D1F"/>
    <w:rsid w:val="007F4B3E"/>
    <w:rsid w:val="007F588A"/>
    <w:rsid w:val="007F6033"/>
    <w:rsid w:val="007F752F"/>
    <w:rsid w:val="00806431"/>
    <w:rsid w:val="00811F19"/>
    <w:rsid w:val="008127AF"/>
    <w:rsid w:val="00812B46"/>
    <w:rsid w:val="00815700"/>
    <w:rsid w:val="00817B70"/>
    <w:rsid w:val="008264EB"/>
    <w:rsid w:val="00826B8F"/>
    <w:rsid w:val="00831E8A"/>
    <w:rsid w:val="00835C76"/>
    <w:rsid w:val="00836048"/>
    <w:rsid w:val="00841A8D"/>
    <w:rsid w:val="00843049"/>
    <w:rsid w:val="008434B8"/>
    <w:rsid w:val="0085209B"/>
    <w:rsid w:val="00856B66"/>
    <w:rsid w:val="00861A5F"/>
    <w:rsid w:val="008644AD"/>
    <w:rsid w:val="00865735"/>
    <w:rsid w:val="00865DDB"/>
    <w:rsid w:val="00867538"/>
    <w:rsid w:val="00873D90"/>
    <w:rsid w:val="00873FC8"/>
    <w:rsid w:val="00884C63"/>
    <w:rsid w:val="00885908"/>
    <w:rsid w:val="008864B7"/>
    <w:rsid w:val="00893780"/>
    <w:rsid w:val="0089405D"/>
    <w:rsid w:val="0089677E"/>
    <w:rsid w:val="00896E8C"/>
    <w:rsid w:val="008A0087"/>
    <w:rsid w:val="008A40C6"/>
    <w:rsid w:val="008A7438"/>
    <w:rsid w:val="008B1334"/>
    <w:rsid w:val="008B751F"/>
    <w:rsid w:val="008C0278"/>
    <w:rsid w:val="008C24E9"/>
    <w:rsid w:val="008C66AD"/>
    <w:rsid w:val="008D0533"/>
    <w:rsid w:val="008D3155"/>
    <w:rsid w:val="008D42CB"/>
    <w:rsid w:val="008D4504"/>
    <w:rsid w:val="008D48C9"/>
    <w:rsid w:val="008D5B79"/>
    <w:rsid w:val="008D6381"/>
    <w:rsid w:val="008E0C77"/>
    <w:rsid w:val="008E625F"/>
    <w:rsid w:val="008E78D2"/>
    <w:rsid w:val="008F264D"/>
    <w:rsid w:val="009019C7"/>
    <w:rsid w:val="009074E1"/>
    <w:rsid w:val="009112F7"/>
    <w:rsid w:val="009122AF"/>
    <w:rsid w:val="009127BC"/>
    <w:rsid w:val="00912D54"/>
    <w:rsid w:val="0091389F"/>
    <w:rsid w:val="0091725C"/>
    <w:rsid w:val="009208F7"/>
    <w:rsid w:val="00922517"/>
    <w:rsid w:val="00922722"/>
    <w:rsid w:val="009261E6"/>
    <w:rsid w:val="009268E1"/>
    <w:rsid w:val="00933C07"/>
    <w:rsid w:val="00945E7F"/>
    <w:rsid w:val="0095162D"/>
    <w:rsid w:val="009557C1"/>
    <w:rsid w:val="00956F6C"/>
    <w:rsid w:val="00960D6E"/>
    <w:rsid w:val="00967C37"/>
    <w:rsid w:val="00972BC1"/>
    <w:rsid w:val="009745C5"/>
    <w:rsid w:val="00974B59"/>
    <w:rsid w:val="0098340B"/>
    <w:rsid w:val="00986830"/>
    <w:rsid w:val="00986E99"/>
    <w:rsid w:val="009924C3"/>
    <w:rsid w:val="00993102"/>
    <w:rsid w:val="009A2FFD"/>
    <w:rsid w:val="009A37F0"/>
    <w:rsid w:val="009B6842"/>
    <w:rsid w:val="009C4A39"/>
    <w:rsid w:val="009C5F1A"/>
    <w:rsid w:val="009C6F10"/>
    <w:rsid w:val="009D148F"/>
    <w:rsid w:val="009D3D70"/>
    <w:rsid w:val="009D6CD7"/>
    <w:rsid w:val="009E498E"/>
    <w:rsid w:val="009E6F7E"/>
    <w:rsid w:val="009E7A57"/>
    <w:rsid w:val="009F4F6A"/>
    <w:rsid w:val="00A04084"/>
    <w:rsid w:val="00A166E4"/>
    <w:rsid w:val="00A16E36"/>
    <w:rsid w:val="00A24961"/>
    <w:rsid w:val="00A24B10"/>
    <w:rsid w:val="00A25B4F"/>
    <w:rsid w:val="00A30E9B"/>
    <w:rsid w:val="00A4512D"/>
    <w:rsid w:val="00A46108"/>
    <w:rsid w:val="00A50244"/>
    <w:rsid w:val="00A56F17"/>
    <w:rsid w:val="00A57D69"/>
    <w:rsid w:val="00A627D7"/>
    <w:rsid w:val="00A6469E"/>
    <w:rsid w:val="00A656C7"/>
    <w:rsid w:val="00A705AF"/>
    <w:rsid w:val="00A72454"/>
    <w:rsid w:val="00A76649"/>
    <w:rsid w:val="00A77696"/>
    <w:rsid w:val="00A80557"/>
    <w:rsid w:val="00A81D33"/>
    <w:rsid w:val="00A84285"/>
    <w:rsid w:val="00A9283E"/>
    <w:rsid w:val="00A930AE"/>
    <w:rsid w:val="00AA1A95"/>
    <w:rsid w:val="00AA260F"/>
    <w:rsid w:val="00AA6B46"/>
    <w:rsid w:val="00AB0D76"/>
    <w:rsid w:val="00AB1EE7"/>
    <w:rsid w:val="00AB4B37"/>
    <w:rsid w:val="00AB5762"/>
    <w:rsid w:val="00AC2679"/>
    <w:rsid w:val="00AC2C7C"/>
    <w:rsid w:val="00AC4BE4"/>
    <w:rsid w:val="00AC6BF9"/>
    <w:rsid w:val="00AD05E6"/>
    <w:rsid w:val="00AD0D3F"/>
    <w:rsid w:val="00AD30E8"/>
    <w:rsid w:val="00AD6E47"/>
    <w:rsid w:val="00AE1D7D"/>
    <w:rsid w:val="00AE2A8B"/>
    <w:rsid w:val="00AE3846"/>
    <w:rsid w:val="00AE3F64"/>
    <w:rsid w:val="00AE474A"/>
    <w:rsid w:val="00AE6946"/>
    <w:rsid w:val="00AF7386"/>
    <w:rsid w:val="00AF7934"/>
    <w:rsid w:val="00B00B81"/>
    <w:rsid w:val="00B04580"/>
    <w:rsid w:val="00B04B09"/>
    <w:rsid w:val="00B16A51"/>
    <w:rsid w:val="00B20EFE"/>
    <w:rsid w:val="00B25440"/>
    <w:rsid w:val="00B32222"/>
    <w:rsid w:val="00B35981"/>
    <w:rsid w:val="00B3618D"/>
    <w:rsid w:val="00B36233"/>
    <w:rsid w:val="00B3778F"/>
    <w:rsid w:val="00B42851"/>
    <w:rsid w:val="00B42F50"/>
    <w:rsid w:val="00B45AC7"/>
    <w:rsid w:val="00B5372F"/>
    <w:rsid w:val="00B551DE"/>
    <w:rsid w:val="00B61129"/>
    <w:rsid w:val="00B660A6"/>
    <w:rsid w:val="00B67E7F"/>
    <w:rsid w:val="00B75A04"/>
    <w:rsid w:val="00B75C62"/>
    <w:rsid w:val="00B831C6"/>
    <w:rsid w:val="00B839B2"/>
    <w:rsid w:val="00B94252"/>
    <w:rsid w:val="00B9715A"/>
    <w:rsid w:val="00BA14BE"/>
    <w:rsid w:val="00BA2732"/>
    <w:rsid w:val="00BA293D"/>
    <w:rsid w:val="00BA49BC"/>
    <w:rsid w:val="00BA56B7"/>
    <w:rsid w:val="00BA79B3"/>
    <w:rsid w:val="00BA7A1E"/>
    <w:rsid w:val="00BA7CA9"/>
    <w:rsid w:val="00BB2F6C"/>
    <w:rsid w:val="00BB3875"/>
    <w:rsid w:val="00BB4BEA"/>
    <w:rsid w:val="00BB5860"/>
    <w:rsid w:val="00BB6AAD"/>
    <w:rsid w:val="00BC3E61"/>
    <w:rsid w:val="00BC4A19"/>
    <w:rsid w:val="00BC4E6D"/>
    <w:rsid w:val="00BC5341"/>
    <w:rsid w:val="00BD0617"/>
    <w:rsid w:val="00BD0C5C"/>
    <w:rsid w:val="00BD2E9B"/>
    <w:rsid w:val="00BD3985"/>
    <w:rsid w:val="00BF14A0"/>
    <w:rsid w:val="00BF5463"/>
    <w:rsid w:val="00BF60AF"/>
    <w:rsid w:val="00C00930"/>
    <w:rsid w:val="00C0162B"/>
    <w:rsid w:val="00C060AD"/>
    <w:rsid w:val="00C0670D"/>
    <w:rsid w:val="00C113BF"/>
    <w:rsid w:val="00C161C2"/>
    <w:rsid w:val="00C2136F"/>
    <w:rsid w:val="00C21596"/>
    <w:rsid w:val="00C2176E"/>
    <w:rsid w:val="00C23430"/>
    <w:rsid w:val="00C237FE"/>
    <w:rsid w:val="00C23D1F"/>
    <w:rsid w:val="00C23FF1"/>
    <w:rsid w:val="00C27D67"/>
    <w:rsid w:val="00C4631F"/>
    <w:rsid w:val="00C50E16"/>
    <w:rsid w:val="00C55258"/>
    <w:rsid w:val="00C82EEB"/>
    <w:rsid w:val="00C971DC"/>
    <w:rsid w:val="00C97402"/>
    <w:rsid w:val="00CA16B7"/>
    <w:rsid w:val="00CA4BE3"/>
    <w:rsid w:val="00CA62AE"/>
    <w:rsid w:val="00CA6CC3"/>
    <w:rsid w:val="00CB5B1A"/>
    <w:rsid w:val="00CB7694"/>
    <w:rsid w:val="00CC220B"/>
    <w:rsid w:val="00CC5C43"/>
    <w:rsid w:val="00CD02AE"/>
    <w:rsid w:val="00CD114E"/>
    <w:rsid w:val="00CD2A4F"/>
    <w:rsid w:val="00CD45F3"/>
    <w:rsid w:val="00CE03CA"/>
    <w:rsid w:val="00CE065E"/>
    <w:rsid w:val="00CE22F1"/>
    <w:rsid w:val="00CE50F2"/>
    <w:rsid w:val="00CE6502"/>
    <w:rsid w:val="00CF7D3C"/>
    <w:rsid w:val="00D0015D"/>
    <w:rsid w:val="00D01209"/>
    <w:rsid w:val="00D044F7"/>
    <w:rsid w:val="00D1206E"/>
    <w:rsid w:val="00D147EB"/>
    <w:rsid w:val="00D25D43"/>
    <w:rsid w:val="00D34667"/>
    <w:rsid w:val="00D36965"/>
    <w:rsid w:val="00D401E1"/>
    <w:rsid w:val="00D408B4"/>
    <w:rsid w:val="00D40900"/>
    <w:rsid w:val="00D41CB7"/>
    <w:rsid w:val="00D45D94"/>
    <w:rsid w:val="00D524C8"/>
    <w:rsid w:val="00D55FBA"/>
    <w:rsid w:val="00D604DE"/>
    <w:rsid w:val="00D60D40"/>
    <w:rsid w:val="00D60E25"/>
    <w:rsid w:val="00D625C8"/>
    <w:rsid w:val="00D70E24"/>
    <w:rsid w:val="00D72B61"/>
    <w:rsid w:val="00D9562D"/>
    <w:rsid w:val="00DA3D1D"/>
    <w:rsid w:val="00DB0138"/>
    <w:rsid w:val="00DB6286"/>
    <w:rsid w:val="00DB645F"/>
    <w:rsid w:val="00DB76E9"/>
    <w:rsid w:val="00DC0A67"/>
    <w:rsid w:val="00DC1D5E"/>
    <w:rsid w:val="00DC2313"/>
    <w:rsid w:val="00DC519E"/>
    <w:rsid w:val="00DC5220"/>
    <w:rsid w:val="00DC5F6E"/>
    <w:rsid w:val="00DC7910"/>
    <w:rsid w:val="00DD2061"/>
    <w:rsid w:val="00DD7DAB"/>
    <w:rsid w:val="00DE04C1"/>
    <w:rsid w:val="00DE3355"/>
    <w:rsid w:val="00DF3E64"/>
    <w:rsid w:val="00DF486F"/>
    <w:rsid w:val="00DF5B5B"/>
    <w:rsid w:val="00DF7619"/>
    <w:rsid w:val="00E042D8"/>
    <w:rsid w:val="00E07C8C"/>
    <w:rsid w:val="00E07EE7"/>
    <w:rsid w:val="00E1017D"/>
    <w:rsid w:val="00E1103B"/>
    <w:rsid w:val="00E17B44"/>
    <w:rsid w:val="00E17B6C"/>
    <w:rsid w:val="00E26A4E"/>
    <w:rsid w:val="00E27FEA"/>
    <w:rsid w:val="00E3280F"/>
    <w:rsid w:val="00E36FC1"/>
    <w:rsid w:val="00E4086F"/>
    <w:rsid w:val="00E43B3C"/>
    <w:rsid w:val="00E47C85"/>
    <w:rsid w:val="00E50188"/>
    <w:rsid w:val="00E515CB"/>
    <w:rsid w:val="00E52260"/>
    <w:rsid w:val="00E52372"/>
    <w:rsid w:val="00E639B6"/>
    <w:rsid w:val="00E6434B"/>
    <w:rsid w:val="00E6463D"/>
    <w:rsid w:val="00E72889"/>
    <w:rsid w:val="00E72E9B"/>
    <w:rsid w:val="00E74C51"/>
    <w:rsid w:val="00E8325B"/>
    <w:rsid w:val="00E849DA"/>
    <w:rsid w:val="00E84F28"/>
    <w:rsid w:val="00E9462E"/>
    <w:rsid w:val="00EA470E"/>
    <w:rsid w:val="00EA47A7"/>
    <w:rsid w:val="00EA57EB"/>
    <w:rsid w:val="00EA638F"/>
    <w:rsid w:val="00EB026D"/>
    <w:rsid w:val="00EB3226"/>
    <w:rsid w:val="00EC213A"/>
    <w:rsid w:val="00EC6603"/>
    <w:rsid w:val="00EC7744"/>
    <w:rsid w:val="00ED0DAD"/>
    <w:rsid w:val="00ED0F46"/>
    <w:rsid w:val="00ED2373"/>
    <w:rsid w:val="00EE3E8A"/>
    <w:rsid w:val="00EE3FE0"/>
    <w:rsid w:val="00EF4AFE"/>
    <w:rsid w:val="00EF63EA"/>
    <w:rsid w:val="00EF6ECA"/>
    <w:rsid w:val="00EF7BA8"/>
    <w:rsid w:val="00F024E1"/>
    <w:rsid w:val="00F05C86"/>
    <w:rsid w:val="00F06C10"/>
    <w:rsid w:val="00F1096F"/>
    <w:rsid w:val="00F124B2"/>
    <w:rsid w:val="00F12589"/>
    <w:rsid w:val="00F12595"/>
    <w:rsid w:val="00F134D9"/>
    <w:rsid w:val="00F1403D"/>
    <w:rsid w:val="00F1463F"/>
    <w:rsid w:val="00F15F72"/>
    <w:rsid w:val="00F21302"/>
    <w:rsid w:val="00F24938"/>
    <w:rsid w:val="00F321DE"/>
    <w:rsid w:val="00F33777"/>
    <w:rsid w:val="00F34325"/>
    <w:rsid w:val="00F40648"/>
    <w:rsid w:val="00F426DC"/>
    <w:rsid w:val="00F47CD6"/>
    <w:rsid w:val="00F47DA2"/>
    <w:rsid w:val="00F505B9"/>
    <w:rsid w:val="00F519FC"/>
    <w:rsid w:val="00F565DF"/>
    <w:rsid w:val="00F57461"/>
    <w:rsid w:val="00F6239D"/>
    <w:rsid w:val="00F64A84"/>
    <w:rsid w:val="00F65B12"/>
    <w:rsid w:val="00F715D2"/>
    <w:rsid w:val="00F7274F"/>
    <w:rsid w:val="00F769BF"/>
    <w:rsid w:val="00F76FA8"/>
    <w:rsid w:val="00F91051"/>
    <w:rsid w:val="00F93F08"/>
    <w:rsid w:val="00F94CED"/>
    <w:rsid w:val="00F9605C"/>
    <w:rsid w:val="00FA2CEE"/>
    <w:rsid w:val="00FA318C"/>
    <w:rsid w:val="00FB6F92"/>
    <w:rsid w:val="00FC026E"/>
    <w:rsid w:val="00FC1D76"/>
    <w:rsid w:val="00FC5124"/>
    <w:rsid w:val="00FC5305"/>
    <w:rsid w:val="00FC5A83"/>
    <w:rsid w:val="00FD3206"/>
    <w:rsid w:val="00FD401D"/>
    <w:rsid w:val="00FD4731"/>
    <w:rsid w:val="00FD6329"/>
    <w:rsid w:val="00FE6ED4"/>
    <w:rsid w:val="00FF0AB0"/>
    <w:rsid w:val="00FF28AC"/>
    <w:rsid w:val="00FF2C6D"/>
    <w:rsid w:val="00FF3991"/>
    <w:rsid w:val="00FF7F62"/>
    <w:rsid w:val="032AE33C"/>
    <w:rsid w:val="038E0937"/>
    <w:rsid w:val="03A0FD23"/>
    <w:rsid w:val="06B83E9C"/>
    <w:rsid w:val="06F5E0CC"/>
    <w:rsid w:val="071E5E98"/>
    <w:rsid w:val="0769694F"/>
    <w:rsid w:val="07EBF36B"/>
    <w:rsid w:val="08742B99"/>
    <w:rsid w:val="08A1F8D9"/>
    <w:rsid w:val="08DCAA2E"/>
    <w:rsid w:val="0A05FD1F"/>
    <w:rsid w:val="0A1DFDD7"/>
    <w:rsid w:val="0BCE837A"/>
    <w:rsid w:val="0C44A3D3"/>
    <w:rsid w:val="0C504160"/>
    <w:rsid w:val="0C7AF697"/>
    <w:rsid w:val="0D6EBFB4"/>
    <w:rsid w:val="0DF1D31A"/>
    <w:rsid w:val="0FD82904"/>
    <w:rsid w:val="10167A4D"/>
    <w:rsid w:val="102624ED"/>
    <w:rsid w:val="109389A6"/>
    <w:rsid w:val="11EBEE5E"/>
    <w:rsid w:val="132AA01A"/>
    <w:rsid w:val="1349DEBE"/>
    <w:rsid w:val="13A7688C"/>
    <w:rsid w:val="13D75E4C"/>
    <w:rsid w:val="13EF1E91"/>
    <w:rsid w:val="14FDE513"/>
    <w:rsid w:val="151FC06C"/>
    <w:rsid w:val="15F8D9BB"/>
    <w:rsid w:val="15FCC19F"/>
    <w:rsid w:val="16B627D5"/>
    <w:rsid w:val="17125023"/>
    <w:rsid w:val="17CA1D90"/>
    <w:rsid w:val="196C54F6"/>
    <w:rsid w:val="1A762A97"/>
    <w:rsid w:val="1D693A0C"/>
    <w:rsid w:val="1D7218E0"/>
    <w:rsid w:val="1E54B165"/>
    <w:rsid w:val="1FB580A8"/>
    <w:rsid w:val="238BDF2A"/>
    <w:rsid w:val="23A21756"/>
    <w:rsid w:val="25347870"/>
    <w:rsid w:val="269791D5"/>
    <w:rsid w:val="269AE031"/>
    <w:rsid w:val="29137485"/>
    <w:rsid w:val="2AB68790"/>
    <w:rsid w:val="2AF7B559"/>
    <w:rsid w:val="2DFEC31F"/>
    <w:rsid w:val="2E216CBD"/>
    <w:rsid w:val="2FD93A61"/>
    <w:rsid w:val="2FF4EACF"/>
    <w:rsid w:val="313EB841"/>
    <w:rsid w:val="318B5443"/>
    <w:rsid w:val="31A00284"/>
    <w:rsid w:val="3448ED94"/>
    <w:rsid w:val="36292D93"/>
    <w:rsid w:val="366B3D65"/>
    <w:rsid w:val="3681EE01"/>
    <w:rsid w:val="3856EC01"/>
    <w:rsid w:val="3862503A"/>
    <w:rsid w:val="3BB5A68C"/>
    <w:rsid w:val="3BBC9C6F"/>
    <w:rsid w:val="3C89BEA3"/>
    <w:rsid w:val="3D2458FE"/>
    <w:rsid w:val="3DD08EB8"/>
    <w:rsid w:val="3DE4A582"/>
    <w:rsid w:val="408DDC25"/>
    <w:rsid w:val="4215769A"/>
    <w:rsid w:val="4A146BC5"/>
    <w:rsid w:val="4CBBF176"/>
    <w:rsid w:val="4F65DABF"/>
    <w:rsid w:val="4F74550D"/>
    <w:rsid w:val="4F8CE35D"/>
    <w:rsid w:val="513553E9"/>
    <w:rsid w:val="5379F52E"/>
    <w:rsid w:val="537C403B"/>
    <w:rsid w:val="54C0A0F5"/>
    <w:rsid w:val="55A19E48"/>
    <w:rsid w:val="55EBDD0A"/>
    <w:rsid w:val="5663BB93"/>
    <w:rsid w:val="56B30F84"/>
    <w:rsid w:val="5A6CBAAB"/>
    <w:rsid w:val="5C11F284"/>
    <w:rsid w:val="5CCC8B6B"/>
    <w:rsid w:val="5D33FEDE"/>
    <w:rsid w:val="5D4920D7"/>
    <w:rsid w:val="5FA948DF"/>
    <w:rsid w:val="6142E68C"/>
    <w:rsid w:val="627F08A5"/>
    <w:rsid w:val="647FFA57"/>
    <w:rsid w:val="65D1D517"/>
    <w:rsid w:val="65F398BE"/>
    <w:rsid w:val="6676D7AE"/>
    <w:rsid w:val="6696F224"/>
    <w:rsid w:val="679EB3DA"/>
    <w:rsid w:val="67A3ADE8"/>
    <w:rsid w:val="684BFBD8"/>
    <w:rsid w:val="684CAFE1"/>
    <w:rsid w:val="697422C4"/>
    <w:rsid w:val="69FEDB28"/>
    <w:rsid w:val="6AE74608"/>
    <w:rsid w:val="6CA7C5B4"/>
    <w:rsid w:val="6ED4B7B8"/>
    <w:rsid w:val="6ED50572"/>
    <w:rsid w:val="6F8A95AD"/>
    <w:rsid w:val="6F94A078"/>
    <w:rsid w:val="6FACDE85"/>
    <w:rsid w:val="701DA659"/>
    <w:rsid w:val="71315D72"/>
    <w:rsid w:val="718BE8A8"/>
    <w:rsid w:val="73FE2F6A"/>
    <w:rsid w:val="7764AED0"/>
    <w:rsid w:val="77B823CF"/>
    <w:rsid w:val="784AEA8E"/>
    <w:rsid w:val="789BF061"/>
    <w:rsid w:val="7930283E"/>
    <w:rsid w:val="7B12E3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D8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51A23"/>
    <w:rPr>
      <w:rFonts w:ascii="Arial" w:hAnsi="Arial"/>
      <w:sz w:val="22"/>
      <w:szCs w:val="24"/>
      <w:lang w:eastAsia="en-US"/>
    </w:rPr>
  </w:style>
  <w:style w:type="paragraph" w:styleId="Heading1">
    <w:name w:val="heading 1"/>
    <w:basedOn w:val="Normal"/>
    <w:next w:val="Normal"/>
    <w:link w:val="Heading1Char"/>
    <w:qFormat/>
    <w:rsid w:val="009127BC"/>
    <w:pPr>
      <w:keepNext/>
      <w:spacing w:before="240" w:after="60"/>
      <w:outlineLvl w:val="0"/>
    </w:pPr>
    <w:rPr>
      <w:rFonts w:cs="Arial"/>
      <w:bCs/>
      <w:color w:val="3F4A75"/>
      <w:kern w:val="28"/>
      <w:sz w:val="36"/>
      <w:szCs w:val="36"/>
    </w:rPr>
  </w:style>
  <w:style w:type="paragraph" w:styleId="Heading2">
    <w:name w:val="heading 2"/>
    <w:next w:val="Paragraphtext"/>
    <w:qFormat/>
    <w:rsid w:val="009127BC"/>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9127BC"/>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027071"/>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751A23"/>
    <w:pPr>
      <w:spacing w:before="2160" w:after="120"/>
      <w:contextualSpacing/>
    </w:pPr>
    <w:rPr>
      <w:rFonts w:eastAsiaTheme="majorEastAsia" w:cstheme="majorBidi"/>
      <w:b/>
      <w:color w:val="3F4A75"/>
      <w:kern w:val="28"/>
      <w:sz w:val="48"/>
      <w:szCs w:val="52"/>
    </w:rPr>
  </w:style>
  <w:style w:type="character" w:customStyle="1" w:styleId="TitleChar">
    <w:name w:val="Title Char"/>
    <w:basedOn w:val="DefaultParagraphFont"/>
    <w:link w:val="Title"/>
    <w:rsid w:val="00751A23"/>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rsid w:val="00A4512D"/>
    <w:pPr>
      <w:pBdr>
        <w:bottom w:val="single" w:sz="4" w:space="4" w:color="3F4A75" w:themeColor="accent1"/>
      </w:pBdr>
      <w:spacing w:before="200" w:after="280"/>
      <w:ind w:left="936" w:right="936"/>
    </w:pPr>
    <w:rPr>
      <w:b/>
      <w:bCs/>
      <w:i/>
      <w:iCs/>
      <w:color w:val="3F4A75" w:themeColor="accent1"/>
    </w:rPr>
  </w:style>
  <w:style w:type="character" w:customStyle="1" w:styleId="IntenseQuoteChar">
    <w:name w:val="Intense Quote Char"/>
    <w:basedOn w:val="DefaultParagraphFont"/>
    <w:link w:val="IntenseQuote"/>
    <w:uiPriority w:val="30"/>
    <w:rsid w:val="00A4512D"/>
    <w:rPr>
      <w:b/>
      <w:bCs/>
      <w:i/>
      <w:iCs/>
      <w:color w:val="3F4A75" w:themeColor="accent1"/>
      <w:sz w:val="24"/>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7"/>
      </w:numPr>
      <w:ind w:left="568" w:hanging="284"/>
    </w:pPr>
  </w:style>
  <w:style w:type="paragraph" w:styleId="ListNumber2">
    <w:name w:val="List Number 2"/>
    <w:basedOn w:val="ListBullet"/>
    <w:qFormat/>
    <w:rsid w:val="00A56F17"/>
    <w:pPr>
      <w:numPr>
        <w:numId w:val="20"/>
      </w:numPr>
    </w:pPr>
  </w:style>
  <w:style w:type="paragraph" w:styleId="ListBullet">
    <w:name w:val="List Bullet"/>
    <w:basedOn w:val="Normal"/>
    <w:qFormat/>
    <w:rsid w:val="00A56F17"/>
    <w:pPr>
      <w:numPr>
        <w:numId w:val="18"/>
      </w:numPr>
      <w:spacing w:before="60" w:after="60"/>
    </w:pPr>
    <w:rPr>
      <w:color w:val="000000" w:themeColor="text1"/>
      <w:sz w:val="21"/>
    </w:rPr>
  </w:style>
  <w:style w:type="paragraph" w:styleId="ListParagraph">
    <w:name w:val="List Paragraph"/>
    <w:basedOn w:val="Normal"/>
    <w:uiPriority w:val="34"/>
    <w:qFormat/>
    <w:rsid w:val="00A4512D"/>
    <w:pPr>
      <w:ind w:left="720"/>
      <w:contextualSpacing/>
    </w:pPr>
  </w:style>
  <w:style w:type="paragraph" w:styleId="ListNumber3">
    <w:name w:val="List Number 3"/>
    <w:aliases w:val="List Third Level"/>
    <w:basedOn w:val="ListNumber2"/>
    <w:rsid w:val="00BA56B7"/>
    <w:pPr>
      <w:numPr>
        <w:numId w:val="3"/>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uiPriority w:val="39"/>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4B179E"/>
    <w:pPr>
      <w:spacing w:before="60" w:after="60"/>
    </w:pPr>
    <w:rPr>
      <w:rFonts w:ascii="Arial" w:hAnsi="Arial"/>
      <w:b/>
      <w:bCs/>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basedOn w:val="Normal"/>
    <w:link w:val="HeaderChar"/>
    <w:uiPriority w:val="99"/>
    <w:qFormat/>
    <w:rsid w:val="006B56BB"/>
    <w:pPr>
      <w:tabs>
        <w:tab w:val="center" w:pos="4513"/>
        <w:tab w:val="right" w:pos="9026"/>
      </w:tabs>
    </w:pPr>
  </w:style>
  <w:style w:type="character" w:customStyle="1" w:styleId="HeaderChar">
    <w:name w:val="Header Char"/>
    <w:basedOn w:val="DefaultParagraphFont"/>
    <w:link w:val="Header"/>
    <w:uiPriority w:val="99"/>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Heading1Purple">
    <w:name w:val="Heading 1 Purple"/>
    <w:basedOn w:val="Heading1"/>
    <w:next w:val="Paragraphtext"/>
    <w:rsid w:val="0091389F"/>
    <w:rPr>
      <w:color w:val="8D188D"/>
    </w:rPr>
  </w:style>
  <w:style w:type="paragraph" w:customStyle="1" w:styleId="Heading2Purple">
    <w:name w:val="Heading 2 Purple"/>
    <w:basedOn w:val="Heading2"/>
    <w:next w:val="Paragraphtext"/>
    <w:rsid w:val="00922722"/>
    <w:pPr>
      <w:spacing w:before="180"/>
    </w:pPr>
    <w:rPr>
      <w:color w:val="8D188D"/>
    </w:rPr>
  </w:style>
  <w:style w:type="paragraph" w:customStyle="1" w:styleId="Tablelistbullet">
    <w:name w:val="Table list bullet"/>
    <w:basedOn w:val="Tabletextleft"/>
    <w:qFormat/>
    <w:rsid w:val="00110478"/>
    <w:pPr>
      <w:numPr>
        <w:numId w:val="4"/>
      </w:numPr>
      <w:ind w:left="284" w:hanging="284"/>
    </w:pPr>
    <w:rPr>
      <w:szCs w:val="20"/>
    </w:rPr>
  </w:style>
  <w:style w:type="paragraph" w:customStyle="1" w:styleId="Tablelistnumber">
    <w:name w:val="Table list number"/>
    <w:basedOn w:val="Tabletextleft"/>
    <w:qFormat/>
    <w:rsid w:val="00DD2061"/>
    <w:pPr>
      <w:numPr>
        <w:numId w:val="5"/>
      </w:numPr>
    </w:pPr>
    <w:rPr>
      <w:bCs w:val="0"/>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Paragraphtext"/>
    <w:rsid w:val="00CE6502"/>
    <w:rPr>
      <w:szCs w:val="32"/>
    </w:rPr>
  </w:style>
  <w:style w:type="paragraph" w:customStyle="1" w:styleId="Heading1Orange">
    <w:name w:val="Heading 1 Orange"/>
    <w:basedOn w:val="Heading1"/>
    <w:next w:val="Paragraphtext"/>
    <w:rsid w:val="00AB1EE7"/>
    <w:rPr>
      <w:color w:val="D72F0D"/>
    </w:rPr>
  </w:style>
  <w:style w:type="paragraph" w:customStyle="1" w:styleId="Heading2Orange">
    <w:name w:val="Heading 2 Orange"/>
    <w:basedOn w:val="Heading2"/>
    <w:rsid w:val="00AB1EE7"/>
    <w:rPr>
      <w:color w:val="D72F0D"/>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Paragraphtext"/>
    <w:next w:val="Paragraphtext"/>
    <w:qFormat/>
    <w:rsid w:val="009127BC"/>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rsid w:val="00CA4BE3"/>
    <w:pPr>
      <w:spacing w:before="240"/>
    </w:pPr>
    <w:rPr>
      <w:rFonts w:cs="Times New Roman"/>
      <w:b/>
      <w:bCs/>
      <w:caps/>
      <w:color w:val="358189"/>
      <w:szCs w:val="20"/>
    </w:rPr>
  </w:style>
  <w:style w:type="paragraph" w:customStyle="1" w:styleId="Boxtype">
    <w:name w:val="Box type"/>
    <w:next w:val="Normal"/>
    <w:qFormat/>
    <w:rsid w:val="00CA4BE3"/>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Heading1Char">
    <w:name w:val="Heading 1 Char"/>
    <w:basedOn w:val="DefaultParagraphFont"/>
    <w:link w:val="Heading1"/>
    <w:rsid w:val="00E36FC1"/>
    <w:rPr>
      <w:rFonts w:ascii="Arial" w:hAnsi="Arial" w:cs="Arial"/>
      <w:bCs/>
      <w:color w:val="3F4A75"/>
      <w:kern w:val="28"/>
      <w:sz w:val="36"/>
      <w:szCs w:val="36"/>
      <w:lang w:eastAsia="en-US"/>
    </w:rPr>
  </w:style>
  <w:style w:type="character" w:styleId="CommentReference">
    <w:name w:val="annotation reference"/>
    <w:basedOn w:val="DefaultParagraphFont"/>
    <w:semiHidden/>
    <w:unhideWhenUsed/>
    <w:rsid w:val="00967C37"/>
    <w:rPr>
      <w:sz w:val="16"/>
      <w:szCs w:val="16"/>
    </w:rPr>
  </w:style>
  <w:style w:type="paragraph" w:styleId="CommentText">
    <w:name w:val="annotation text"/>
    <w:basedOn w:val="Normal"/>
    <w:link w:val="CommentTextChar"/>
    <w:unhideWhenUsed/>
    <w:rsid w:val="00967C37"/>
    <w:rPr>
      <w:sz w:val="20"/>
      <w:szCs w:val="20"/>
    </w:rPr>
  </w:style>
  <w:style w:type="character" w:customStyle="1" w:styleId="CommentTextChar">
    <w:name w:val="Comment Text Char"/>
    <w:basedOn w:val="DefaultParagraphFont"/>
    <w:link w:val="CommentText"/>
    <w:rsid w:val="00967C37"/>
    <w:rPr>
      <w:rFonts w:ascii="Arial" w:hAnsi="Arial"/>
      <w:lang w:eastAsia="en-US"/>
    </w:rPr>
  </w:style>
  <w:style w:type="paragraph" w:styleId="CommentSubject">
    <w:name w:val="annotation subject"/>
    <w:basedOn w:val="CommentText"/>
    <w:next w:val="CommentText"/>
    <w:link w:val="CommentSubjectChar"/>
    <w:semiHidden/>
    <w:unhideWhenUsed/>
    <w:rsid w:val="00967C37"/>
    <w:rPr>
      <w:b/>
      <w:bCs/>
    </w:rPr>
  </w:style>
  <w:style w:type="character" w:customStyle="1" w:styleId="CommentSubjectChar">
    <w:name w:val="Comment Subject Char"/>
    <w:basedOn w:val="CommentTextChar"/>
    <w:link w:val="CommentSubject"/>
    <w:semiHidden/>
    <w:rsid w:val="00967C37"/>
    <w:rPr>
      <w:rFonts w:ascii="Arial" w:hAnsi="Arial"/>
      <w:b/>
      <w:bCs/>
      <w:lang w:eastAsia="en-US"/>
    </w:rPr>
  </w:style>
  <w:style w:type="character" w:styleId="UnresolvedMention">
    <w:name w:val="Unresolved Mention"/>
    <w:basedOn w:val="DefaultParagraphFont"/>
    <w:uiPriority w:val="99"/>
    <w:semiHidden/>
    <w:unhideWhenUsed/>
    <w:rsid w:val="00967C37"/>
    <w:rPr>
      <w:color w:val="605E5C"/>
      <w:shd w:val="clear" w:color="auto" w:fill="E1DFDD"/>
    </w:rPr>
  </w:style>
  <w:style w:type="paragraph" w:styleId="Revision">
    <w:name w:val="Revision"/>
    <w:hidden/>
    <w:uiPriority w:val="99"/>
    <w:semiHidden/>
    <w:rsid w:val="00714FE8"/>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40EC1-40B9-424A-96C8-6024AF6C5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4100</Words>
  <Characters>22355</Characters>
  <Application>Microsoft Office Word</Application>
  <DocSecurity>0</DocSecurity>
  <Lines>550</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Methodology Guide for Vaccination Dashboards</dc:title>
  <dc:subject/>
  <dc:creator/>
  <cp:keywords/>
  <cp:lastModifiedBy/>
  <cp:revision>1</cp:revision>
  <dcterms:created xsi:type="dcterms:W3CDTF">2026-06-30T04:38:00Z</dcterms:created>
  <dcterms:modified xsi:type="dcterms:W3CDTF">2026-06-30T04:52:00Z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2feb9767,bc0f0ef,3f47c0f6,72e5ba14,29c3f0bb,36ece33d,65e04428</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7b274bcb,5f04cd5f,6fbba1df,7689e3f0,33afaa23,3d825cd,661db206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2026-06-30T04:38:36Z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226d4005-2bbe-43e5-bca4-5c687e98df9d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