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A16A" w14:textId="0CDA30CC" w:rsidR="00633714" w:rsidRPr="00B64789" w:rsidRDefault="00633714" w:rsidP="00B64789">
      <w:pPr>
        <w:pStyle w:val="Title"/>
      </w:pPr>
      <w:r w:rsidRPr="005E318C">
        <w:t xml:space="preserve">Schedule of </w:t>
      </w:r>
      <w:r w:rsidR="0057160C" w:rsidRPr="005E318C">
        <w:t>f</w:t>
      </w:r>
      <w:r w:rsidRPr="005E318C">
        <w:t xml:space="preserve">ees and </w:t>
      </w:r>
      <w:r w:rsidR="0057160C" w:rsidRPr="005E318C">
        <w:t>c</w:t>
      </w:r>
      <w:r w:rsidRPr="005E318C">
        <w:t xml:space="preserve">harges for </w:t>
      </w:r>
      <w:r w:rsidR="0057160C" w:rsidRPr="005E318C">
        <w:t>r</w:t>
      </w:r>
      <w:r w:rsidRPr="005E318C">
        <w:t xml:space="preserve">esidential </w:t>
      </w:r>
      <w:r w:rsidR="0057160C" w:rsidRPr="005E318C">
        <w:t>c</w:t>
      </w:r>
      <w:r w:rsidRPr="005E318C">
        <w:t>are</w:t>
      </w:r>
      <w:r w:rsidR="00B64789">
        <w:t xml:space="preserve"> </w:t>
      </w:r>
      <w:r w:rsidR="0057160C" w:rsidRPr="005E318C">
        <w:t>f</w:t>
      </w:r>
      <w:r w:rsidRPr="005E318C">
        <w:t xml:space="preserve">rom </w:t>
      </w:r>
      <w:r w:rsidR="00172631" w:rsidRPr="005E318C">
        <w:t>1 July</w:t>
      </w:r>
      <w:r w:rsidR="00C76499" w:rsidRPr="005E318C">
        <w:t xml:space="preserve"> </w:t>
      </w:r>
      <w:r w:rsidR="00025B29" w:rsidRPr="005E318C">
        <w:t>2026</w:t>
      </w:r>
    </w:p>
    <w:p w14:paraId="575A20C5" w14:textId="77777777" w:rsidR="00633714" w:rsidRDefault="00000000" w:rsidP="008758F6">
      <w:pPr>
        <w:spacing w:after="0" w:line="264" w:lineRule="auto"/>
        <w:jc w:val="center"/>
        <w:rPr>
          <w:rStyle w:val="BookTitle"/>
          <w:i w:val="0"/>
          <w:iCs w:val="0"/>
          <w:spacing w:val="0"/>
        </w:rPr>
      </w:pPr>
      <w:r>
        <w:rPr>
          <w:rStyle w:val="BookTitle"/>
          <w:i w:val="0"/>
          <w:iCs w:val="0"/>
        </w:rPr>
        <w:pict w14:anchorId="06E1BF6E">
          <v:rect id="_x0000_i1025" style="width:451.3pt;height:1.5pt" o:hralign="center" o:hrstd="t" o:hr="t" fillcolor="#a0a0a0" stroked="f"/>
        </w:pict>
      </w:r>
    </w:p>
    <w:p w14:paraId="5C66C1E0" w14:textId="0D82A9B7" w:rsidR="00243AAF" w:rsidRPr="005F1D69" w:rsidRDefault="00CC0CBA" w:rsidP="00A34332">
      <w:pPr>
        <w:pStyle w:val="Subtitle"/>
        <w:spacing w:after="480" w:line="264" w:lineRule="auto"/>
        <w:rPr>
          <w:rStyle w:val="BookTitle"/>
          <w:i w:val="0"/>
          <w:spacing w:val="0"/>
          <w:sz w:val="22"/>
          <w:szCs w:val="22"/>
        </w:rPr>
      </w:pPr>
      <w:r w:rsidRPr="75CE64C2">
        <w:rPr>
          <w:rStyle w:val="BookTitle"/>
          <w:i w:val="0"/>
          <w:spacing w:val="0"/>
          <w:sz w:val="22"/>
          <w:szCs w:val="22"/>
        </w:rPr>
        <w:t xml:space="preserve">This Schedule applies to </w:t>
      </w:r>
      <w:r w:rsidR="02456943" w:rsidRPr="75CE64C2">
        <w:rPr>
          <w:rStyle w:val="BookTitle"/>
          <w:i w:val="0"/>
          <w:spacing w:val="0"/>
          <w:sz w:val="22"/>
          <w:szCs w:val="22"/>
        </w:rPr>
        <w:t xml:space="preserve">residential </w:t>
      </w:r>
      <w:r w:rsidR="001B5E4C" w:rsidRPr="75CE64C2">
        <w:rPr>
          <w:rStyle w:val="BookTitle"/>
          <w:i w:val="0"/>
          <w:spacing w:val="0"/>
          <w:sz w:val="22"/>
          <w:szCs w:val="22"/>
        </w:rPr>
        <w:t xml:space="preserve">aged </w:t>
      </w:r>
      <w:r w:rsidRPr="75CE64C2">
        <w:rPr>
          <w:rStyle w:val="BookTitle"/>
          <w:i w:val="0"/>
          <w:spacing w:val="0"/>
          <w:sz w:val="22"/>
          <w:szCs w:val="22"/>
        </w:rPr>
        <w:t>care recipients</w:t>
      </w:r>
      <w:r w:rsidR="0001330D" w:rsidRPr="75CE64C2">
        <w:rPr>
          <w:rStyle w:val="BookTitle"/>
          <w:i w:val="0"/>
          <w:spacing w:val="0"/>
          <w:sz w:val="22"/>
          <w:szCs w:val="22"/>
        </w:rPr>
        <w:t>.</w:t>
      </w:r>
      <w:r w:rsidR="00E06113" w:rsidRPr="75CE64C2">
        <w:rPr>
          <w:rStyle w:val="BookTitle"/>
          <w:i w:val="0"/>
          <w:spacing w:val="0"/>
          <w:sz w:val="22"/>
          <w:szCs w:val="22"/>
        </w:rPr>
        <w:t xml:space="preserve"> </w:t>
      </w:r>
      <w:r w:rsidR="002013A5" w:rsidRPr="75CE64C2">
        <w:rPr>
          <w:rStyle w:val="BookTitle"/>
          <w:i w:val="0"/>
          <w:spacing w:val="0"/>
          <w:sz w:val="22"/>
          <w:szCs w:val="22"/>
        </w:rPr>
        <w:t xml:space="preserve">Different </w:t>
      </w:r>
      <w:r w:rsidR="00EF45B9" w:rsidRPr="75CE64C2">
        <w:rPr>
          <w:rStyle w:val="BookTitle"/>
          <w:i w:val="0"/>
          <w:spacing w:val="0"/>
          <w:sz w:val="22"/>
          <w:szCs w:val="22"/>
        </w:rPr>
        <w:t>fee</w:t>
      </w:r>
      <w:r w:rsidR="00CC52D4" w:rsidRPr="75CE64C2">
        <w:rPr>
          <w:rStyle w:val="BookTitle"/>
          <w:i w:val="0"/>
          <w:spacing w:val="0"/>
          <w:sz w:val="22"/>
          <w:szCs w:val="22"/>
        </w:rPr>
        <w:t>s and accommodation costs</w:t>
      </w:r>
      <w:r w:rsidR="00EF45B9" w:rsidRPr="75CE64C2">
        <w:rPr>
          <w:rStyle w:val="BookTitle"/>
          <w:i w:val="0"/>
          <w:spacing w:val="0"/>
          <w:sz w:val="22"/>
          <w:szCs w:val="22"/>
        </w:rPr>
        <w:t xml:space="preserve"> </w:t>
      </w:r>
      <w:r w:rsidR="002013A5" w:rsidRPr="75CE64C2">
        <w:rPr>
          <w:rStyle w:val="BookTitle"/>
          <w:i w:val="0"/>
          <w:spacing w:val="0"/>
          <w:sz w:val="22"/>
          <w:szCs w:val="22"/>
        </w:rPr>
        <w:t xml:space="preserve">apply based on </w:t>
      </w:r>
      <w:r w:rsidR="00EF45B9" w:rsidRPr="75CE64C2">
        <w:rPr>
          <w:rStyle w:val="BookTitle"/>
          <w:i w:val="0"/>
          <w:spacing w:val="0"/>
          <w:sz w:val="22"/>
          <w:szCs w:val="22"/>
        </w:rPr>
        <w:t xml:space="preserve">the </w:t>
      </w:r>
      <w:r w:rsidR="00950AB2" w:rsidRPr="75CE64C2">
        <w:rPr>
          <w:rStyle w:val="BookTitle"/>
          <w:i w:val="0"/>
          <w:spacing w:val="0"/>
          <w:sz w:val="22"/>
          <w:szCs w:val="22"/>
        </w:rPr>
        <w:t>resident</w:t>
      </w:r>
      <w:r w:rsidR="00AD1BB6" w:rsidRPr="75CE64C2">
        <w:rPr>
          <w:rStyle w:val="BookTitle"/>
          <w:i w:val="0"/>
          <w:spacing w:val="0"/>
          <w:sz w:val="22"/>
          <w:szCs w:val="22"/>
        </w:rPr>
        <w:t xml:space="preserve">’s </w:t>
      </w:r>
      <w:r w:rsidR="00C370BB">
        <w:rPr>
          <w:rStyle w:val="BookTitle"/>
          <w:i w:val="0"/>
          <w:spacing w:val="0"/>
          <w:sz w:val="22"/>
          <w:szCs w:val="22"/>
        </w:rPr>
        <w:t>fee arrangements</w:t>
      </w:r>
      <w:r w:rsidR="00CF1183" w:rsidRPr="75CE64C2">
        <w:rPr>
          <w:rStyle w:val="BookTitle"/>
          <w:i w:val="0"/>
          <w:spacing w:val="0"/>
          <w:sz w:val="22"/>
          <w:szCs w:val="22"/>
        </w:rPr>
        <w:t xml:space="preserve"> and accommodation </w:t>
      </w:r>
      <w:r w:rsidR="00C370BB">
        <w:rPr>
          <w:rStyle w:val="BookTitle"/>
          <w:i w:val="0"/>
          <w:spacing w:val="0"/>
          <w:sz w:val="22"/>
          <w:szCs w:val="22"/>
        </w:rPr>
        <w:t>arrangements</w:t>
      </w:r>
      <w:r w:rsidR="00840234" w:rsidRPr="75CE64C2">
        <w:rPr>
          <w:rStyle w:val="BookTitle"/>
          <w:i w:val="0"/>
          <w:spacing w:val="0"/>
          <w:sz w:val="22"/>
          <w:szCs w:val="22"/>
        </w:rPr>
        <w:t xml:space="preserve">. </w:t>
      </w:r>
    </w:p>
    <w:p w14:paraId="0C1D08D9" w14:textId="6BC1E882" w:rsidR="33DCC8EA" w:rsidRPr="00276C9E" w:rsidRDefault="0076183A" w:rsidP="00276C9E">
      <w:pPr>
        <w:pStyle w:val="Heading1"/>
      </w:pPr>
      <w:r w:rsidRPr="00276C9E">
        <w:t>Rates</w:t>
      </w:r>
      <w:r w:rsidR="00C319B1" w:rsidRPr="00276C9E">
        <w:t xml:space="preserve"> </w:t>
      </w:r>
      <w:r w:rsidR="33DCC8EA" w:rsidRPr="00276C9E">
        <w:t xml:space="preserve">for </w:t>
      </w:r>
      <w:r w:rsidR="00632CF7" w:rsidRPr="00276C9E">
        <w:t>1</w:t>
      </w:r>
      <w:r w:rsidR="00D27770" w:rsidRPr="00276C9E">
        <w:t xml:space="preserve"> November </w:t>
      </w:r>
      <w:r w:rsidR="33DCC8EA" w:rsidRPr="00276C9E">
        <w:t>20</w:t>
      </w:r>
      <w:r w:rsidR="383F482C" w:rsidRPr="00276C9E">
        <w:t>25</w:t>
      </w:r>
      <w:r w:rsidR="006B4E74" w:rsidRPr="00276C9E">
        <w:t xml:space="preserve"> </w:t>
      </w:r>
      <w:r w:rsidR="00FE7017" w:rsidRPr="00276C9E">
        <w:t>fee</w:t>
      </w:r>
      <w:r w:rsidR="00486E45" w:rsidRPr="00276C9E">
        <w:t xml:space="preserve"> </w:t>
      </w:r>
      <w:r w:rsidR="00AD1BB6" w:rsidRPr="00276C9E">
        <w:t>and accommodation</w:t>
      </w:r>
      <w:r w:rsidR="00486E45" w:rsidRPr="00276C9E">
        <w:t xml:space="preserve"> arrangements</w:t>
      </w:r>
    </w:p>
    <w:p w14:paraId="44D1C20A" w14:textId="6ECDD53A" w:rsidR="00CC0CBA" w:rsidRPr="008C6285" w:rsidRDefault="7FCBB5F9" w:rsidP="008C6285">
      <w:pPr>
        <w:pStyle w:val="Heading2"/>
      </w:pPr>
      <w:r w:rsidRPr="008C6285">
        <w:t>Resident fees and contributions</w:t>
      </w:r>
    </w:p>
    <w:tbl>
      <w:tblPr>
        <w:tblStyle w:val="TableGridLight"/>
        <w:tblW w:w="0" w:type="auto"/>
        <w:tblLook w:val="05A0" w:firstRow="1" w:lastRow="0" w:firstColumn="1" w:lastColumn="1" w:noHBand="0" w:noVBand="1"/>
      </w:tblPr>
      <w:tblGrid>
        <w:gridCol w:w="6123"/>
        <w:gridCol w:w="3260"/>
      </w:tblGrid>
      <w:tr w:rsidR="00F04C85" w14:paraId="770DA2CC" w14:textId="77777777" w:rsidTr="00173573">
        <w:trPr>
          <w:cnfStyle w:val="100000000000" w:firstRow="1" w:lastRow="0" w:firstColumn="0" w:lastColumn="0" w:oddVBand="0" w:evenVBand="0" w:oddHBand="0" w:evenHBand="0" w:firstRowFirstColumn="0" w:firstRowLastColumn="0" w:lastRowFirstColumn="0" w:lastRowLastColumn="0"/>
          <w:trHeight w:val="283"/>
          <w:tblHeader/>
        </w:trPr>
        <w:tc>
          <w:tcPr>
            <w:tcW w:w="6123" w:type="dxa"/>
          </w:tcPr>
          <w:p w14:paraId="43359C54" w14:textId="28D0791E" w:rsidR="00F04C85" w:rsidRPr="00651BBE" w:rsidRDefault="00F04C85" w:rsidP="008758F6">
            <w:pPr>
              <w:spacing w:line="264" w:lineRule="auto"/>
              <w:rPr>
                <w:b w:val="0"/>
                <w:bCs/>
              </w:rPr>
            </w:pPr>
            <w:r>
              <w:rPr>
                <w:bCs/>
              </w:rPr>
              <w:t>Fee</w:t>
            </w:r>
          </w:p>
        </w:tc>
        <w:tc>
          <w:tcPr>
            <w:cnfStyle w:val="000100000000" w:firstRow="0" w:lastRow="0" w:firstColumn="0" w:lastColumn="1" w:oddVBand="0" w:evenVBand="0" w:oddHBand="0" w:evenHBand="0" w:firstRowFirstColumn="0" w:firstRowLastColumn="0" w:lastRowFirstColumn="0" w:lastRowLastColumn="0"/>
            <w:tcW w:w="3260" w:type="dxa"/>
          </w:tcPr>
          <w:p w14:paraId="7ABB1B27" w14:textId="697A0323" w:rsidR="00F04C85" w:rsidRPr="001074CD" w:rsidRDefault="0095183C" w:rsidP="008758F6">
            <w:pPr>
              <w:spacing w:line="264" w:lineRule="auto"/>
              <w:rPr>
                <w:b w:val="0"/>
                <w:bCs/>
              </w:rPr>
            </w:pPr>
            <w:r>
              <w:rPr>
                <w:bCs/>
              </w:rPr>
              <w:t>Maximum d</w:t>
            </w:r>
            <w:r w:rsidR="00363D6D">
              <w:rPr>
                <w:bCs/>
              </w:rPr>
              <w:t>aily r</w:t>
            </w:r>
            <w:r w:rsidR="00363D6D" w:rsidRPr="001074CD">
              <w:rPr>
                <w:bCs/>
              </w:rPr>
              <w:t>ate</w:t>
            </w:r>
          </w:p>
        </w:tc>
      </w:tr>
      <w:tr w:rsidR="004B2D39" w14:paraId="56961963" w14:textId="77777777" w:rsidTr="00173573">
        <w:trPr>
          <w:trHeight w:val="317"/>
        </w:trPr>
        <w:tc>
          <w:tcPr>
            <w:tcW w:w="6123" w:type="dxa"/>
          </w:tcPr>
          <w:p w14:paraId="0318CDAB" w14:textId="435EB051" w:rsidR="004B2D39" w:rsidRPr="00173573" w:rsidRDefault="009D2B3A" w:rsidP="00173573">
            <w:pPr>
              <w:pStyle w:val="TableofAuthorities"/>
            </w:pPr>
            <w:r w:rsidRPr="00173573">
              <w:t xml:space="preserve">Basic </w:t>
            </w:r>
            <w:r w:rsidR="000121BA" w:rsidRPr="00173573">
              <w:t xml:space="preserve">daily </w:t>
            </w:r>
            <w:r w:rsidR="00AB7B2A" w:rsidRPr="00173573">
              <w:t>fee</w:t>
            </w:r>
            <w:r w:rsidR="00C34FCF" w:rsidRPr="00173573">
              <w:t xml:space="preserve"> </w:t>
            </w:r>
            <w:r w:rsidR="00BD6048" w:rsidRPr="00173573">
              <w:rPr>
                <w:vertAlign w:val="superscript"/>
              </w:rPr>
              <w:t>1</w:t>
            </w:r>
          </w:p>
        </w:tc>
        <w:tc>
          <w:tcPr>
            <w:cnfStyle w:val="000100000000" w:firstRow="0" w:lastRow="0" w:firstColumn="0" w:lastColumn="1" w:oddVBand="0" w:evenVBand="0" w:oddHBand="0" w:evenHBand="0" w:firstRowFirstColumn="0" w:firstRowLastColumn="0" w:lastRowFirstColumn="0" w:lastRowLastColumn="0"/>
            <w:tcW w:w="3260" w:type="dxa"/>
          </w:tcPr>
          <w:p w14:paraId="6996BB23" w14:textId="17FDA8A5" w:rsidR="004B2D39" w:rsidRPr="00173573" w:rsidRDefault="00B2636C" w:rsidP="00173573">
            <w:pPr>
              <w:pStyle w:val="TableofAuthorities"/>
            </w:pPr>
            <w:r w:rsidRPr="00173573">
              <w:t>$66.80</w:t>
            </w:r>
          </w:p>
        </w:tc>
      </w:tr>
      <w:tr w:rsidR="004B2D39" w14:paraId="6E6FDE10" w14:textId="77777777" w:rsidTr="00173573">
        <w:trPr>
          <w:trHeight w:val="317"/>
        </w:trPr>
        <w:tc>
          <w:tcPr>
            <w:tcW w:w="6123" w:type="dxa"/>
          </w:tcPr>
          <w:p w14:paraId="5758DC7B" w14:textId="0460B0F8" w:rsidR="004B2D39" w:rsidRPr="00173573" w:rsidRDefault="009B3EF5" w:rsidP="00173573">
            <w:pPr>
              <w:pStyle w:val="TableofAuthorities"/>
            </w:pPr>
            <w:r w:rsidRPr="00173573">
              <w:t>H</w:t>
            </w:r>
            <w:r w:rsidR="00A2771D" w:rsidRPr="00173573">
              <w:t xml:space="preserve">otelling </w:t>
            </w:r>
            <w:r w:rsidR="00B6570C" w:rsidRPr="00173573">
              <w:t>contribution</w:t>
            </w:r>
            <w:r w:rsidR="000055A6" w:rsidRPr="00173573">
              <w:t xml:space="preserve"> </w:t>
            </w:r>
            <w:r w:rsidR="00BD6048" w:rsidRPr="00173573">
              <w:rPr>
                <w:vertAlign w:val="superscript"/>
              </w:rPr>
              <w:t>2</w:t>
            </w:r>
          </w:p>
        </w:tc>
        <w:tc>
          <w:tcPr>
            <w:cnfStyle w:val="000100000000" w:firstRow="0" w:lastRow="0" w:firstColumn="0" w:lastColumn="1" w:oddVBand="0" w:evenVBand="0" w:oddHBand="0" w:evenHBand="0" w:firstRowFirstColumn="0" w:firstRowLastColumn="0" w:lastRowFirstColumn="0" w:lastRowLastColumn="0"/>
            <w:tcW w:w="3260" w:type="dxa"/>
          </w:tcPr>
          <w:p w14:paraId="070F3BA5" w14:textId="0404DAE1" w:rsidR="004B2D39" w:rsidRPr="00173573" w:rsidRDefault="1CFAF14A" w:rsidP="00173573">
            <w:pPr>
              <w:pStyle w:val="TableofAuthorities"/>
            </w:pPr>
            <w:r w:rsidRPr="00173573">
              <w:t>$</w:t>
            </w:r>
            <w:r w:rsidR="7B365780" w:rsidRPr="00173573">
              <w:t>22.15</w:t>
            </w:r>
          </w:p>
        </w:tc>
      </w:tr>
      <w:tr w:rsidR="004B2D39" w14:paraId="5B500626" w14:textId="77777777" w:rsidTr="00173573">
        <w:trPr>
          <w:trHeight w:val="317"/>
        </w:trPr>
        <w:tc>
          <w:tcPr>
            <w:tcW w:w="6123" w:type="dxa"/>
          </w:tcPr>
          <w:p w14:paraId="54A703B2" w14:textId="2E471A27" w:rsidR="004B2D39" w:rsidRPr="00173573" w:rsidRDefault="00E37B9B" w:rsidP="00173573">
            <w:pPr>
              <w:pStyle w:val="TableofAuthorities"/>
            </w:pPr>
            <w:r w:rsidRPr="00173573">
              <w:t>Non-clinical care contribution</w:t>
            </w:r>
            <w:r w:rsidR="00712D6C" w:rsidRPr="00173573">
              <w:t xml:space="preserve"> </w:t>
            </w:r>
            <w:r w:rsidR="00C66C6F" w:rsidRPr="00173573">
              <w:rPr>
                <w:vertAlign w:val="superscript"/>
              </w:rPr>
              <w:t>2</w:t>
            </w:r>
          </w:p>
        </w:tc>
        <w:tc>
          <w:tcPr>
            <w:cnfStyle w:val="000100000000" w:firstRow="0" w:lastRow="0" w:firstColumn="0" w:lastColumn="1" w:oddVBand="0" w:evenVBand="0" w:oddHBand="0" w:evenHBand="0" w:firstRowFirstColumn="0" w:firstRowLastColumn="0" w:lastRowFirstColumn="0" w:lastRowLastColumn="0"/>
            <w:tcW w:w="3260" w:type="dxa"/>
          </w:tcPr>
          <w:p w14:paraId="2645B57B" w14:textId="79031C51" w:rsidR="004B2D39" w:rsidRPr="00173573" w:rsidRDefault="00B2636C" w:rsidP="00173573">
            <w:pPr>
              <w:pStyle w:val="TableofAuthorities"/>
            </w:pPr>
            <w:r w:rsidRPr="00173573">
              <w:t>$107.32</w:t>
            </w:r>
          </w:p>
        </w:tc>
      </w:tr>
    </w:tbl>
    <w:p w14:paraId="34CAB64F" w14:textId="2C07B6BB" w:rsidR="000055A6" w:rsidRPr="00B64789" w:rsidRDefault="00BD6048" w:rsidP="00B64789">
      <w:pPr>
        <w:pStyle w:val="Footnotes"/>
      </w:pPr>
      <w:r w:rsidRPr="00B64789">
        <w:t>1</w:t>
      </w:r>
      <w:r w:rsidR="000055A6" w:rsidRPr="00B64789">
        <w:t xml:space="preserve"> Th</w:t>
      </w:r>
      <w:r w:rsidR="003266C9" w:rsidRPr="00B64789">
        <w:t>is</w:t>
      </w:r>
      <w:r w:rsidR="000055A6" w:rsidRPr="00B64789">
        <w:t xml:space="preserve"> fee applies for permanent</w:t>
      </w:r>
      <w:r w:rsidR="003266C9" w:rsidRPr="00B64789">
        <w:t xml:space="preserve"> residential</w:t>
      </w:r>
      <w:r w:rsidR="000055A6" w:rsidRPr="00B64789">
        <w:t xml:space="preserve"> care</w:t>
      </w:r>
      <w:r w:rsidR="001B5E4C" w:rsidRPr="00B64789">
        <w:t xml:space="preserve"> and</w:t>
      </w:r>
      <w:r w:rsidR="000055A6" w:rsidRPr="00B64789">
        <w:t xml:space="preserve"> residential respite care</w:t>
      </w:r>
      <w:r w:rsidR="003266C9" w:rsidRPr="00B64789">
        <w:t xml:space="preserve">. </w:t>
      </w:r>
    </w:p>
    <w:p w14:paraId="7BE17C28" w14:textId="0A4B8C60" w:rsidR="005B6F6F" w:rsidRPr="00B64789" w:rsidRDefault="00BD6048" w:rsidP="00B64789">
      <w:pPr>
        <w:pStyle w:val="Footnotes"/>
      </w:pPr>
      <w:r w:rsidRPr="00B64789">
        <w:t>2</w:t>
      </w:r>
      <w:r w:rsidR="007641A9" w:rsidRPr="00B64789">
        <w:t xml:space="preserve"> </w:t>
      </w:r>
      <w:r w:rsidR="00C40EAD" w:rsidRPr="00B64789">
        <w:t xml:space="preserve">Services Australia advises the contribution amount for a resident. </w:t>
      </w:r>
    </w:p>
    <w:p w14:paraId="043B8AC0" w14:textId="793D1583" w:rsidR="0089426A" w:rsidRPr="00276C9E" w:rsidRDefault="0089426A" w:rsidP="00276C9E">
      <w:r w:rsidRPr="00276C9E">
        <w:rPr>
          <w:rStyle w:val="Strong"/>
        </w:rPr>
        <w:t>Maximum accommodation supplement amount</w:t>
      </w:r>
      <w:r w:rsidRPr="008C6285">
        <w:t xml:space="preserve"> </w:t>
      </w:r>
      <w:r w:rsidRPr="00276C9E">
        <w:t xml:space="preserve">– </w:t>
      </w:r>
      <w:r w:rsidR="00B2636C" w:rsidRPr="00276C9E">
        <w:t>$72.30</w:t>
      </w:r>
      <w:r w:rsidRPr="00276C9E">
        <w:t xml:space="preserve"> per day</w:t>
      </w:r>
    </w:p>
    <w:p w14:paraId="5FF646C7" w14:textId="11BD8948" w:rsidR="0089426A" w:rsidRPr="008C6285" w:rsidRDefault="0089426A" w:rsidP="008C6285">
      <w:pPr>
        <w:pStyle w:val="Heading2"/>
      </w:pPr>
      <w:r w:rsidRPr="008C6285">
        <w:t xml:space="preserve">Caps on </w:t>
      </w:r>
      <w:r w:rsidR="00C51B81" w:rsidRPr="008C6285">
        <w:t>n</w:t>
      </w:r>
      <w:r w:rsidRPr="008C6285">
        <w:t>on-clinical care contribution</w:t>
      </w:r>
    </w:p>
    <w:tbl>
      <w:tblPr>
        <w:tblStyle w:val="TableGridLight"/>
        <w:tblW w:w="9356" w:type="dxa"/>
        <w:tblLook w:val="05A0" w:firstRow="1" w:lastRow="0" w:firstColumn="1" w:lastColumn="1" w:noHBand="0" w:noVBand="1"/>
        <w:tblDescription w:val="This table list the caps on means tested care fees for Residential care"/>
      </w:tblPr>
      <w:tblGrid>
        <w:gridCol w:w="6096"/>
        <w:gridCol w:w="3260"/>
      </w:tblGrid>
      <w:tr w:rsidR="00B40D01" w14:paraId="40BE9D8C" w14:textId="77777777" w:rsidTr="00173573">
        <w:trPr>
          <w:cnfStyle w:val="100000000000" w:firstRow="1" w:lastRow="0" w:firstColumn="0" w:lastColumn="0" w:oddVBand="0" w:evenVBand="0" w:oddHBand="0" w:evenHBand="0" w:firstRowFirstColumn="0" w:firstRowLastColumn="0" w:lastRowFirstColumn="0" w:lastRowLastColumn="0"/>
          <w:trHeight w:val="317"/>
          <w:tblHeader/>
        </w:trPr>
        <w:tc>
          <w:tcPr>
            <w:tcW w:w="6096" w:type="dxa"/>
            <w:hideMark/>
          </w:tcPr>
          <w:p w14:paraId="06062BF8" w14:textId="27059AAB" w:rsidR="0089426A" w:rsidRDefault="00B206AA" w:rsidP="008758F6">
            <w:pPr>
              <w:spacing w:line="264" w:lineRule="auto"/>
              <w:rPr>
                <w:b w:val="0"/>
                <w:bCs/>
              </w:rPr>
            </w:pPr>
            <w:r>
              <w:rPr>
                <w:bCs/>
              </w:rPr>
              <w:t>Non-clinical care contribution</w:t>
            </w:r>
            <w:r w:rsidR="0089426A">
              <w:rPr>
                <w:bCs/>
              </w:rPr>
              <w:t xml:space="preserve"> cap</w:t>
            </w:r>
          </w:p>
        </w:tc>
        <w:tc>
          <w:tcPr>
            <w:cnfStyle w:val="000100000000" w:firstRow="0" w:lastRow="0" w:firstColumn="0" w:lastColumn="1" w:oddVBand="0" w:evenVBand="0" w:oddHBand="0" w:evenHBand="0" w:firstRowFirstColumn="0" w:firstRowLastColumn="0" w:lastRowFirstColumn="0" w:lastRowLastColumn="0"/>
            <w:tcW w:w="3260" w:type="dxa"/>
            <w:hideMark/>
          </w:tcPr>
          <w:p w14:paraId="35D17D3F" w14:textId="77777777" w:rsidR="0089426A" w:rsidRDefault="0089426A" w:rsidP="008758F6">
            <w:pPr>
              <w:spacing w:line="264" w:lineRule="auto"/>
              <w:rPr>
                <w:b w:val="0"/>
                <w:bCs/>
              </w:rPr>
            </w:pPr>
            <w:r>
              <w:rPr>
                <w:bCs/>
              </w:rPr>
              <w:t>Rate</w:t>
            </w:r>
          </w:p>
        </w:tc>
      </w:tr>
      <w:tr w:rsidR="007132EA" w14:paraId="2061524B" w14:textId="77777777" w:rsidTr="00173573">
        <w:trPr>
          <w:trHeight w:val="315"/>
        </w:trPr>
        <w:tc>
          <w:tcPr>
            <w:tcW w:w="6096" w:type="dxa"/>
            <w:noWrap/>
          </w:tcPr>
          <w:p w14:paraId="6BAEDE85" w14:textId="77777777" w:rsidR="0089426A" w:rsidRPr="000822C0" w:rsidRDefault="0089426A" w:rsidP="00173573">
            <w:pPr>
              <w:pStyle w:val="TableofAuthorities"/>
            </w:pPr>
            <w:r>
              <w:t>Daily cap</w:t>
            </w:r>
          </w:p>
        </w:tc>
        <w:tc>
          <w:tcPr>
            <w:cnfStyle w:val="000100000000" w:firstRow="0" w:lastRow="0" w:firstColumn="0" w:lastColumn="1" w:oddVBand="0" w:evenVBand="0" w:oddHBand="0" w:evenHBand="0" w:firstRowFirstColumn="0" w:firstRowLastColumn="0" w:lastRowFirstColumn="0" w:lastRowLastColumn="0"/>
            <w:tcW w:w="3260" w:type="dxa"/>
            <w:noWrap/>
          </w:tcPr>
          <w:p w14:paraId="2E9B8C47" w14:textId="41CF9E04" w:rsidR="0089426A" w:rsidRPr="00800B0E" w:rsidRDefault="00563A3B" w:rsidP="00173573">
            <w:pPr>
              <w:pStyle w:val="TableofAuthorities"/>
            </w:pPr>
            <w:r>
              <w:t>$107.32</w:t>
            </w:r>
          </w:p>
        </w:tc>
      </w:tr>
      <w:tr w:rsidR="007132EA" w14:paraId="3B69D7E5" w14:textId="77777777" w:rsidTr="00173573">
        <w:trPr>
          <w:trHeight w:val="315"/>
        </w:trPr>
        <w:tc>
          <w:tcPr>
            <w:tcW w:w="6096" w:type="dxa"/>
            <w:noWrap/>
          </w:tcPr>
          <w:p w14:paraId="509EBA32" w14:textId="2D13733E" w:rsidR="0089426A" w:rsidRPr="00A157AD" w:rsidRDefault="0089426A" w:rsidP="00173573">
            <w:pPr>
              <w:pStyle w:val="TableofAuthorities"/>
              <w:rPr>
                <w:vertAlign w:val="superscript"/>
              </w:rPr>
            </w:pPr>
            <w:r w:rsidRPr="000822C0">
              <w:t xml:space="preserve">Lifetime </w:t>
            </w:r>
            <w:r>
              <w:t>c</w:t>
            </w:r>
            <w:r w:rsidRPr="000822C0">
              <w:t>ap</w:t>
            </w:r>
            <w:r w:rsidR="00AC48CB">
              <w:t xml:space="preserve"> </w:t>
            </w:r>
            <w:r w:rsidR="00A553D0">
              <w:rPr>
                <w:vertAlign w:val="superscript"/>
              </w:rPr>
              <w:t>3</w:t>
            </w:r>
          </w:p>
        </w:tc>
        <w:tc>
          <w:tcPr>
            <w:cnfStyle w:val="000100000000" w:firstRow="0" w:lastRow="0" w:firstColumn="0" w:lastColumn="1" w:oddVBand="0" w:evenVBand="0" w:oddHBand="0" w:evenHBand="0" w:firstRowFirstColumn="0" w:firstRowLastColumn="0" w:lastRowFirstColumn="0" w:lastRowLastColumn="0"/>
            <w:tcW w:w="3260" w:type="dxa"/>
            <w:noWrap/>
          </w:tcPr>
          <w:p w14:paraId="7459FDC8" w14:textId="40A52739" w:rsidR="0089426A" w:rsidRPr="00800B0E" w:rsidRDefault="00563A3B" w:rsidP="00173573">
            <w:pPr>
              <w:pStyle w:val="TableofAuthorities"/>
              <w:rPr>
                <w:rFonts w:asciiTheme="minorHAnsi" w:hAnsiTheme="minorHAnsi"/>
              </w:rPr>
            </w:pPr>
            <w:r>
              <w:t>$137,917.01</w:t>
            </w:r>
          </w:p>
        </w:tc>
      </w:tr>
    </w:tbl>
    <w:p w14:paraId="668C37F1" w14:textId="44EFCB65" w:rsidR="0089426A" w:rsidRPr="00B64789" w:rsidRDefault="00A553D0" w:rsidP="00B64789">
      <w:pPr>
        <w:pStyle w:val="Footnotes"/>
      </w:pPr>
      <w:r w:rsidRPr="00B64789">
        <w:t>3</w:t>
      </w:r>
      <w:r w:rsidR="0089426A" w:rsidRPr="00B64789">
        <w:rPr>
          <w:rStyle w:val="FootnotesChar"/>
          <w:shd w:val="clear" w:color="auto" w:fill="auto"/>
        </w:rPr>
        <w:t xml:space="preserve"> A four-year cap also applies to the </w:t>
      </w:r>
      <w:r w:rsidR="00194416" w:rsidRPr="00B64789">
        <w:rPr>
          <w:rStyle w:val="FootnotesChar"/>
          <w:shd w:val="clear" w:color="auto" w:fill="auto"/>
        </w:rPr>
        <w:t>non-clinical care contribution</w:t>
      </w:r>
      <w:r w:rsidR="0089426A" w:rsidRPr="00B64789">
        <w:rPr>
          <w:rStyle w:val="FootnotesChar"/>
          <w:shd w:val="clear" w:color="auto" w:fill="auto"/>
        </w:rPr>
        <w:t xml:space="preserve">. </w:t>
      </w:r>
      <w:r w:rsidR="00913034" w:rsidRPr="00B64789">
        <w:rPr>
          <w:rStyle w:val="FootnotesChar"/>
          <w:shd w:val="clear" w:color="auto" w:fill="auto"/>
        </w:rPr>
        <w:t>The</w:t>
      </w:r>
      <w:r w:rsidR="00001A91" w:rsidRPr="00B64789">
        <w:rPr>
          <w:rStyle w:val="FootnotesChar"/>
          <w:shd w:val="clear" w:color="auto" w:fill="auto"/>
        </w:rPr>
        <w:t xml:space="preserve"> </w:t>
      </w:r>
      <w:r w:rsidR="00AF1363" w:rsidRPr="00B64789">
        <w:rPr>
          <w:rStyle w:val="FootnotesChar"/>
          <w:shd w:val="clear" w:color="auto" w:fill="auto"/>
        </w:rPr>
        <w:t>fee</w:t>
      </w:r>
      <w:r w:rsidR="00001A91" w:rsidRPr="00B64789">
        <w:rPr>
          <w:rStyle w:val="FootnotesChar"/>
          <w:shd w:val="clear" w:color="auto" w:fill="auto"/>
        </w:rPr>
        <w:t xml:space="preserve"> cease</w:t>
      </w:r>
      <w:r w:rsidR="00913034" w:rsidRPr="00B64789">
        <w:rPr>
          <w:rStyle w:val="FootnotesChar"/>
          <w:shd w:val="clear" w:color="auto" w:fill="auto"/>
        </w:rPr>
        <w:t>s after a person</w:t>
      </w:r>
      <w:r w:rsidR="008B3F94" w:rsidRPr="00B64789">
        <w:rPr>
          <w:rStyle w:val="FootnotesChar"/>
          <w:shd w:val="clear" w:color="auto" w:fill="auto"/>
        </w:rPr>
        <w:t xml:space="preserve"> pays </w:t>
      </w:r>
      <w:r w:rsidR="00AF1363" w:rsidRPr="00B64789">
        <w:rPr>
          <w:rStyle w:val="FootnotesChar"/>
          <w:shd w:val="clear" w:color="auto" w:fill="auto"/>
        </w:rPr>
        <w:t>it</w:t>
      </w:r>
      <w:r w:rsidR="008B3F94" w:rsidRPr="00B64789">
        <w:rPr>
          <w:rStyle w:val="FootnotesChar"/>
          <w:shd w:val="clear" w:color="auto" w:fill="auto"/>
        </w:rPr>
        <w:t xml:space="preserve"> for four years</w:t>
      </w:r>
      <w:r w:rsidR="0089426A" w:rsidRPr="00B64789">
        <w:rPr>
          <w:rStyle w:val="FootnotesChar"/>
          <w:shd w:val="clear" w:color="auto" w:fill="auto"/>
        </w:rPr>
        <w:t xml:space="preserve">, even if they have not reached the lifetime cap amount.  </w:t>
      </w:r>
    </w:p>
    <w:p w14:paraId="611F8FD3" w14:textId="3FE4290D" w:rsidR="00F91776" w:rsidRPr="00B11F1F" w:rsidRDefault="00F91776" w:rsidP="00173573">
      <w:pPr>
        <w:pStyle w:val="Heading2"/>
      </w:pPr>
      <w:r>
        <w:t xml:space="preserve">Income </w:t>
      </w:r>
      <w:r w:rsidR="00051348">
        <w:t>t</w:t>
      </w:r>
      <w:r>
        <w:t>hresholds</w:t>
      </w:r>
      <w:r w:rsidR="00F2495C">
        <w:t xml:space="preserve"> for </w:t>
      </w:r>
      <w:r w:rsidR="00051348">
        <w:t>residential</w:t>
      </w:r>
      <w:r w:rsidR="00F2495C">
        <w:t xml:space="preserve"> care means assessment</w:t>
      </w:r>
    </w:p>
    <w:tbl>
      <w:tblPr>
        <w:tblStyle w:val="TableGridLight"/>
        <w:tblW w:w="9354" w:type="dxa"/>
        <w:tblLook w:val="05A0" w:firstRow="1" w:lastRow="0" w:firstColumn="1" w:lastColumn="1" w:noHBand="0" w:noVBand="1"/>
      </w:tblPr>
      <w:tblGrid>
        <w:gridCol w:w="3118"/>
        <w:gridCol w:w="2154"/>
        <w:gridCol w:w="4082"/>
      </w:tblGrid>
      <w:tr w:rsidR="00786B74" w14:paraId="460B8443" w14:textId="77777777" w:rsidTr="00173573">
        <w:trPr>
          <w:cnfStyle w:val="100000000000" w:firstRow="1" w:lastRow="0" w:firstColumn="0" w:lastColumn="0" w:oddVBand="0" w:evenVBand="0" w:oddHBand="0" w:evenHBand="0" w:firstRowFirstColumn="0" w:firstRowLastColumn="0" w:lastRowFirstColumn="0" w:lastRowLastColumn="0"/>
          <w:trHeight w:val="624"/>
          <w:tblHeader/>
        </w:trPr>
        <w:tc>
          <w:tcPr>
            <w:tcW w:w="3118" w:type="dxa"/>
          </w:tcPr>
          <w:p w14:paraId="16BA51AD" w14:textId="32C74B20" w:rsidR="00D93F8D" w:rsidRPr="3EF88BD5" w:rsidRDefault="00D93F8D" w:rsidP="008758F6">
            <w:pPr>
              <w:spacing w:line="264" w:lineRule="auto"/>
              <w:rPr>
                <w:b w:val="0"/>
                <w:bCs/>
              </w:rPr>
            </w:pPr>
            <w:r w:rsidRPr="005A0262">
              <w:rPr>
                <w:bCs/>
              </w:rPr>
              <w:t>Income threshold</w:t>
            </w:r>
          </w:p>
        </w:tc>
        <w:tc>
          <w:tcPr>
            <w:tcW w:w="2154" w:type="dxa"/>
          </w:tcPr>
          <w:p w14:paraId="3F2CC997" w14:textId="4A736215" w:rsidR="00D93F8D" w:rsidRPr="005A0262" w:rsidRDefault="00D93F8D" w:rsidP="008758F6">
            <w:pPr>
              <w:spacing w:line="264" w:lineRule="auto"/>
              <w:jc w:val="center"/>
              <w:rPr>
                <w:b w:val="0"/>
                <w:bCs/>
              </w:rPr>
            </w:pPr>
            <w:r w:rsidRPr="3EF88BD5">
              <w:rPr>
                <w:bCs/>
              </w:rPr>
              <w:t xml:space="preserve">Rate </w:t>
            </w:r>
            <w:r w:rsidRPr="00A411B2">
              <w:t>single person</w:t>
            </w:r>
          </w:p>
        </w:tc>
        <w:tc>
          <w:tcPr>
            <w:cnfStyle w:val="000100000000" w:firstRow="0" w:lastRow="0" w:firstColumn="0" w:lastColumn="1" w:oddVBand="0" w:evenVBand="0" w:oddHBand="0" w:evenHBand="0" w:firstRowFirstColumn="0" w:firstRowLastColumn="0" w:lastRowFirstColumn="0" w:lastRowLastColumn="0"/>
            <w:tcW w:w="4082" w:type="dxa"/>
          </w:tcPr>
          <w:p w14:paraId="3D92DBEA" w14:textId="47869CC4" w:rsidR="00D93F8D" w:rsidRPr="005A0262" w:rsidRDefault="00D93F8D" w:rsidP="008758F6">
            <w:pPr>
              <w:spacing w:line="264" w:lineRule="auto"/>
              <w:rPr>
                <w:b w:val="0"/>
                <w:bCs/>
              </w:rPr>
            </w:pPr>
            <w:r w:rsidRPr="3EF88BD5">
              <w:rPr>
                <w:bCs/>
              </w:rPr>
              <w:t xml:space="preserve">Rate </w:t>
            </w:r>
            <w:r w:rsidRPr="00A411B2">
              <w:t>couple, illness separated</w:t>
            </w:r>
            <w:r w:rsidR="00630A24">
              <w:t xml:space="preserve"> (single rate</w:t>
            </w:r>
            <w:r w:rsidRPr="00A411B2">
              <w:t>)</w:t>
            </w:r>
          </w:p>
        </w:tc>
      </w:tr>
      <w:tr w:rsidR="008758F6" w14:paraId="0FE2B107" w14:textId="77777777" w:rsidTr="00173573">
        <w:trPr>
          <w:trHeight w:val="317"/>
        </w:trPr>
        <w:tc>
          <w:tcPr>
            <w:tcW w:w="3118" w:type="dxa"/>
          </w:tcPr>
          <w:p w14:paraId="42DDD987" w14:textId="62A98F94" w:rsidR="00666F8C" w:rsidRPr="005A0262" w:rsidRDefault="00A93E06" w:rsidP="00173573">
            <w:pPr>
              <w:pStyle w:val="TableofAuthorities"/>
            </w:pPr>
            <w:r w:rsidRPr="005A0262">
              <w:t xml:space="preserve">Income </w:t>
            </w:r>
            <w:r w:rsidR="00595FB7" w:rsidRPr="005A0262">
              <w:t xml:space="preserve">free </w:t>
            </w:r>
            <w:r w:rsidR="00FD12AB">
              <w:t>area</w:t>
            </w:r>
          </w:p>
        </w:tc>
        <w:tc>
          <w:tcPr>
            <w:tcW w:w="2154" w:type="dxa"/>
          </w:tcPr>
          <w:p w14:paraId="247B9FFB" w14:textId="5A9E0E4E" w:rsidR="3EF88BD5" w:rsidRPr="00C51B81" w:rsidRDefault="008E296E" w:rsidP="00173573">
            <w:pPr>
              <w:pStyle w:val="TableofAuthorities"/>
              <w:jc w:val="center"/>
            </w:pPr>
            <w:r>
              <w:t>$35,521.20</w:t>
            </w:r>
          </w:p>
        </w:tc>
        <w:tc>
          <w:tcPr>
            <w:cnfStyle w:val="000100000000" w:firstRow="0" w:lastRow="0" w:firstColumn="0" w:lastColumn="1" w:oddVBand="0" w:evenVBand="0" w:oddHBand="0" w:evenHBand="0" w:firstRowFirstColumn="0" w:firstRowLastColumn="0" w:lastRowFirstColumn="0" w:lastRowLastColumn="0"/>
            <w:tcW w:w="4082" w:type="dxa"/>
          </w:tcPr>
          <w:p w14:paraId="07832955" w14:textId="7C97BC0B" w:rsidR="3EF88BD5" w:rsidRPr="00C51B81" w:rsidRDefault="009F05E1" w:rsidP="00173573">
            <w:pPr>
              <w:pStyle w:val="TableofAuthorities"/>
            </w:pPr>
            <w:r>
              <w:t>$34,793.20</w:t>
            </w:r>
          </w:p>
        </w:tc>
      </w:tr>
      <w:tr w:rsidR="008758F6" w14:paraId="63F393E8" w14:textId="77777777" w:rsidTr="00173573">
        <w:trPr>
          <w:trHeight w:val="317"/>
        </w:trPr>
        <w:tc>
          <w:tcPr>
            <w:tcW w:w="3118" w:type="dxa"/>
          </w:tcPr>
          <w:p w14:paraId="06AE0827" w14:textId="0D555082" w:rsidR="004E23C8" w:rsidRPr="005A0262" w:rsidRDefault="004E23C8" w:rsidP="00173573">
            <w:pPr>
              <w:pStyle w:val="TableofAuthorities"/>
            </w:pPr>
            <w:r w:rsidRPr="005A0262">
              <w:t xml:space="preserve">First </w:t>
            </w:r>
            <w:r>
              <w:t>i</w:t>
            </w:r>
            <w:r w:rsidRPr="005A0262">
              <w:t>ncome threshold</w:t>
            </w:r>
          </w:p>
        </w:tc>
        <w:tc>
          <w:tcPr>
            <w:tcW w:w="2154" w:type="dxa"/>
          </w:tcPr>
          <w:p w14:paraId="50166704" w14:textId="6415FFE9" w:rsidR="3EF88BD5" w:rsidRPr="00C51B81" w:rsidRDefault="00CC3DEB" w:rsidP="00173573">
            <w:pPr>
              <w:pStyle w:val="TableofAuthorities"/>
              <w:jc w:val="center"/>
            </w:pPr>
            <w:r>
              <w:t>$</w:t>
            </w:r>
            <w:r w:rsidR="00B04302">
              <w:t>88,155.60</w:t>
            </w:r>
          </w:p>
        </w:tc>
        <w:tc>
          <w:tcPr>
            <w:cnfStyle w:val="000100000000" w:firstRow="0" w:lastRow="0" w:firstColumn="0" w:lastColumn="1" w:oddVBand="0" w:evenVBand="0" w:oddHBand="0" w:evenHBand="0" w:firstRowFirstColumn="0" w:firstRowLastColumn="0" w:lastRowFirstColumn="0" w:lastRowLastColumn="0"/>
            <w:tcW w:w="4082" w:type="dxa"/>
          </w:tcPr>
          <w:p w14:paraId="3D895735" w14:textId="3B0768AF" w:rsidR="3EF88BD5" w:rsidRPr="00C51B81" w:rsidRDefault="003E00CA" w:rsidP="00173573">
            <w:pPr>
              <w:pStyle w:val="TableofAuthorities"/>
            </w:pPr>
            <w:r>
              <w:t>$87,427.60</w:t>
            </w:r>
          </w:p>
        </w:tc>
      </w:tr>
      <w:tr w:rsidR="008758F6" w14:paraId="1A7CB1B8" w14:textId="77777777" w:rsidTr="00173573">
        <w:trPr>
          <w:trHeight w:val="317"/>
        </w:trPr>
        <w:tc>
          <w:tcPr>
            <w:tcW w:w="3118" w:type="dxa"/>
          </w:tcPr>
          <w:p w14:paraId="127E0785" w14:textId="62A99AB0" w:rsidR="004E23C8" w:rsidRPr="005A0262" w:rsidRDefault="004E23C8" w:rsidP="00173573">
            <w:pPr>
              <w:pStyle w:val="TableofAuthorities"/>
            </w:pPr>
            <w:r w:rsidRPr="005A0262">
              <w:t xml:space="preserve">Second </w:t>
            </w:r>
            <w:r>
              <w:t>i</w:t>
            </w:r>
            <w:r w:rsidRPr="005A0262">
              <w:t>ncome threshold</w:t>
            </w:r>
          </w:p>
        </w:tc>
        <w:tc>
          <w:tcPr>
            <w:tcW w:w="2154" w:type="dxa"/>
          </w:tcPr>
          <w:p w14:paraId="5071DEAE" w14:textId="2DF1BFF1" w:rsidR="3EF88BD5" w:rsidRPr="00C51B81" w:rsidRDefault="70F6B04C" w:rsidP="00173573">
            <w:pPr>
              <w:pStyle w:val="TableofAuthorities"/>
              <w:jc w:val="center"/>
            </w:pPr>
            <w:r>
              <w:t>$</w:t>
            </w:r>
            <w:r w:rsidR="34B61ADB">
              <w:t>101,105.00</w:t>
            </w:r>
          </w:p>
        </w:tc>
        <w:tc>
          <w:tcPr>
            <w:cnfStyle w:val="000100000000" w:firstRow="0" w:lastRow="0" w:firstColumn="0" w:lastColumn="1" w:oddVBand="0" w:evenVBand="0" w:oddHBand="0" w:evenHBand="0" w:firstRowFirstColumn="0" w:firstRowLastColumn="0" w:lastRowFirstColumn="0" w:lastRowLastColumn="0"/>
            <w:tcW w:w="4082" w:type="dxa"/>
          </w:tcPr>
          <w:p w14:paraId="1048C6FF" w14:textId="70DC41B7" w:rsidR="3EF88BD5" w:rsidRPr="00C51B81" w:rsidRDefault="70F6B04C" w:rsidP="00173573">
            <w:pPr>
              <w:pStyle w:val="TableofAuthorities"/>
            </w:pPr>
            <w:r>
              <w:t>$</w:t>
            </w:r>
            <w:r w:rsidR="78B2CB7B">
              <w:t>101,105.00</w:t>
            </w:r>
          </w:p>
        </w:tc>
      </w:tr>
      <w:tr w:rsidR="008758F6" w14:paraId="6EA3D3B5" w14:textId="77777777" w:rsidTr="00173573">
        <w:trPr>
          <w:trHeight w:val="317"/>
        </w:trPr>
        <w:tc>
          <w:tcPr>
            <w:tcW w:w="3118" w:type="dxa"/>
          </w:tcPr>
          <w:p w14:paraId="3CBA93B2" w14:textId="610F4831" w:rsidR="004E23C8" w:rsidRPr="005A0262" w:rsidRDefault="004E23C8" w:rsidP="00173573">
            <w:pPr>
              <w:pStyle w:val="TableofAuthorities"/>
            </w:pPr>
            <w:r w:rsidRPr="005A0262">
              <w:t xml:space="preserve">Third </w:t>
            </w:r>
            <w:r>
              <w:t>i</w:t>
            </w:r>
            <w:r w:rsidRPr="005A0262">
              <w:t>ncome threshold</w:t>
            </w:r>
          </w:p>
        </w:tc>
        <w:tc>
          <w:tcPr>
            <w:tcW w:w="2154" w:type="dxa"/>
          </w:tcPr>
          <w:p w14:paraId="7052A37E" w14:textId="401B2890" w:rsidR="3EF88BD5" w:rsidRPr="00C51B81" w:rsidRDefault="70F6B04C" w:rsidP="00173573">
            <w:pPr>
              <w:pStyle w:val="TableofAuthorities"/>
              <w:jc w:val="center"/>
            </w:pPr>
            <w:r>
              <w:t>$1</w:t>
            </w:r>
            <w:r w:rsidR="33E4DD82">
              <w:t>17,230.20</w:t>
            </w:r>
          </w:p>
        </w:tc>
        <w:tc>
          <w:tcPr>
            <w:cnfStyle w:val="000100000000" w:firstRow="0" w:lastRow="0" w:firstColumn="0" w:lastColumn="1" w:oddVBand="0" w:evenVBand="0" w:oddHBand="0" w:evenHBand="0" w:firstRowFirstColumn="0" w:firstRowLastColumn="0" w:lastRowFirstColumn="0" w:lastRowLastColumn="0"/>
            <w:tcW w:w="4082" w:type="dxa"/>
          </w:tcPr>
          <w:p w14:paraId="794C77A9" w14:textId="74ADDF26" w:rsidR="3EF88BD5" w:rsidRPr="00C51B81" w:rsidRDefault="70F6B04C" w:rsidP="00173573">
            <w:pPr>
              <w:pStyle w:val="TableofAuthorities"/>
            </w:pPr>
            <w:r>
              <w:t>$1</w:t>
            </w:r>
            <w:r w:rsidR="29FF9133">
              <w:t>17,230.20</w:t>
            </w:r>
          </w:p>
        </w:tc>
      </w:tr>
      <w:tr w:rsidR="008758F6" w14:paraId="1A612206" w14:textId="77777777" w:rsidTr="00173573">
        <w:trPr>
          <w:trHeight w:val="317"/>
        </w:trPr>
        <w:tc>
          <w:tcPr>
            <w:tcW w:w="3118" w:type="dxa"/>
          </w:tcPr>
          <w:p w14:paraId="52F8B836" w14:textId="259CB484" w:rsidR="004E23C8" w:rsidRPr="005A0262" w:rsidRDefault="004E23C8" w:rsidP="00173573">
            <w:pPr>
              <w:pStyle w:val="TableofAuthorities"/>
            </w:pPr>
            <w:r>
              <w:t>Fourth income threshold</w:t>
            </w:r>
          </w:p>
        </w:tc>
        <w:tc>
          <w:tcPr>
            <w:tcW w:w="2154" w:type="dxa"/>
          </w:tcPr>
          <w:p w14:paraId="7B7891CD" w14:textId="2647CFA7" w:rsidR="3EF88BD5" w:rsidRPr="00C51B81" w:rsidRDefault="003F4A8B" w:rsidP="00173573">
            <w:pPr>
              <w:pStyle w:val="TableofAuthorities"/>
              <w:jc w:val="center"/>
            </w:pPr>
            <w:r>
              <w:t>$142,084.80</w:t>
            </w:r>
          </w:p>
        </w:tc>
        <w:tc>
          <w:tcPr>
            <w:cnfStyle w:val="000100000000" w:firstRow="0" w:lastRow="0" w:firstColumn="0" w:lastColumn="1" w:oddVBand="0" w:evenVBand="0" w:oddHBand="0" w:evenHBand="0" w:firstRowFirstColumn="0" w:firstRowLastColumn="0" w:lastRowFirstColumn="0" w:lastRowLastColumn="0"/>
            <w:tcW w:w="4082" w:type="dxa"/>
          </w:tcPr>
          <w:p w14:paraId="60B4709E" w14:textId="2BF5F77C" w:rsidR="3EF88BD5" w:rsidRPr="00C51B81" w:rsidRDefault="00D42858" w:rsidP="00173573">
            <w:pPr>
              <w:pStyle w:val="TableofAuthorities"/>
            </w:pPr>
            <w:r>
              <w:t>$139,172.80</w:t>
            </w:r>
          </w:p>
        </w:tc>
      </w:tr>
    </w:tbl>
    <w:p w14:paraId="498ED22D" w14:textId="1E095EDE" w:rsidR="00CC0CBA" w:rsidRPr="00D33EA3" w:rsidRDefault="00CC0CBA" w:rsidP="00173573">
      <w:pPr>
        <w:pStyle w:val="Heading2"/>
        <w:keepNext/>
        <w:rPr>
          <w:highlight w:val="yellow"/>
        </w:rPr>
      </w:pPr>
      <w:r>
        <w:lastRenderedPageBreak/>
        <w:t xml:space="preserve">Asset thresholds </w:t>
      </w:r>
      <w:r w:rsidR="00051348">
        <w:t>for residential care means assessment</w:t>
      </w:r>
    </w:p>
    <w:tbl>
      <w:tblPr>
        <w:tblStyle w:val="TableGridLight"/>
        <w:tblW w:w="9351" w:type="dxa"/>
        <w:tblLook w:val="05A0" w:firstRow="1" w:lastRow="0" w:firstColumn="1" w:lastColumn="1" w:noHBand="0" w:noVBand="1"/>
        <w:tblDescription w:val="This table list the asset thresholds and home exemption cap for Residential care means test"/>
      </w:tblPr>
      <w:tblGrid>
        <w:gridCol w:w="6091"/>
        <w:gridCol w:w="3260"/>
      </w:tblGrid>
      <w:tr w:rsidR="00CC0CBA" w:rsidRPr="00865275" w14:paraId="642A056C" w14:textId="77777777" w:rsidTr="00173573">
        <w:trPr>
          <w:cnfStyle w:val="100000000000" w:firstRow="1" w:lastRow="0" w:firstColumn="0" w:lastColumn="0" w:oddVBand="0" w:evenVBand="0" w:oddHBand="0" w:evenHBand="0" w:firstRowFirstColumn="0" w:firstRowLastColumn="0" w:lastRowFirstColumn="0" w:lastRowLastColumn="0"/>
          <w:trHeight w:val="317"/>
          <w:tblHeader/>
        </w:trPr>
        <w:tc>
          <w:tcPr>
            <w:tcW w:w="6091" w:type="dxa"/>
          </w:tcPr>
          <w:p w14:paraId="0721E5B6" w14:textId="77777777" w:rsidR="00CC0CBA" w:rsidRPr="00FD57C2" w:rsidRDefault="00CC0CBA" w:rsidP="008758F6">
            <w:pPr>
              <w:spacing w:line="264" w:lineRule="auto"/>
              <w:rPr>
                <w:b w:val="0"/>
                <w:bCs/>
              </w:rPr>
            </w:pPr>
            <w:r w:rsidRPr="00FD57C2">
              <w:rPr>
                <w:bCs/>
              </w:rPr>
              <w:t xml:space="preserve">Asset </w:t>
            </w:r>
            <w:r>
              <w:rPr>
                <w:bCs/>
              </w:rPr>
              <w:t>t</w:t>
            </w:r>
            <w:r w:rsidRPr="00FD57C2">
              <w:rPr>
                <w:bCs/>
              </w:rPr>
              <w:t>hreshold</w:t>
            </w:r>
          </w:p>
        </w:tc>
        <w:tc>
          <w:tcPr>
            <w:cnfStyle w:val="000100000000" w:firstRow="0" w:lastRow="0" w:firstColumn="0" w:lastColumn="1" w:oddVBand="0" w:evenVBand="0" w:oddHBand="0" w:evenHBand="0" w:firstRowFirstColumn="0" w:firstRowLastColumn="0" w:lastRowFirstColumn="0" w:lastRowLastColumn="0"/>
            <w:tcW w:w="3260" w:type="dxa"/>
          </w:tcPr>
          <w:p w14:paraId="3A763708" w14:textId="77777777" w:rsidR="00CC0CBA" w:rsidRPr="00FD57C2" w:rsidRDefault="00CC0CBA" w:rsidP="008758F6">
            <w:pPr>
              <w:spacing w:line="264" w:lineRule="auto"/>
              <w:rPr>
                <w:b w:val="0"/>
                <w:bCs/>
              </w:rPr>
            </w:pPr>
            <w:r>
              <w:rPr>
                <w:bCs/>
              </w:rPr>
              <w:t>Rate</w:t>
            </w:r>
          </w:p>
        </w:tc>
      </w:tr>
      <w:tr w:rsidR="00CC0CBA" w:rsidRPr="00865275" w14:paraId="113BE40C" w14:textId="77777777" w:rsidTr="00173573">
        <w:trPr>
          <w:trHeight w:val="317"/>
        </w:trPr>
        <w:tc>
          <w:tcPr>
            <w:tcW w:w="6091" w:type="dxa"/>
            <w:hideMark/>
          </w:tcPr>
          <w:p w14:paraId="3B1EE011" w14:textId="53FF32E9" w:rsidR="00CC0CBA" w:rsidRDefault="00CC0CBA" w:rsidP="00173573">
            <w:pPr>
              <w:pStyle w:val="TableofAuthorities"/>
            </w:pPr>
            <w:r>
              <w:t xml:space="preserve">Asset free </w:t>
            </w:r>
            <w:r w:rsidR="00FD12AB">
              <w:t>area</w:t>
            </w:r>
          </w:p>
        </w:tc>
        <w:tc>
          <w:tcPr>
            <w:cnfStyle w:val="000100000000" w:firstRow="0" w:lastRow="0" w:firstColumn="0" w:lastColumn="1" w:oddVBand="0" w:evenVBand="0" w:oddHBand="0" w:evenHBand="0" w:firstRowFirstColumn="0" w:firstRowLastColumn="0" w:lastRowFirstColumn="0" w:lastRowLastColumn="0"/>
            <w:tcW w:w="3260" w:type="dxa"/>
            <w:hideMark/>
          </w:tcPr>
          <w:p w14:paraId="2A86D23B" w14:textId="794FE86C" w:rsidR="00CC0CBA" w:rsidRPr="00865275" w:rsidRDefault="00AB45B5" w:rsidP="00173573">
            <w:pPr>
              <w:pStyle w:val="TableofAuthorities"/>
            </w:pPr>
            <w:r>
              <w:t>$64,500.00</w:t>
            </w:r>
          </w:p>
        </w:tc>
      </w:tr>
      <w:tr w:rsidR="00CC0CBA" w:rsidRPr="00865275" w14:paraId="6CF0B51B" w14:textId="77777777" w:rsidTr="00173573">
        <w:trPr>
          <w:trHeight w:val="317"/>
        </w:trPr>
        <w:tc>
          <w:tcPr>
            <w:tcW w:w="6091" w:type="dxa"/>
            <w:hideMark/>
          </w:tcPr>
          <w:p w14:paraId="41A86631" w14:textId="77777777" w:rsidR="00CC0CBA" w:rsidRDefault="00CC0CBA" w:rsidP="00173573">
            <w:pPr>
              <w:pStyle w:val="TableofAuthorities"/>
            </w:pPr>
            <w:r>
              <w:t xml:space="preserve">First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74654ABA" w14:textId="1EB9E0D1" w:rsidR="00CC0CBA" w:rsidRPr="00865275" w:rsidRDefault="00AB45B5" w:rsidP="00173573">
            <w:pPr>
              <w:pStyle w:val="TableofAuthorities"/>
            </w:pPr>
            <w:r>
              <w:t>$21</w:t>
            </w:r>
            <w:r w:rsidR="005A6CB5">
              <w:t>4,884.00</w:t>
            </w:r>
          </w:p>
        </w:tc>
      </w:tr>
      <w:tr w:rsidR="00CC0CBA" w:rsidRPr="00865275" w14:paraId="3BA475DA" w14:textId="77777777" w:rsidTr="00173573">
        <w:trPr>
          <w:trHeight w:val="317"/>
        </w:trPr>
        <w:tc>
          <w:tcPr>
            <w:tcW w:w="6091" w:type="dxa"/>
            <w:hideMark/>
          </w:tcPr>
          <w:p w14:paraId="6960D09B" w14:textId="77777777" w:rsidR="00CC0CBA" w:rsidRDefault="00CC0CBA" w:rsidP="00173573">
            <w:pPr>
              <w:pStyle w:val="TableofAuthorities"/>
            </w:pPr>
            <w:r>
              <w:t xml:space="preserve">Second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422FB7A1" w14:textId="109A28DF" w:rsidR="00CC0CBA" w:rsidRPr="00865275" w:rsidRDefault="005A6CB5" w:rsidP="00173573">
            <w:pPr>
              <w:pStyle w:val="TableofAuthorities"/>
            </w:pPr>
            <w:r>
              <w:t>$258,000.00</w:t>
            </w:r>
          </w:p>
        </w:tc>
      </w:tr>
      <w:tr w:rsidR="005D7BF7" w:rsidRPr="00865275" w14:paraId="488565A5" w14:textId="77777777" w:rsidTr="00173573">
        <w:trPr>
          <w:trHeight w:val="317"/>
        </w:trPr>
        <w:tc>
          <w:tcPr>
            <w:tcW w:w="6091" w:type="dxa"/>
          </w:tcPr>
          <w:p w14:paraId="6D7C6EB4" w14:textId="07C9199C" w:rsidR="005D7BF7" w:rsidRPr="0048474F" w:rsidRDefault="00EC73EB" w:rsidP="00173573">
            <w:pPr>
              <w:pStyle w:val="TableofAuthorities"/>
            </w:pPr>
            <w:r w:rsidRPr="0048474F">
              <w:t>Third asset threshold</w:t>
            </w:r>
          </w:p>
        </w:tc>
        <w:tc>
          <w:tcPr>
            <w:cnfStyle w:val="000100000000" w:firstRow="0" w:lastRow="0" w:firstColumn="0" w:lastColumn="1" w:oddVBand="0" w:evenVBand="0" w:oddHBand="0" w:evenHBand="0" w:firstRowFirstColumn="0" w:firstRowLastColumn="0" w:lastRowFirstColumn="0" w:lastRowLastColumn="0"/>
            <w:tcW w:w="3260" w:type="dxa"/>
          </w:tcPr>
          <w:p w14:paraId="59AFCE2C" w14:textId="02D1F301" w:rsidR="005D7BF7" w:rsidRPr="008960E8" w:rsidRDefault="00F62D27" w:rsidP="00173573">
            <w:pPr>
              <w:pStyle w:val="TableofAuthorities"/>
            </w:pPr>
            <w:r>
              <w:t>$361,366.66</w:t>
            </w:r>
          </w:p>
        </w:tc>
      </w:tr>
      <w:tr w:rsidR="007261C0" w:rsidRPr="00865275" w14:paraId="46090602" w14:textId="77777777" w:rsidTr="00173573">
        <w:trPr>
          <w:trHeight w:val="317"/>
        </w:trPr>
        <w:tc>
          <w:tcPr>
            <w:tcW w:w="6091" w:type="dxa"/>
          </w:tcPr>
          <w:p w14:paraId="05A5699F" w14:textId="1DEC5E7A" w:rsidR="007261C0" w:rsidRPr="0048474F" w:rsidRDefault="007261C0" w:rsidP="00173573">
            <w:pPr>
              <w:pStyle w:val="TableofAuthorities"/>
            </w:pPr>
            <w:r w:rsidRPr="0048474F">
              <w:t>Fourth asset threshold</w:t>
            </w:r>
          </w:p>
        </w:tc>
        <w:tc>
          <w:tcPr>
            <w:cnfStyle w:val="000100000000" w:firstRow="0" w:lastRow="0" w:firstColumn="0" w:lastColumn="1" w:oddVBand="0" w:evenVBand="0" w:oddHBand="0" w:evenHBand="0" w:firstRowFirstColumn="0" w:firstRowLastColumn="0" w:lastRowFirstColumn="0" w:lastRowLastColumn="0"/>
            <w:tcW w:w="3260" w:type="dxa"/>
          </w:tcPr>
          <w:p w14:paraId="35D1A08D" w14:textId="039024D7" w:rsidR="007261C0" w:rsidRDefault="002A368D" w:rsidP="00173573">
            <w:pPr>
              <w:pStyle w:val="TableofAuthorities"/>
            </w:pPr>
            <w:r>
              <w:t>$547,884.00</w:t>
            </w:r>
          </w:p>
        </w:tc>
      </w:tr>
      <w:tr w:rsidR="00CC0CBA" w:rsidRPr="00865275" w14:paraId="375F57A9" w14:textId="77777777" w:rsidTr="00173573">
        <w:trPr>
          <w:trHeight w:val="317"/>
        </w:trPr>
        <w:tc>
          <w:tcPr>
            <w:tcW w:w="6091" w:type="dxa"/>
          </w:tcPr>
          <w:p w14:paraId="5FBD7315" w14:textId="77777777" w:rsidR="00D01C22" w:rsidRPr="008C6285" w:rsidRDefault="00CC0CBA" w:rsidP="00173573">
            <w:pPr>
              <w:pStyle w:val="TableofAuthorities"/>
              <w:rPr>
                <w:rStyle w:val="Strong"/>
              </w:rPr>
            </w:pPr>
            <w:r w:rsidRPr="008C6285">
              <w:rPr>
                <w:rStyle w:val="Strong"/>
              </w:rPr>
              <w:t xml:space="preserve">Home exemption cap </w:t>
            </w:r>
          </w:p>
          <w:p w14:paraId="2F4A0849" w14:textId="422BED81" w:rsidR="00CC0CBA" w:rsidRPr="00D01C22" w:rsidRDefault="00D01C22" w:rsidP="00173573">
            <w:pPr>
              <w:pStyle w:val="TableofAuthorities"/>
              <w:rPr>
                <w:b/>
                <w:bCs/>
              </w:rPr>
            </w:pPr>
            <w:r>
              <w:rPr>
                <w:bCs/>
                <w:sz w:val="20"/>
                <w:szCs w:val="20"/>
              </w:rPr>
              <w:t>A</w:t>
            </w:r>
            <w:r w:rsidR="00CC0CBA" w:rsidRPr="000A1361">
              <w:rPr>
                <w:bCs/>
                <w:sz w:val="20"/>
                <w:szCs w:val="20"/>
              </w:rPr>
              <w:t>pplies separately to both members of a couple</w:t>
            </w:r>
            <w:r>
              <w:rPr>
                <w:bCs/>
                <w:sz w:val="20"/>
                <w:szCs w:val="20"/>
              </w:rPr>
              <w:t xml:space="preserve">. </w:t>
            </w:r>
            <w:r w:rsidR="00CC0CBA" w:rsidRPr="000A1361">
              <w:rPr>
                <w:bCs/>
                <w:sz w:val="20"/>
                <w:szCs w:val="20"/>
              </w:rPr>
              <w:t>T</w:t>
            </w:r>
            <w:r w:rsidR="00CC0CBA" w:rsidRPr="000A1361">
              <w:rPr>
                <w:iCs/>
                <w:sz w:val="20"/>
                <w:szCs w:val="20"/>
              </w:rPr>
              <w:t>he net value of the home above this amount is excluded from the value of the resident’s assets.</w:t>
            </w:r>
            <w:r w:rsidR="00CC0CBA">
              <w:rPr>
                <w:i/>
                <w:iCs/>
              </w:rPr>
              <w:t xml:space="preserve"> </w:t>
            </w:r>
          </w:p>
        </w:tc>
        <w:tc>
          <w:tcPr>
            <w:cnfStyle w:val="000100000000" w:firstRow="0" w:lastRow="0" w:firstColumn="0" w:lastColumn="1" w:oddVBand="0" w:evenVBand="0" w:oddHBand="0" w:evenHBand="0" w:firstRowFirstColumn="0" w:firstRowLastColumn="0" w:lastRowFirstColumn="0" w:lastRowLastColumn="0"/>
            <w:tcW w:w="3260" w:type="dxa"/>
          </w:tcPr>
          <w:p w14:paraId="462C9510" w14:textId="597EF736" w:rsidR="00CC0CBA" w:rsidRPr="00BC23EF" w:rsidRDefault="00EE73A0" w:rsidP="00173573">
            <w:pPr>
              <w:pStyle w:val="TableofAuthorities"/>
            </w:pPr>
            <w:r>
              <w:t>$214,884.00</w:t>
            </w:r>
          </w:p>
        </w:tc>
      </w:tr>
    </w:tbl>
    <w:p w14:paraId="4825B22F" w14:textId="66822BAA" w:rsidR="0099706C" w:rsidRPr="00D33EA3" w:rsidRDefault="0099706C" w:rsidP="00173573">
      <w:pPr>
        <w:pStyle w:val="Heading2"/>
      </w:pPr>
      <w:r w:rsidRPr="00D33EA3">
        <w:t xml:space="preserve">Thresholds for </w:t>
      </w:r>
      <w:r w:rsidR="00F737FC">
        <w:t>r</w:t>
      </w:r>
      <w:r w:rsidRPr="00D33EA3">
        <w:t xml:space="preserve">efundable </w:t>
      </w:r>
      <w:r w:rsidR="00F737FC">
        <w:t>d</w:t>
      </w:r>
      <w:r w:rsidRPr="00D33EA3">
        <w:t>eposits</w:t>
      </w:r>
    </w:p>
    <w:tbl>
      <w:tblPr>
        <w:tblW w:w="9356"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 w:type="dxa"/>
          <w:bottom w:w="11" w:type="dxa"/>
        </w:tblCellMar>
        <w:tblLook w:val="05A0" w:firstRow="1" w:lastRow="0" w:firstColumn="1" w:lastColumn="1" w:noHBand="0" w:noVBand="1"/>
        <w:tblDescription w:val="This table list the Thresholds for Refundable Deposits and Daily Payments"/>
      </w:tblPr>
      <w:tblGrid>
        <w:gridCol w:w="6096"/>
        <w:gridCol w:w="3260"/>
      </w:tblGrid>
      <w:tr w:rsidR="00B40D01" w:rsidRPr="00834DED" w14:paraId="19B9EDE2" w14:textId="77777777" w:rsidTr="00173573">
        <w:trPr>
          <w:trHeight w:val="315"/>
          <w:tblHeader/>
        </w:trPr>
        <w:tc>
          <w:tcPr>
            <w:tcW w:w="6096" w:type="dxa"/>
            <w:vAlign w:val="center"/>
            <w:hideMark/>
          </w:tcPr>
          <w:p w14:paraId="1CC6AF99" w14:textId="4273A0E3" w:rsidR="0099706C" w:rsidRPr="00865275" w:rsidRDefault="0099706C" w:rsidP="008758F6">
            <w:pPr>
              <w:spacing w:after="0" w:line="264" w:lineRule="auto"/>
              <w:rPr>
                <w:b/>
                <w:bCs/>
              </w:rPr>
            </w:pPr>
            <w:r>
              <w:rPr>
                <w:b/>
                <w:bCs/>
              </w:rPr>
              <w:t>Threshold</w:t>
            </w:r>
          </w:p>
        </w:tc>
        <w:tc>
          <w:tcPr>
            <w:tcW w:w="3260" w:type="dxa"/>
            <w:vAlign w:val="center"/>
            <w:hideMark/>
          </w:tcPr>
          <w:p w14:paraId="0D4B3842" w14:textId="414BB4D2" w:rsidR="0099706C" w:rsidRPr="00602A5A" w:rsidRDefault="0099706C" w:rsidP="008758F6">
            <w:pPr>
              <w:spacing w:after="0" w:line="264" w:lineRule="auto"/>
              <w:jc w:val="center"/>
              <w:rPr>
                <w:b/>
                <w:bCs/>
                <w:highlight w:val="yellow"/>
              </w:rPr>
            </w:pPr>
            <w:r w:rsidRPr="00602A5A">
              <w:rPr>
                <w:b/>
                <w:bCs/>
              </w:rPr>
              <w:t>Rate</w:t>
            </w:r>
          </w:p>
        </w:tc>
      </w:tr>
      <w:tr w:rsidR="007132EA" w:rsidRPr="00F823F7" w14:paraId="213AF49C" w14:textId="77777777" w:rsidTr="00173573">
        <w:trPr>
          <w:trHeight w:val="794"/>
        </w:trPr>
        <w:tc>
          <w:tcPr>
            <w:tcW w:w="6096" w:type="dxa"/>
            <w:vAlign w:val="center"/>
            <w:hideMark/>
          </w:tcPr>
          <w:p w14:paraId="0A51675E" w14:textId="77777777" w:rsidR="00D33EA3" w:rsidRPr="00173573" w:rsidRDefault="0099706C" w:rsidP="00173573">
            <w:pPr>
              <w:pStyle w:val="TableofAuthorities"/>
              <w:rPr>
                <w:rStyle w:val="Strong"/>
              </w:rPr>
            </w:pPr>
            <w:r w:rsidRPr="00173573">
              <w:rPr>
                <w:rStyle w:val="Strong"/>
              </w:rPr>
              <w:t>Minimum permissible asset level</w:t>
            </w:r>
          </w:p>
          <w:p w14:paraId="0CE7A988" w14:textId="35AF2B92" w:rsidR="0099706C" w:rsidRPr="007E076C" w:rsidRDefault="0099706C" w:rsidP="00173573">
            <w:pPr>
              <w:pStyle w:val="TableofAuthorities"/>
            </w:pPr>
            <w:r w:rsidRPr="007E076C">
              <w:t xml:space="preserve">the minimum assets a resident must be left with if they pay at least part of their accommodation costs by refundable deposit </w:t>
            </w:r>
          </w:p>
        </w:tc>
        <w:tc>
          <w:tcPr>
            <w:tcW w:w="3260" w:type="dxa"/>
            <w:vAlign w:val="center"/>
            <w:hideMark/>
          </w:tcPr>
          <w:p w14:paraId="2E5F8340" w14:textId="12CACE9B" w:rsidR="0099706C" w:rsidRPr="00F823F7" w:rsidRDefault="00EE73A0" w:rsidP="00173573">
            <w:pPr>
              <w:pStyle w:val="TableofAuthorities"/>
            </w:pPr>
            <w:r>
              <w:t>$64,500</w:t>
            </w:r>
          </w:p>
        </w:tc>
      </w:tr>
      <w:tr w:rsidR="007132EA" w:rsidRPr="00F823F7" w14:paraId="0019E769" w14:textId="77777777" w:rsidTr="00173573">
        <w:trPr>
          <w:trHeight w:val="794"/>
        </w:trPr>
        <w:tc>
          <w:tcPr>
            <w:tcW w:w="6096" w:type="dxa"/>
            <w:vAlign w:val="center"/>
            <w:hideMark/>
          </w:tcPr>
          <w:p w14:paraId="042CB196" w14:textId="486F5618" w:rsidR="00D33EA3" w:rsidRPr="00173573" w:rsidRDefault="0099706C" w:rsidP="00173573">
            <w:pPr>
              <w:pStyle w:val="TableofAuthorities"/>
              <w:rPr>
                <w:rStyle w:val="Strong"/>
              </w:rPr>
            </w:pPr>
            <w:r w:rsidRPr="00173573">
              <w:rPr>
                <w:rStyle w:val="Strong"/>
              </w:rPr>
              <w:t>Maximum refundable accommodation deposi</w:t>
            </w:r>
            <w:r w:rsidR="00F737FC" w:rsidRPr="00173573">
              <w:rPr>
                <w:rStyle w:val="Strong"/>
              </w:rPr>
              <w:t>t</w:t>
            </w:r>
          </w:p>
          <w:p w14:paraId="6DC6CDA6" w14:textId="2B2438AA" w:rsidR="0099706C" w:rsidRPr="00F823F7" w:rsidRDefault="0099706C" w:rsidP="00173573">
            <w:pPr>
              <w:pStyle w:val="TableofAuthorities"/>
            </w:pPr>
            <w:r w:rsidRPr="00FE5FAA">
              <w:t xml:space="preserve">the amount that can be charged without prior approval from the </w:t>
            </w:r>
            <w:r w:rsidR="00C04D23">
              <w:t xml:space="preserve">Independent Health and Aged Care Pricing </w:t>
            </w:r>
            <w:r w:rsidR="008A18AF">
              <w:t>Authority</w:t>
            </w:r>
            <w:r w:rsidRPr="00F823F7">
              <w:t xml:space="preserve"> </w:t>
            </w:r>
          </w:p>
        </w:tc>
        <w:tc>
          <w:tcPr>
            <w:tcW w:w="3260" w:type="dxa"/>
            <w:vAlign w:val="center"/>
            <w:hideMark/>
          </w:tcPr>
          <w:p w14:paraId="7ECC565B" w14:textId="3858E5D4" w:rsidR="0099706C" w:rsidRPr="00F823F7" w:rsidRDefault="00842299" w:rsidP="00173573">
            <w:pPr>
              <w:pStyle w:val="TableofAuthorities"/>
            </w:pPr>
            <w:r>
              <w:t>$</w:t>
            </w:r>
            <w:r w:rsidR="00BB6672">
              <w:t>789,686</w:t>
            </w:r>
          </w:p>
        </w:tc>
      </w:tr>
    </w:tbl>
    <w:p w14:paraId="009D1537" w14:textId="66636969" w:rsidR="4FFEA018" w:rsidRPr="00B64789" w:rsidRDefault="004766AC" w:rsidP="00173573">
      <w:pPr>
        <w:pStyle w:val="Heading2"/>
      </w:pPr>
      <w:r w:rsidDel="75ADB9ED">
        <w:t xml:space="preserve">Indexation of </w:t>
      </w:r>
      <w:r w:rsidDel="54ABBF31">
        <w:t>d</w:t>
      </w:r>
      <w:r w:rsidDel="75ADB9ED">
        <w:t xml:space="preserve">aily </w:t>
      </w:r>
      <w:r w:rsidDel="54ABBF31">
        <w:t>a</w:t>
      </w:r>
      <w:r w:rsidDel="75ADB9ED">
        <w:t xml:space="preserve">ccommodation </w:t>
      </w:r>
      <w:r w:rsidDel="54ABBF31">
        <w:t>p</w:t>
      </w:r>
      <w:r w:rsidDel="75ADB9ED">
        <w:t>ayments (DAPs</w:t>
      </w:r>
      <w:r w:rsidR="4FFEA018">
        <w:t>)</w:t>
      </w:r>
    </w:p>
    <w:tbl>
      <w:tblPr>
        <w:tblStyle w:val="TableGridLight"/>
        <w:tblW w:w="0" w:type="auto"/>
        <w:tblLook w:val="05A0" w:firstRow="1" w:lastRow="0" w:firstColumn="1" w:lastColumn="1" w:noHBand="0" w:noVBand="1"/>
      </w:tblPr>
      <w:tblGrid>
        <w:gridCol w:w="4668"/>
        <w:gridCol w:w="4737"/>
      </w:tblGrid>
      <w:tr w:rsidR="77A031A3" w14:paraId="206B52CB" w14:textId="77777777" w:rsidTr="00173573">
        <w:trPr>
          <w:cnfStyle w:val="100000000000" w:firstRow="1" w:lastRow="0" w:firstColumn="0" w:lastColumn="0" w:oddVBand="0" w:evenVBand="0" w:oddHBand="0" w:evenHBand="0" w:firstRowFirstColumn="0" w:firstRowLastColumn="0" w:lastRowFirstColumn="0" w:lastRowLastColumn="0"/>
          <w:trHeight w:val="317"/>
          <w:tblHeader/>
        </w:trPr>
        <w:tc>
          <w:tcPr>
            <w:tcW w:w="4668" w:type="dxa"/>
          </w:tcPr>
          <w:p w14:paraId="433F4BC5" w14:textId="532DA841" w:rsidR="77A031A3" w:rsidRDefault="77A031A3" w:rsidP="008758F6">
            <w:pPr>
              <w:spacing w:line="264" w:lineRule="auto"/>
              <w:rPr>
                <w:b w:val="0"/>
                <w:bCs/>
              </w:rPr>
            </w:pPr>
            <w:r w:rsidRPr="77A031A3">
              <w:rPr>
                <w:bCs/>
              </w:rPr>
              <w:t>Date</w:t>
            </w:r>
          </w:p>
        </w:tc>
        <w:tc>
          <w:tcPr>
            <w:cnfStyle w:val="000100000000" w:firstRow="0" w:lastRow="0" w:firstColumn="0" w:lastColumn="1" w:oddVBand="0" w:evenVBand="0" w:oddHBand="0" w:evenHBand="0" w:firstRowFirstColumn="0" w:firstRowLastColumn="0" w:lastRowFirstColumn="0" w:lastRowLastColumn="0"/>
            <w:tcW w:w="4737" w:type="dxa"/>
          </w:tcPr>
          <w:p w14:paraId="3E484B6E" w14:textId="6CDEEEF9" w:rsidR="77A031A3" w:rsidRDefault="7F660D79" w:rsidP="008758F6">
            <w:pPr>
              <w:spacing w:line="264" w:lineRule="auto"/>
              <w:rPr>
                <w:b w:val="0"/>
                <w:bCs/>
              </w:rPr>
            </w:pPr>
            <w:r w:rsidRPr="3EF88BD5">
              <w:rPr>
                <w:bCs/>
              </w:rPr>
              <w:t xml:space="preserve">DAP index </w:t>
            </w:r>
            <w:r w:rsidR="1B20EE5E" w:rsidRPr="3EF88BD5">
              <w:rPr>
                <w:bCs/>
              </w:rPr>
              <w:t>numbe</w:t>
            </w:r>
            <w:r w:rsidRPr="3EF88BD5">
              <w:rPr>
                <w:bCs/>
              </w:rPr>
              <w:t>r</w:t>
            </w:r>
          </w:p>
        </w:tc>
      </w:tr>
      <w:tr w:rsidR="77A031A3" w14:paraId="5D5B3A38" w14:textId="77777777" w:rsidTr="00173573">
        <w:trPr>
          <w:trHeight w:val="317"/>
        </w:trPr>
        <w:tc>
          <w:tcPr>
            <w:tcW w:w="4668" w:type="dxa"/>
          </w:tcPr>
          <w:p w14:paraId="2FA4D88C" w14:textId="4BCC2A1D" w:rsidR="6E74F613" w:rsidRDefault="7B2C7B60" w:rsidP="00173573">
            <w:pPr>
              <w:pStyle w:val="TableofAuthorities"/>
            </w:pPr>
            <w:r>
              <w:t xml:space="preserve">20 </w:t>
            </w:r>
            <w:r w:rsidR="00626B1A">
              <w:t>September</w:t>
            </w:r>
            <w:r w:rsidR="6E74F613">
              <w:t xml:space="preserve"> 2025</w:t>
            </w:r>
          </w:p>
        </w:tc>
        <w:tc>
          <w:tcPr>
            <w:cnfStyle w:val="000100000000" w:firstRow="0" w:lastRow="0" w:firstColumn="0" w:lastColumn="1" w:oddVBand="0" w:evenVBand="0" w:oddHBand="0" w:evenHBand="0" w:firstRowFirstColumn="0" w:firstRowLastColumn="0" w:lastRowFirstColumn="0" w:lastRowLastColumn="0"/>
            <w:tcW w:w="4737" w:type="dxa"/>
          </w:tcPr>
          <w:p w14:paraId="6776126E" w14:textId="1DA42EF9" w:rsidR="6E74F613" w:rsidRDefault="00A128F4" w:rsidP="00173573">
            <w:pPr>
              <w:pStyle w:val="TableofAuthorities"/>
            </w:pPr>
            <w:r>
              <w:t>1.0</w:t>
            </w:r>
            <w:r w:rsidR="00EE373B">
              <w:t>0</w:t>
            </w:r>
          </w:p>
        </w:tc>
      </w:tr>
      <w:tr w:rsidR="00A128F4" w14:paraId="7F9DA4C6" w14:textId="77777777" w:rsidTr="00173573">
        <w:trPr>
          <w:trHeight w:val="317"/>
        </w:trPr>
        <w:tc>
          <w:tcPr>
            <w:tcW w:w="4668" w:type="dxa"/>
          </w:tcPr>
          <w:p w14:paraId="14996181" w14:textId="71BA76FC" w:rsidR="00A128F4" w:rsidRDefault="00A128F4" w:rsidP="00173573">
            <w:pPr>
              <w:pStyle w:val="TableofAuthorities"/>
            </w:pPr>
            <w:r>
              <w:t>20 March 2026</w:t>
            </w:r>
          </w:p>
        </w:tc>
        <w:tc>
          <w:tcPr>
            <w:cnfStyle w:val="000100000000" w:firstRow="0" w:lastRow="0" w:firstColumn="0" w:lastColumn="1" w:oddVBand="0" w:evenVBand="0" w:oddHBand="0" w:evenHBand="0" w:firstRowFirstColumn="0" w:firstRowLastColumn="0" w:lastRowFirstColumn="0" w:lastRowLastColumn="0"/>
            <w:tcW w:w="4737" w:type="dxa"/>
          </w:tcPr>
          <w:p w14:paraId="5B3E49AF" w14:textId="7F17100C" w:rsidR="00A128F4" w:rsidDel="00651ADE" w:rsidRDefault="00A128F4" w:rsidP="00173573">
            <w:pPr>
              <w:pStyle w:val="TableofAuthorities"/>
            </w:pPr>
            <w:r>
              <w:t>1.02</w:t>
            </w:r>
          </w:p>
        </w:tc>
      </w:tr>
    </w:tbl>
    <w:p w14:paraId="695BF2D3" w14:textId="7FCE8C20" w:rsidR="00C13974" w:rsidRPr="00173573" w:rsidRDefault="6E74F613" w:rsidP="00173573">
      <w:r w:rsidRPr="00173573">
        <w:t>To calculate the DAP for a resident following an indexation point, the provider needs both the DAP index</w:t>
      </w:r>
      <w:r w:rsidR="6E6FE949" w:rsidRPr="00173573">
        <w:t xml:space="preserve"> number</w:t>
      </w:r>
      <w:r w:rsidRPr="00173573">
        <w:t xml:space="preserve"> on the resident’s </w:t>
      </w:r>
      <w:r w:rsidR="02D035B4" w:rsidRPr="00173573">
        <w:t>reference index</w:t>
      </w:r>
      <w:r w:rsidR="00B04FC0" w:rsidRPr="00173573">
        <w:t>ation</w:t>
      </w:r>
      <w:r w:rsidR="02D035B4" w:rsidRPr="00173573">
        <w:t xml:space="preserve"> day</w:t>
      </w:r>
      <w:r w:rsidRPr="00173573">
        <w:t xml:space="preserve"> and the D</w:t>
      </w:r>
      <w:r w:rsidR="37010C5D" w:rsidRPr="00173573">
        <w:t>A</w:t>
      </w:r>
      <w:r w:rsidRPr="00173573">
        <w:t xml:space="preserve">P index </w:t>
      </w:r>
      <w:r w:rsidR="77F3F217" w:rsidRPr="00173573">
        <w:t>numbe</w:t>
      </w:r>
      <w:r w:rsidR="2532180D" w:rsidRPr="00173573">
        <w:t xml:space="preserve">r </w:t>
      </w:r>
      <w:r w:rsidR="4EA48866" w:rsidRPr="00173573">
        <w:t>on the</w:t>
      </w:r>
      <w:r w:rsidR="00552F4D" w:rsidRPr="00173573">
        <w:t xml:space="preserve"> DAP</w:t>
      </w:r>
      <w:r w:rsidR="4EA48866" w:rsidRPr="00173573">
        <w:t xml:space="preserve"> </w:t>
      </w:r>
      <w:r w:rsidR="175D30A8" w:rsidRPr="00173573">
        <w:t>indexation day</w:t>
      </w:r>
      <w:r w:rsidR="4EA48866" w:rsidRPr="00173573">
        <w:t>.</w:t>
      </w:r>
    </w:p>
    <w:p w14:paraId="425BCF1C" w14:textId="059A91CF" w:rsidR="00C13974" w:rsidRPr="00173573" w:rsidRDefault="00CF6584" w:rsidP="00173573">
      <w:r w:rsidRPr="00173573">
        <w:t>D</w:t>
      </w:r>
      <w:r w:rsidR="4EA48866" w:rsidRPr="00173573">
        <w:t xml:space="preserve">etails </w:t>
      </w:r>
      <w:r w:rsidR="00EE1F1E" w:rsidRPr="00173573">
        <w:t>about</w:t>
      </w:r>
      <w:r w:rsidR="4C09D4D0" w:rsidRPr="00173573">
        <w:t xml:space="preserve"> how to calculate the DA</w:t>
      </w:r>
      <w:r w:rsidR="665787C2" w:rsidRPr="00173573">
        <w:t>P</w:t>
      </w:r>
      <w:r w:rsidR="4C09D4D0" w:rsidRPr="00173573">
        <w:t xml:space="preserve"> </w:t>
      </w:r>
      <w:r w:rsidR="4EA48866" w:rsidRPr="00173573">
        <w:t xml:space="preserve">are available </w:t>
      </w:r>
      <w:r w:rsidR="00115464" w:rsidRPr="00173573">
        <w:t>at</w:t>
      </w:r>
      <w:r w:rsidR="002A1690" w:rsidRPr="00173573">
        <w:t xml:space="preserve"> </w:t>
      </w:r>
      <w:hyperlink r:id="rId11" w:history="1">
        <w:r w:rsidR="00846056" w:rsidRPr="00173573">
          <w:rPr>
            <w:rStyle w:val="Hyperlink"/>
          </w:rPr>
          <w:t>www.health.gov.au/our-work/residential-aged-care/charging/dap-indexation</w:t>
        </w:r>
      </w:hyperlink>
      <w:r w:rsidR="4EA48866" w:rsidRPr="00173573">
        <w:t>.</w:t>
      </w:r>
      <w:r w:rsidR="0370EBE6" w:rsidRPr="00173573">
        <w:t xml:space="preserve"> </w:t>
      </w:r>
    </w:p>
    <w:p w14:paraId="7BC4E355" w14:textId="77E4EC87" w:rsidR="5B392F14" w:rsidRPr="008C6285" w:rsidRDefault="5B392F14" w:rsidP="00173573">
      <w:pPr>
        <w:pStyle w:val="Heading1"/>
      </w:pPr>
      <w:r w:rsidRPr="008C6285">
        <w:t>Deeming</w:t>
      </w:r>
      <w:r w:rsidR="00A40E4A" w:rsidRPr="008C6285">
        <w:t xml:space="preserve"> and </w:t>
      </w:r>
      <w:r w:rsidR="00975AB7" w:rsidRPr="008C6285">
        <w:t>i</w:t>
      </w:r>
      <w:r w:rsidR="00A40E4A" w:rsidRPr="008C6285">
        <w:t>nterest rates</w:t>
      </w:r>
    </w:p>
    <w:p w14:paraId="6A7A0B5C" w14:textId="58BD1867" w:rsidR="00676E70" w:rsidRPr="009108F8" w:rsidRDefault="00676E70" w:rsidP="008758F6">
      <w:pPr>
        <w:spacing w:after="0" w:line="264" w:lineRule="auto"/>
        <w:rPr>
          <w:rFonts w:eastAsiaTheme="majorEastAsia" w:cstheme="majorBidi"/>
          <w:sz w:val="20"/>
          <w:szCs w:val="20"/>
        </w:rPr>
      </w:pPr>
      <w:r w:rsidRPr="009108F8">
        <w:rPr>
          <w:rFonts w:eastAsiaTheme="majorEastAsia" w:cstheme="majorBidi"/>
          <w:sz w:val="20"/>
          <w:szCs w:val="20"/>
        </w:rPr>
        <w:t xml:space="preserve">These </w:t>
      </w:r>
      <w:r w:rsidR="00484345" w:rsidRPr="009108F8">
        <w:rPr>
          <w:rFonts w:eastAsiaTheme="majorEastAsia" w:cstheme="majorBidi"/>
          <w:sz w:val="20"/>
          <w:szCs w:val="20"/>
        </w:rPr>
        <w:t xml:space="preserve">deeming and interest </w:t>
      </w:r>
      <w:r w:rsidRPr="009108F8">
        <w:rPr>
          <w:rFonts w:eastAsiaTheme="majorEastAsia" w:cstheme="majorBidi"/>
          <w:sz w:val="20"/>
          <w:szCs w:val="20"/>
        </w:rPr>
        <w:t xml:space="preserve">rates apply across all residential </w:t>
      </w:r>
      <w:r w:rsidR="00CB569E" w:rsidRPr="009108F8">
        <w:rPr>
          <w:rFonts w:eastAsiaTheme="majorEastAsia" w:cstheme="majorBidi"/>
          <w:sz w:val="20"/>
          <w:szCs w:val="20"/>
        </w:rPr>
        <w:t xml:space="preserve">care </w:t>
      </w:r>
      <w:r w:rsidR="00E318BE" w:rsidRPr="009108F8">
        <w:rPr>
          <w:rFonts w:eastAsiaTheme="majorEastAsia" w:cstheme="majorBidi"/>
          <w:sz w:val="20"/>
          <w:szCs w:val="20"/>
        </w:rPr>
        <w:t>fee</w:t>
      </w:r>
      <w:r w:rsidR="00CB569E" w:rsidRPr="009108F8">
        <w:rPr>
          <w:rFonts w:eastAsiaTheme="majorEastAsia" w:cstheme="majorBidi"/>
          <w:sz w:val="20"/>
          <w:szCs w:val="20"/>
        </w:rPr>
        <w:t xml:space="preserve"> and accommodation </w:t>
      </w:r>
      <w:r w:rsidR="00E318BE" w:rsidRPr="009108F8">
        <w:rPr>
          <w:rFonts w:eastAsiaTheme="majorEastAsia" w:cstheme="majorBidi"/>
          <w:sz w:val="20"/>
          <w:szCs w:val="20"/>
        </w:rPr>
        <w:t>arrangements</w:t>
      </w:r>
      <w:r w:rsidR="00CB569E" w:rsidRPr="009108F8">
        <w:rPr>
          <w:rFonts w:eastAsiaTheme="majorEastAsia" w:cstheme="majorBidi"/>
          <w:sz w:val="20"/>
          <w:szCs w:val="20"/>
        </w:rPr>
        <w:t xml:space="preserve">. </w:t>
      </w:r>
    </w:p>
    <w:p w14:paraId="605A948A" w14:textId="77777777" w:rsidR="00975AB7" w:rsidRDefault="00975AB7" w:rsidP="00173573">
      <w:pPr>
        <w:pStyle w:val="Heading2"/>
      </w:pPr>
      <w:r>
        <w:t xml:space="preserve">Deeming thresholds and rates </w:t>
      </w:r>
    </w:p>
    <w:tbl>
      <w:tblPr>
        <w:tblStyle w:val="TableGridLight"/>
        <w:tblW w:w="0" w:type="auto"/>
        <w:tblLook w:val="04A0" w:firstRow="1" w:lastRow="0" w:firstColumn="1" w:lastColumn="0" w:noHBand="0" w:noVBand="1"/>
        <w:tblDescription w:val="This table list the Deeming thresholds and rates for Home care and Residential care"/>
      </w:tblPr>
      <w:tblGrid>
        <w:gridCol w:w="6379"/>
        <w:gridCol w:w="2976"/>
      </w:tblGrid>
      <w:tr w:rsidR="00975AB7" w14:paraId="4935AA08" w14:textId="77777777" w:rsidTr="00173573">
        <w:trPr>
          <w:cnfStyle w:val="100000000000" w:firstRow="1" w:lastRow="0" w:firstColumn="0" w:lastColumn="0" w:oddVBand="0" w:evenVBand="0" w:oddHBand="0" w:evenHBand="0" w:firstRowFirstColumn="0" w:firstRowLastColumn="0" w:lastRowFirstColumn="0" w:lastRowLastColumn="0"/>
          <w:trHeight w:val="316"/>
          <w:tblHeader/>
        </w:trPr>
        <w:tc>
          <w:tcPr>
            <w:tcW w:w="6379" w:type="dxa"/>
          </w:tcPr>
          <w:p w14:paraId="0E0167A0" w14:textId="77777777" w:rsidR="00975AB7" w:rsidRDefault="00975AB7" w:rsidP="00173573">
            <w:pPr>
              <w:pStyle w:val="TableofAuthorities"/>
              <w:rPr>
                <w:b w:val="0"/>
              </w:rPr>
            </w:pPr>
            <w:r w:rsidRPr="3EF88BD5">
              <w:t>Threshold/Rate</w:t>
            </w:r>
          </w:p>
        </w:tc>
        <w:tc>
          <w:tcPr>
            <w:tcW w:w="2976" w:type="dxa"/>
          </w:tcPr>
          <w:p w14:paraId="66F11168" w14:textId="77777777" w:rsidR="00975AB7" w:rsidRDefault="00975AB7" w:rsidP="00173573">
            <w:pPr>
              <w:pStyle w:val="TableofAuthorities"/>
              <w:jc w:val="center"/>
              <w:rPr>
                <w:b w:val="0"/>
                <w:highlight w:val="yellow"/>
              </w:rPr>
            </w:pPr>
            <w:r w:rsidRPr="3EF88BD5">
              <w:t>Rate</w:t>
            </w:r>
          </w:p>
        </w:tc>
      </w:tr>
      <w:tr w:rsidR="00975AB7" w14:paraId="766AF324" w14:textId="77777777" w:rsidTr="00173573">
        <w:trPr>
          <w:trHeight w:val="316"/>
        </w:trPr>
        <w:tc>
          <w:tcPr>
            <w:tcW w:w="9355" w:type="dxa"/>
            <w:gridSpan w:val="2"/>
          </w:tcPr>
          <w:p w14:paraId="2AC8DA49" w14:textId="6072D909" w:rsidR="00975AB7" w:rsidRPr="00173573" w:rsidRDefault="00975AB7" w:rsidP="00173573">
            <w:pPr>
              <w:rPr>
                <w:highlight w:val="yellow"/>
              </w:rPr>
            </w:pPr>
            <w:r w:rsidRPr="00173573">
              <w:rPr>
                <w:rStyle w:val="Strong"/>
              </w:rPr>
              <w:t>Deeming thresholds</w:t>
            </w:r>
            <w:r w:rsidRPr="3EF88BD5">
              <w:t xml:space="preserve"> </w:t>
            </w:r>
            <w:r>
              <w:t>– from 1 July 202</w:t>
            </w:r>
            <w:r w:rsidR="00F26783">
              <w:t>6</w:t>
            </w:r>
          </w:p>
        </w:tc>
      </w:tr>
      <w:tr w:rsidR="00975AB7" w14:paraId="75986066" w14:textId="77777777" w:rsidTr="00173573">
        <w:trPr>
          <w:trHeight w:val="316"/>
        </w:trPr>
        <w:tc>
          <w:tcPr>
            <w:tcW w:w="6379" w:type="dxa"/>
          </w:tcPr>
          <w:p w14:paraId="7FFE96FF" w14:textId="77777777" w:rsidR="00975AB7" w:rsidRDefault="00975AB7" w:rsidP="00173573">
            <w:pPr>
              <w:pStyle w:val="TableofAuthorities"/>
            </w:pPr>
            <w:r>
              <w:t>Threshold (single)</w:t>
            </w:r>
          </w:p>
        </w:tc>
        <w:tc>
          <w:tcPr>
            <w:tcW w:w="2976" w:type="dxa"/>
          </w:tcPr>
          <w:p w14:paraId="64F3BCA1" w14:textId="4575BD59" w:rsidR="00975AB7" w:rsidRDefault="00C05689" w:rsidP="00173573">
            <w:pPr>
              <w:pStyle w:val="TableofAuthorities"/>
              <w:jc w:val="center"/>
            </w:pPr>
            <w:r>
              <w:t>$66,800</w:t>
            </w:r>
          </w:p>
        </w:tc>
      </w:tr>
      <w:tr w:rsidR="00975AB7" w14:paraId="7C17019E" w14:textId="77777777" w:rsidTr="00173573">
        <w:trPr>
          <w:trHeight w:val="316"/>
        </w:trPr>
        <w:tc>
          <w:tcPr>
            <w:tcW w:w="6379" w:type="dxa"/>
          </w:tcPr>
          <w:p w14:paraId="71B7292E" w14:textId="77777777" w:rsidR="00975AB7" w:rsidRDefault="00975AB7" w:rsidP="00173573">
            <w:pPr>
              <w:pStyle w:val="TableofAuthorities"/>
            </w:pPr>
            <w:r>
              <w:t>Threshold (couple – combined)</w:t>
            </w:r>
          </w:p>
        </w:tc>
        <w:tc>
          <w:tcPr>
            <w:tcW w:w="2976" w:type="dxa"/>
          </w:tcPr>
          <w:p w14:paraId="1AB3BAEE" w14:textId="50EDD62C" w:rsidR="00975AB7" w:rsidRDefault="00C05689" w:rsidP="00173573">
            <w:pPr>
              <w:pStyle w:val="TableofAuthorities"/>
              <w:jc w:val="center"/>
            </w:pPr>
            <w:r>
              <w:t>$110,600</w:t>
            </w:r>
          </w:p>
        </w:tc>
      </w:tr>
      <w:tr w:rsidR="00975AB7" w14:paraId="0FF4BEA9" w14:textId="77777777" w:rsidTr="00173573">
        <w:trPr>
          <w:trHeight w:val="316"/>
        </w:trPr>
        <w:tc>
          <w:tcPr>
            <w:tcW w:w="9355" w:type="dxa"/>
            <w:gridSpan w:val="2"/>
          </w:tcPr>
          <w:p w14:paraId="19A5FD57" w14:textId="321139E6" w:rsidR="00975AB7" w:rsidRDefault="00975AB7" w:rsidP="00824530">
            <w:pPr>
              <w:spacing w:line="264" w:lineRule="auto"/>
            </w:pPr>
            <w:r w:rsidRPr="00173573">
              <w:rPr>
                <w:rStyle w:val="Strong"/>
              </w:rPr>
              <w:t>Deeming rates</w:t>
            </w:r>
            <w:r w:rsidRPr="00173573">
              <w:t xml:space="preserve"> –</w:t>
            </w:r>
            <w:r>
              <w:t xml:space="preserve"> from 20 </w:t>
            </w:r>
            <w:r w:rsidR="00C96BDE">
              <w:t>March 2026</w:t>
            </w:r>
          </w:p>
        </w:tc>
      </w:tr>
      <w:tr w:rsidR="00975AB7" w14:paraId="60CAA484" w14:textId="77777777" w:rsidTr="00173573">
        <w:trPr>
          <w:trHeight w:val="316"/>
        </w:trPr>
        <w:tc>
          <w:tcPr>
            <w:tcW w:w="6379" w:type="dxa"/>
          </w:tcPr>
          <w:p w14:paraId="3B431AE2" w14:textId="01ADB879" w:rsidR="00975AB7" w:rsidRDefault="00975AB7" w:rsidP="00173573">
            <w:pPr>
              <w:pStyle w:val="TableofAuthorities"/>
            </w:pPr>
            <w:r>
              <w:t>Lower rate</w:t>
            </w:r>
            <w:r w:rsidR="000E4359">
              <w:t xml:space="preserve"> </w:t>
            </w:r>
          </w:p>
        </w:tc>
        <w:tc>
          <w:tcPr>
            <w:tcW w:w="2976" w:type="dxa"/>
          </w:tcPr>
          <w:p w14:paraId="186B2081" w14:textId="59E6F559" w:rsidR="00975AB7" w:rsidRDefault="00C96BDE" w:rsidP="00173573">
            <w:pPr>
              <w:pStyle w:val="TableofAuthorities"/>
              <w:jc w:val="center"/>
            </w:pPr>
            <w:r>
              <w:t>1.25%</w:t>
            </w:r>
          </w:p>
        </w:tc>
      </w:tr>
      <w:tr w:rsidR="00975AB7" w14:paraId="392782F6" w14:textId="77777777" w:rsidTr="00173573">
        <w:trPr>
          <w:trHeight w:val="316"/>
        </w:trPr>
        <w:tc>
          <w:tcPr>
            <w:tcW w:w="6379" w:type="dxa"/>
          </w:tcPr>
          <w:p w14:paraId="591649DF" w14:textId="008AACFD" w:rsidR="00975AB7" w:rsidRDefault="00975AB7" w:rsidP="00173573">
            <w:pPr>
              <w:pStyle w:val="TableofAuthorities"/>
            </w:pPr>
            <w:r>
              <w:t>Higher rate</w:t>
            </w:r>
            <w:r w:rsidR="000E4359">
              <w:t xml:space="preserve"> </w:t>
            </w:r>
          </w:p>
        </w:tc>
        <w:tc>
          <w:tcPr>
            <w:tcW w:w="2976" w:type="dxa"/>
          </w:tcPr>
          <w:p w14:paraId="471CDBC2" w14:textId="0C5F2FCA" w:rsidR="00975AB7" w:rsidRDefault="00C96BDE" w:rsidP="00173573">
            <w:pPr>
              <w:pStyle w:val="TableofAuthorities"/>
              <w:jc w:val="center"/>
            </w:pPr>
            <w:r>
              <w:t>3.25%</w:t>
            </w:r>
          </w:p>
        </w:tc>
      </w:tr>
    </w:tbl>
    <w:p w14:paraId="566F86BF" w14:textId="33A560A9" w:rsidR="5B392F14" w:rsidRDefault="5B392F14" w:rsidP="00173573">
      <w:pPr>
        <w:pStyle w:val="Heading2"/>
        <w:rPr>
          <w:rStyle w:val="BookTitle"/>
          <w:i w:val="0"/>
          <w:iCs w:val="0"/>
        </w:rPr>
      </w:pPr>
      <w:r>
        <w:t>Interest rates for accommodation costs</w:t>
      </w:r>
    </w:p>
    <w:tbl>
      <w:tblPr>
        <w:tblStyle w:val="TableGridLight"/>
        <w:tblW w:w="0" w:type="auto"/>
        <w:tblLook w:val="04A0" w:firstRow="1" w:lastRow="0" w:firstColumn="1" w:lastColumn="0" w:noHBand="0" w:noVBand="1"/>
        <w:tblDescription w:val="This table list Interest rates for Refundable Deposits and Daily Payments"/>
      </w:tblPr>
      <w:tblGrid>
        <w:gridCol w:w="6379"/>
        <w:gridCol w:w="2977"/>
      </w:tblGrid>
      <w:tr w:rsidR="3EF88BD5" w14:paraId="16530FB6" w14:textId="77777777" w:rsidTr="00FD0869">
        <w:trPr>
          <w:cnfStyle w:val="100000000000" w:firstRow="1" w:lastRow="0" w:firstColumn="0" w:lastColumn="0" w:oddVBand="0" w:evenVBand="0" w:oddHBand="0" w:evenHBand="0" w:firstRowFirstColumn="0" w:firstRowLastColumn="0" w:lastRowFirstColumn="0" w:lastRowLastColumn="0"/>
          <w:trHeight w:val="300"/>
          <w:tblHeader/>
        </w:trPr>
        <w:tc>
          <w:tcPr>
            <w:tcW w:w="6379" w:type="dxa"/>
          </w:tcPr>
          <w:p w14:paraId="74CEF7EA" w14:textId="77777777" w:rsidR="3EF88BD5" w:rsidRDefault="3EF88BD5" w:rsidP="008758F6">
            <w:pPr>
              <w:spacing w:line="264" w:lineRule="auto"/>
              <w:rPr>
                <w:b w:val="0"/>
                <w:bCs/>
              </w:rPr>
            </w:pPr>
            <w:r w:rsidRPr="3EF88BD5">
              <w:rPr>
                <w:bCs/>
              </w:rPr>
              <w:t>Interest rate</w:t>
            </w:r>
          </w:p>
        </w:tc>
        <w:tc>
          <w:tcPr>
            <w:tcW w:w="2977" w:type="dxa"/>
          </w:tcPr>
          <w:p w14:paraId="5E2955C8" w14:textId="77777777" w:rsidR="3EF88BD5" w:rsidRDefault="3EF88BD5" w:rsidP="008758F6">
            <w:pPr>
              <w:spacing w:line="264" w:lineRule="auto"/>
              <w:jc w:val="center"/>
              <w:rPr>
                <w:b w:val="0"/>
                <w:bCs/>
              </w:rPr>
            </w:pPr>
            <w:r w:rsidRPr="3EF88BD5">
              <w:rPr>
                <w:bCs/>
              </w:rPr>
              <w:t>Rate</w:t>
            </w:r>
          </w:p>
        </w:tc>
      </w:tr>
      <w:tr w:rsidR="00FD0869" w14:paraId="67938B18" w14:textId="77777777" w:rsidTr="006037B5">
        <w:trPr>
          <w:trHeight w:val="300"/>
        </w:trPr>
        <w:tc>
          <w:tcPr>
            <w:tcW w:w="9356" w:type="dxa"/>
            <w:gridSpan w:val="2"/>
          </w:tcPr>
          <w:p w14:paraId="7C274F50" w14:textId="2CF2B5D6" w:rsidR="00FD0869" w:rsidRDefault="00FD0869" w:rsidP="00FD0869">
            <w:pPr>
              <w:pStyle w:val="TableofAuthorities"/>
              <w:rPr>
                <w:rFonts w:asciiTheme="minorHAnsi" w:hAnsiTheme="minorHAnsi"/>
              </w:rPr>
            </w:pPr>
            <w:r w:rsidRPr="00FD0869">
              <w:rPr>
                <w:rStyle w:val="Strong"/>
              </w:rPr>
              <w:t>Maximum Permissible Interest Rate (MPIR)</w:t>
            </w:r>
            <w:r w:rsidRPr="3EF88BD5">
              <w:t xml:space="preserve"> </w:t>
            </w:r>
            <w:r>
              <w:rPr>
                <w:vertAlign w:val="superscript"/>
              </w:rPr>
              <w:t>4</w:t>
            </w:r>
          </w:p>
        </w:tc>
      </w:tr>
      <w:tr w:rsidR="3EF88BD5" w14:paraId="3F0EA92A" w14:textId="77777777" w:rsidTr="00FD0869">
        <w:trPr>
          <w:trHeight w:val="300"/>
        </w:trPr>
        <w:tc>
          <w:tcPr>
            <w:tcW w:w="6379" w:type="dxa"/>
          </w:tcPr>
          <w:p w14:paraId="348F5B13" w14:textId="3741A8DC" w:rsidR="3EF88BD5" w:rsidRDefault="3EF88BD5" w:rsidP="00FD0869">
            <w:pPr>
              <w:pStyle w:val="TableofAuthorities"/>
            </w:pPr>
            <w:r>
              <w:t xml:space="preserve">from </w:t>
            </w:r>
            <w:r w:rsidR="53CF27DE">
              <w:t xml:space="preserve">1 </w:t>
            </w:r>
            <w:r w:rsidR="00DD1EB8">
              <w:t xml:space="preserve">July </w:t>
            </w:r>
            <w:r w:rsidR="003E0B63">
              <w:t>2026</w:t>
            </w:r>
            <w:r w:rsidR="53CF27DE">
              <w:t xml:space="preserve"> – </w:t>
            </w:r>
            <w:r w:rsidR="00600E2C">
              <w:t>3</w:t>
            </w:r>
            <w:r w:rsidR="00E423A1">
              <w:t>0</w:t>
            </w:r>
            <w:r w:rsidR="00600E2C">
              <w:t xml:space="preserve"> </w:t>
            </w:r>
            <w:r w:rsidR="00E423A1">
              <w:t>September</w:t>
            </w:r>
            <w:r w:rsidR="00DD1EB8">
              <w:t xml:space="preserve"> </w:t>
            </w:r>
            <w:r w:rsidR="00432864">
              <w:t>2026</w:t>
            </w:r>
          </w:p>
        </w:tc>
        <w:tc>
          <w:tcPr>
            <w:tcW w:w="2977" w:type="dxa"/>
          </w:tcPr>
          <w:p w14:paraId="2F7D95CD" w14:textId="7C1EF75C" w:rsidR="3EF88BD5" w:rsidRDefault="00A36929" w:rsidP="00FD0869">
            <w:pPr>
              <w:pStyle w:val="TableofAuthorities"/>
              <w:rPr>
                <w:rFonts w:eastAsia="Arial" w:cs="Arial"/>
              </w:rPr>
            </w:pPr>
            <w:r>
              <w:t>8.43%</w:t>
            </w:r>
          </w:p>
        </w:tc>
      </w:tr>
      <w:tr w:rsidR="00FD0869" w14:paraId="1260D11D" w14:textId="77777777" w:rsidTr="00B00715">
        <w:trPr>
          <w:trHeight w:val="300"/>
        </w:trPr>
        <w:tc>
          <w:tcPr>
            <w:tcW w:w="9356" w:type="dxa"/>
            <w:gridSpan w:val="2"/>
          </w:tcPr>
          <w:p w14:paraId="229197A0" w14:textId="613A7FEA" w:rsidR="00FD0869" w:rsidRPr="00FD0869" w:rsidRDefault="00FD0869" w:rsidP="00FD0869">
            <w:pPr>
              <w:pStyle w:val="TableofAuthorities"/>
              <w:rPr>
                <w:rStyle w:val="Strong"/>
                <w:highlight w:val="yellow"/>
              </w:rPr>
            </w:pPr>
            <w:r w:rsidRPr="00FD0869">
              <w:rPr>
                <w:rStyle w:val="Strong"/>
              </w:rPr>
              <w:t>Base Interest Rate (BIR)</w:t>
            </w:r>
          </w:p>
        </w:tc>
      </w:tr>
      <w:tr w:rsidR="3EF88BD5" w14:paraId="053EFCB8" w14:textId="77777777" w:rsidTr="00FD0869">
        <w:trPr>
          <w:trHeight w:val="300"/>
        </w:trPr>
        <w:tc>
          <w:tcPr>
            <w:tcW w:w="6379" w:type="dxa"/>
          </w:tcPr>
          <w:p w14:paraId="408DAC5B" w14:textId="3C7BA357" w:rsidR="3EF88BD5" w:rsidRDefault="3EF88BD5" w:rsidP="00FD0869">
            <w:pPr>
              <w:pStyle w:val="TableofAuthorities"/>
            </w:pPr>
            <w:r>
              <w:t xml:space="preserve">from 1 </w:t>
            </w:r>
            <w:r w:rsidR="003B7C2A">
              <w:t>April 2026</w:t>
            </w:r>
          </w:p>
        </w:tc>
        <w:tc>
          <w:tcPr>
            <w:tcW w:w="2977" w:type="dxa"/>
          </w:tcPr>
          <w:p w14:paraId="0741DDE8" w14:textId="3D2A9C8E" w:rsidR="3EF88BD5" w:rsidRDefault="00A128F4" w:rsidP="00FD0869">
            <w:pPr>
              <w:pStyle w:val="TableofAuthorities"/>
            </w:pPr>
            <w:r w:rsidRPr="00252241">
              <w:t>3.25%</w:t>
            </w:r>
          </w:p>
        </w:tc>
      </w:tr>
      <w:tr w:rsidR="00FD0869" w14:paraId="4F84994E" w14:textId="77777777" w:rsidTr="008C13D9">
        <w:trPr>
          <w:trHeight w:val="300"/>
        </w:trPr>
        <w:tc>
          <w:tcPr>
            <w:tcW w:w="9356" w:type="dxa"/>
            <w:gridSpan w:val="2"/>
          </w:tcPr>
          <w:p w14:paraId="4690DFEB" w14:textId="25EFE087" w:rsidR="00FD0869" w:rsidRPr="00FD0869" w:rsidRDefault="00FD0869" w:rsidP="00FD0869">
            <w:pPr>
              <w:pStyle w:val="TableofAuthorities"/>
              <w:rPr>
                <w:rStyle w:val="Strong"/>
              </w:rPr>
            </w:pPr>
            <w:r w:rsidRPr="00FD0869">
              <w:rPr>
                <w:rStyle w:val="Strong"/>
              </w:rPr>
              <w:t>Maximum interest on outstanding accommodation charge</w:t>
            </w:r>
          </w:p>
        </w:tc>
      </w:tr>
      <w:tr w:rsidR="3EF88BD5" w14:paraId="2545C45B" w14:textId="77777777" w:rsidTr="00FD0869">
        <w:trPr>
          <w:trHeight w:val="300"/>
        </w:trPr>
        <w:tc>
          <w:tcPr>
            <w:tcW w:w="6379" w:type="dxa"/>
          </w:tcPr>
          <w:p w14:paraId="7E06C060" w14:textId="5750D911" w:rsidR="3EF88BD5" w:rsidRDefault="3EF88BD5" w:rsidP="00FD0869">
            <w:pPr>
              <w:pStyle w:val="TableofAuthorities"/>
            </w:pPr>
            <w:r>
              <w:t xml:space="preserve">from </w:t>
            </w:r>
            <w:r w:rsidR="0092286D">
              <w:t xml:space="preserve">20 </w:t>
            </w:r>
            <w:r w:rsidR="00C6376A">
              <w:t>March 2026</w:t>
            </w:r>
          </w:p>
        </w:tc>
        <w:tc>
          <w:tcPr>
            <w:tcW w:w="2977" w:type="dxa"/>
          </w:tcPr>
          <w:p w14:paraId="344191E1" w14:textId="5F870DF7" w:rsidR="3EF88BD5" w:rsidRDefault="004B622E" w:rsidP="00FD0869">
            <w:pPr>
              <w:pStyle w:val="TableofAuthorities"/>
            </w:pPr>
            <w:r>
              <w:t>2.50%</w:t>
            </w:r>
          </w:p>
        </w:tc>
      </w:tr>
    </w:tbl>
    <w:p w14:paraId="49EF153E" w14:textId="1C45011B" w:rsidR="00AB6EE3" w:rsidRPr="00B64789" w:rsidRDefault="00395AC1" w:rsidP="00B64789">
      <w:pPr>
        <w:pStyle w:val="Footnotes"/>
      </w:pPr>
      <w:r w:rsidRPr="00B64789">
        <w:t>4</w:t>
      </w:r>
      <w:r w:rsidR="5B392F14" w:rsidRPr="00B64789">
        <w:t xml:space="preserve"> Th</w:t>
      </w:r>
      <w:r w:rsidR="00A320A4" w:rsidRPr="00B64789">
        <w:t>e</w:t>
      </w:r>
      <w:r w:rsidR="00C66DD4" w:rsidRPr="00B64789">
        <w:t xml:space="preserve"> MPIR</w:t>
      </w:r>
      <w:r w:rsidR="5B392F14" w:rsidRPr="00B64789">
        <w:t xml:space="preserve"> applies for calculating accommodation costs for residents who enter residential care within this period </w:t>
      </w:r>
      <w:r w:rsidR="008E7638" w:rsidRPr="00B64789">
        <w:t>(</w:t>
      </w:r>
      <w:r w:rsidR="5B392F14" w:rsidRPr="00B64789">
        <w:t>but not for those who were already in care prior to this period</w:t>
      </w:r>
      <w:r w:rsidR="008E7638" w:rsidRPr="00B64789">
        <w:t>)</w:t>
      </w:r>
      <w:r w:rsidR="5B392F14" w:rsidRPr="00B64789">
        <w:t xml:space="preserve">. For a resident paying the agreed room price, use the </w:t>
      </w:r>
      <w:r w:rsidR="00C66DD4" w:rsidRPr="00B64789">
        <w:t>MPIR</w:t>
      </w:r>
      <w:r w:rsidR="5B392F14" w:rsidRPr="00B64789">
        <w:t xml:space="preserve"> current on the day the room price was agreed. To calculate accommodation contributions for a low means resident, use the MPIR current at their date of entry to the service. </w:t>
      </w:r>
    </w:p>
    <w:p w14:paraId="0439B809" w14:textId="54CBA866" w:rsidR="5B392F14" w:rsidRDefault="5B392F14" w:rsidP="00FD0869">
      <w:pPr>
        <w:rPr>
          <w:lang w:eastAsia="en-AU"/>
        </w:rPr>
      </w:pPr>
      <w:r w:rsidRPr="3EF88BD5">
        <w:rPr>
          <w:lang w:eastAsia="en-AU"/>
        </w:rPr>
        <w:t>The MPIR applies for:</w:t>
      </w:r>
    </w:p>
    <w:p w14:paraId="620B2015" w14:textId="45C9906F" w:rsidR="5B392F14" w:rsidRPr="00FD0869" w:rsidRDefault="00CC08C8" w:rsidP="00FD0869">
      <w:pPr>
        <w:pStyle w:val="ListBullet2"/>
      </w:pPr>
      <w:r w:rsidRPr="00FD0869">
        <w:t>E</w:t>
      </w:r>
      <w:r w:rsidR="5B392F14" w:rsidRPr="00FD0869">
        <w:t xml:space="preserve">quivalence calculations for </w:t>
      </w:r>
      <w:r w:rsidRPr="00FD0869">
        <w:t>accommodation payments and contributions</w:t>
      </w:r>
    </w:p>
    <w:p w14:paraId="1BE772D6" w14:textId="354E7F33" w:rsidR="5B392F14" w:rsidRPr="00FD0869" w:rsidRDefault="5B392F14" w:rsidP="00FD0869">
      <w:pPr>
        <w:pStyle w:val="ListBullet2"/>
      </w:pPr>
      <w:r w:rsidRPr="00FD0869">
        <w:t>Accommodation bond agreements for pre 1 July 2014 residents</w:t>
      </w:r>
    </w:p>
    <w:p w14:paraId="437B1B46" w14:textId="618AFE98" w:rsidR="5B392F14" w:rsidRPr="00FD0869" w:rsidRDefault="5B392F14" w:rsidP="00FD0869">
      <w:pPr>
        <w:pStyle w:val="ListBullet2"/>
      </w:pPr>
      <w:r w:rsidRPr="00FD0869">
        <w:t>Calculating interest payable by the provider on outstanding refundable deposit refunds</w:t>
      </w:r>
    </w:p>
    <w:p w14:paraId="09503C87" w14:textId="360D4220" w:rsidR="5B392F14" w:rsidRDefault="5B392F14" w:rsidP="00FD0869">
      <w:pPr>
        <w:rPr>
          <w:lang w:eastAsia="en-AU"/>
        </w:rPr>
      </w:pPr>
      <w:r w:rsidRPr="3EF88BD5">
        <w:rPr>
          <w:lang w:eastAsia="en-AU"/>
        </w:rPr>
        <w:t>The BIR applies for:</w:t>
      </w:r>
    </w:p>
    <w:p w14:paraId="6F72D8EF" w14:textId="3DCD1315" w:rsidR="5B392F14" w:rsidRPr="00FD0869" w:rsidRDefault="5B392F14" w:rsidP="00FD0869">
      <w:pPr>
        <w:pStyle w:val="ListBullet2"/>
      </w:pPr>
      <w:r w:rsidRPr="00FD0869">
        <w:t>Accommodation bond agreements for pre 1 July 2014 residents</w:t>
      </w:r>
    </w:p>
    <w:p w14:paraId="4B484122" w14:textId="5629DFA4" w:rsidR="00AF21E9" w:rsidRDefault="5B392F14" w:rsidP="00FD0869">
      <w:pPr>
        <w:pStyle w:val="ListBullet2"/>
      </w:pPr>
      <w:r w:rsidRPr="00FD0869">
        <w:t>Calculating interest payable by the provider on outstanding refundabl</w:t>
      </w:r>
      <w:r w:rsidRPr="3EF88BD5">
        <w:rPr>
          <w:lang w:eastAsia="en-AU"/>
        </w:rPr>
        <w:t>e deposit refunds</w:t>
      </w:r>
    </w:p>
    <w:p w14:paraId="32F38D50" w14:textId="4BF95BE1" w:rsidR="00450F6D" w:rsidRPr="00B64789" w:rsidRDefault="00AF21E9" w:rsidP="00FD0869">
      <w:r w:rsidRPr="00B64789">
        <w:t xml:space="preserve">The maximum interest on outstanding accommodation charge </w:t>
      </w:r>
      <w:r w:rsidR="00450F6D" w:rsidRPr="00B64789">
        <w:t>is</w:t>
      </w:r>
      <w:r w:rsidRPr="00B64789">
        <w:t xml:space="preserve"> the amount of interest that may be charged under an accommodation charge agreement </w:t>
      </w:r>
      <w:r w:rsidR="00450F6D" w:rsidRPr="00B64789">
        <w:t xml:space="preserve">for a </w:t>
      </w:r>
      <w:proofErr w:type="spellStart"/>
      <w:r w:rsidR="00450F6D" w:rsidRPr="00B64789">
        <w:t>pre 1</w:t>
      </w:r>
      <w:proofErr w:type="spellEnd"/>
      <w:r w:rsidR="00450F6D" w:rsidRPr="00B64789">
        <w:t xml:space="preserve"> July 2014 resident who </w:t>
      </w:r>
      <w:r w:rsidRPr="00B64789">
        <w:t>has not paid the required amount (section 287-155 of the Aged Care Rules 2025)</w:t>
      </w:r>
      <w:r w:rsidR="00307CB5" w:rsidRPr="00B64789">
        <w:t>.</w:t>
      </w:r>
    </w:p>
    <w:p w14:paraId="6D9D5693" w14:textId="225DD8C7" w:rsidR="00F21B72" w:rsidRPr="008C6285" w:rsidRDefault="0076183A" w:rsidP="00FD0869">
      <w:pPr>
        <w:pStyle w:val="Heading1"/>
      </w:pPr>
      <w:r w:rsidRPr="008C6285">
        <w:t>Rates</w:t>
      </w:r>
      <w:r w:rsidR="00F21B72" w:rsidRPr="008C6285">
        <w:t xml:space="preserve"> for</w:t>
      </w:r>
      <w:r w:rsidR="00D27770" w:rsidRPr="008C6285">
        <w:t xml:space="preserve"> post</w:t>
      </w:r>
      <w:r w:rsidR="00F21B72" w:rsidRPr="008C6285">
        <w:t xml:space="preserve"> </w:t>
      </w:r>
      <w:r w:rsidR="00632CF7" w:rsidRPr="008C6285">
        <w:t>1 July</w:t>
      </w:r>
      <w:r w:rsidR="04DF59D9" w:rsidRPr="008C6285">
        <w:t xml:space="preserve"> </w:t>
      </w:r>
      <w:r w:rsidR="00F21B72" w:rsidRPr="008C6285">
        <w:t xml:space="preserve">2014 </w:t>
      </w:r>
      <w:r w:rsidR="00CC5EE9" w:rsidRPr="008C6285">
        <w:t>fee</w:t>
      </w:r>
      <w:r w:rsidR="00FD2C49" w:rsidRPr="008C6285">
        <w:t xml:space="preserve"> and accommodation</w:t>
      </w:r>
      <w:r w:rsidR="00CC5EE9" w:rsidRPr="008C6285">
        <w:t xml:space="preserve"> arrangements</w:t>
      </w:r>
    </w:p>
    <w:p w14:paraId="480F332C" w14:textId="29B2EF5B" w:rsidR="00F21B72" w:rsidRDefault="00203035" w:rsidP="00FD0869">
      <w:pPr>
        <w:pStyle w:val="Heading2"/>
        <w:rPr>
          <w:rStyle w:val="BookTitle"/>
          <w:rFonts w:cs="Arial"/>
          <w:i w:val="0"/>
          <w:szCs w:val="26"/>
        </w:rPr>
      </w:pPr>
      <w:r>
        <w:rPr>
          <w:rStyle w:val="BookTitle"/>
          <w:i w:val="0"/>
          <w:iCs w:val="0"/>
        </w:rPr>
        <w:t>Resident fees and contributions</w:t>
      </w:r>
    </w:p>
    <w:tbl>
      <w:tblPr>
        <w:tblStyle w:val="TableGridLight"/>
        <w:tblW w:w="0" w:type="auto"/>
        <w:tblLook w:val="05A0" w:firstRow="1" w:lastRow="0" w:firstColumn="1" w:lastColumn="1" w:noHBand="0" w:noVBand="1"/>
      </w:tblPr>
      <w:tblGrid>
        <w:gridCol w:w="6094"/>
        <w:gridCol w:w="3260"/>
      </w:tblGrid>
      <w:tr w:rsidR="00F21B72" w14:paraId="128D07A4" w14:textId="77777777" w:rsidTr="00FD0869">
        <w:trPr>
          <w:cnfStyle w:val="100000000000" w:firstRow="1" w:lastRow="0" w:firstColumn="0" w:lastColumn="0" w:oddVBand="0" w:evenVBand="0" w:oddHBand="0" w:evenHBand="0" w:firstRowFirstColumn="0" w:firstRowLastColumn="0" w:lastRowFirstColumn="0" w:lastRowLastColumn="0"/>
          <w:trHeight w:val="317"/>
        </w:trPr>
        <w:tc>
          <w:tcPr>
            <w:tcW w:w="6094" w:type="dxa"/>
          </w:tcPr>
          <w:p w14:paraId="0A2AFCE0" w14:textId="50954AF4" w:rsidR="00F21B72" w:rsidRPr="009F44D6" w:rsidRDefault="00203035" w:rsidP="008758F6">
            <w:pPr>
              <w:spacing w:line="264" w:lineRule="auto"/>
              <w:rPr>
                <w:b w:val="0"/>
                <w:bCs/>
              </w:rPr>
            </w:pPr>
            <w:r>
              <w:rPr>
                <w:bCs/>
              </w:rPr>
              <w:t>Fee</w:t>
            </w:r>
          </w:p>
        </w:tc>
        <w:tc>
          <w:tcPr>
            <w:cnfStyle w:val="000100000000" w:firstRow="0" w:lastRow="0" w:firstColumn="0" w:lastColumn="1" w:oddVBand="0" w:evenVBand="0" w:oddHBand="0" w:evenHBand="0" w:firstRowFirstColumn="0" w:firstRowLastColumn="0" w:lastRowFirstColumn="0" w:lastRowLastColumn="0"/>
            <w:tcW w:w="3260" w:type="dxa"/>
          </w:tcPr>
          <w:p w14:paraId="2E33C158" w14:textId="4A43DE39" w:rsidR="00F21B72" w:rsidRPr="009F44D6" w:rsidRDefault="00C44461" w:rsidP="008758F6">
            <w:pPr>
              <w:spacing w:line="264" w:lineRule="auto"/>
              <w:rPr>
                <w:b w:val="0"/>
                <w:bCs/>
              </w:rPr>
            </w:pPr>
            <w:r>
              <w:rPr>
                <w:bCs/>
              </w:rPr>
              <w:t>Maximum d</w:t>
            </w:r>
            <w:r w:rsidR="00203035">
              <w:rPr>
                <w:bCs/>
              </w:rPr>
              <w:t>aily rate</w:t>
            </w:r>
          </w:p>
        </w:tc>
      </w:tr>
      <w:tr w:rsidR="00F21B72" w14:paraId="4DDB614B" w14:textId="77777777" w:rsidTr="00FD0869">
        <w:trPr>
          <w:trHeight w:val="317"/>
        </w:trPr>
        <w:tc>
          <w:tcPr>
            <w:tcW w:w="6094" w:type="dxa"/>
          </w:tcPr>
          <w:p w14:paraId="476ADAAC" w14:textId="7ABE0214" w:rsidR="00F21B72" w:rsidRPr="009F44D6" w:rsidRDefault="00193657" w:rsidP="00FD0869">
            <w:pPr>
              <w:pStyle w:val="TableofAuthorities"/>
            </w:pPr>
            <w:r>
              <w:t>Basic daily fee</w:t>
            </w:r>
          </w:p>
        </w:tc>
        <w:tc>
          <w:tcPr>
            <w:cnfStyle w:val="000100000000" w:firstRow="0" w:lastRow="0" w:firstColumn="0" w:lastColumn="1" w:oddVBand="0" w:evenVBand="0" w:oddHBand="0" w:evenHBand="0" w:firstRowFirstColumn="0" w:firstRowLastColumn="0" w:lastRowFirstColumn="0" w:lastRowLastColumn="0"/>
            <w:tcW w:w="3260" w:type="dxa"/>
          </w:tcPr>
          <w:p w14:paraId="6953C5E2" w14:textId="1E0218EA" w:rsidR="00F21B72" w:rsidRPr="009F44D6" w:rsidRDefault="00C6376A" w:rsidP="00FD0869">
            <w:pPr>
              <w:pStyle w:val="TableofAuthorities"/>
            </w:pPr>
            <w:r>
              <w:t>$66.80</w:t>
            </w:r>
          </w:p>
        </w:tc>
      </w:tr>
      <w:tr w:rsidR="005D619D" w14:paraId="6EF40F7D" w14:textId="77777777" w:rsidTr="00FD0869">
        <w:trPr>
          <w:trHeight w:val="317"/>
        </w:trPr>
        <w:tc>
          <w:tcPr>
            <w:tcW w:w="6094" w:type="dxa"/>
          </w:tcPr>
          <w:p w14:paraId="72FDEDF3" w14:textId="77777777" w:rsidR="005D619D" w:rsidRDefault="005D619D" w:rsidP="00FD0869">
            <w:pPr>
              <w:pStyle w:val="TableofAuthorities"/>
              <w:rPr>
                <w:rFonts w:eastAsia="Times New Roman" w:cs="Arial"/>
                <w:sz w:val="20"/>
                <w:szCs w:val="20"/>
                <w:vertAlign w:val="superscript"/>
                <w:lang w:eastAsia="en-AU"/>
              </w:rPr>
            </w:pPr>
            <w:r>
              <w:t xml:space="preserve">Means tested care fee </w:t>
            </w:r>
            <w:r>
              <w:rPr>
                <w:rFonts w:eastAsia="Times New Roman" w:cs="Arial"/>
                <w:sz w:val="20"/>
                <w:szCs w:val="20"/>
                <w:vertAlign w:val="superscript"/>
                <w:lang w:eastAsia="en-AU"/>
              </w:rPr>
              <w:t>5</w:t>
            </w:r>
          </w:p>
          <w:p w14:paraId="5093A98F" w14:textId="477F5FE4" w:rsidR="008A6CEE" w:rsidRDefault="008A6CEE" w:rsidP="00FD0869">
            <w:pPr>
              <w:pStyle w:val="TableofAuthorities"/>
            </w:pPr>
            <w:r>
              <w:t xml:space="preserve">from </w:t>
            </w:r>
            <w:r w:rsidR="00AB3291">
              <w:t>1 July 2026</w:t>
            </w:r>
          </w:p>
        </w:tc>
        <w:tc>
          <w:tcPr>
            <w:cnfStyle w:val="000100000000" w:firstRow="0" w:lastRow="0" w:firstColumn="0" w:lastColumn="1" w:oddVBand="0" w:evenVBand="0" w:oddHBand="0" w:evenHBand="0" w:firstRowFirstColumn="0" w:firstRowLastColumn="0" w:lastRowFirstColumn="0" w:lastRowLastColumn="0"/>
            <w:tcW w:w="3260" w:type="dxa"/>
          </w:tcPr>
          <w:p w14:paraId="4BDCC165" w14:textId="27B1DFC7" w:rsidR="00AB3291" w:rsidRPr="009F44D6" w:rsidRDefault="00AB3291" w:rsidP="00FD0869">
            <w:pPr>
              <w:pStyle w:val="TableofAuthorities"/>
              <w:rPr>
                <w:rFonts w:eastAsia="Arial" w:cs="Arial"/>
              </w:rPr>
            </w:pPr>
            <w:r>
              <w:rPr>
                <w:rFonts w:eastAsia="Arial" w:cs="Arial"/>
              </w:rPr>
              <w:t>$372.03</w:t>
            </w:r>
          </w:p>
        </w:tc>
      </w:tr>
    </w:tbl>
    <w:p w14:paraId="6B513A6F" w14:textId="7DA2B7F9" w:rsidR="00172394" w:rsidRPr="00B64789" w:rsidRDefault="00395AC1" w:rsidP="00B64789">
      <w:pPr>
        <w:pStyle w:val="Footnotes"/>
      </w:pPr>
      <w:r w:rsidRPr="00B64789">
        <w:t>5</w:t>
      </w:r>
      <w:r w:rsidR="00F147AF" w:rsidRPr="00B64789">
        <w:t xml:space="preserve"> </w:t>
      </w:r>
      <w:r w:rsidR="00A85D91" w:rsidRPr="00B64789">
        <w:t>Services Australia advise</w:t>
      </w:r>
      <w:r w:rsidR="00D35672" w:rsidRPr="00B64789">
        <w:t>s</w:t>
      </w:r>
      <w:r w:rsidR="00A85D91" w:rsidRPr="00B64789">
        <w:t xml:space="preserve"> the </w:t>
      </w:r>
      <w:r w:rsidR="00FB2333" w:rsidRPr="00B64789">
        <w:t xml:space="preserve">fee </w:t>
      </w:r>
      <w:r w:rsidR="003C4B76" w:rsidRPr="00B64789">
        <w:t>amount for each resident.</w:t>
      </w:r>
      <w:r w:rsidR="00A668C6" w:rsidRPr="00B64789">
        <w:t xml:space="preserve"> </w:t>
      </w:r>
    </w:p>
    <w:p w14:paraId="6B22AF05" w14:textId="633A9A51" w:rsidR="00203035" w:rsidRPr="008C6285" w:rsidRDefault="00203035" w:rsidP="008C6285">
      <w:r w:rsidRPr="008C6285">
        <w:rPr>
          <w:rStyle w:val="Strong"/>
        </w:rPr>
        <w:t>Maximum accommodation supplement amount</w:t>
      </w:r>
      <w:r w:rsidRPr="00BC4A9D">
        <w:t xml:space="preserve"> – </w:t>
      </w:r>
      <w:r w:rsidR="001813C1">
        <w:t>$72.30</w:t>
      </w:r>
      <w:r w:rsidRPr="00A61AC7">
        <w:t xml:space="preserve"> per day</w:t>
      </w:r>
    </w:p>
    <w:p w14:paraId="7C36412C" w14:textId="3D9496E0" w:rsidR="00203035" w:rsidRPr="008C6285" w:rsidRDefault="00203035" w:rsidP="00FD0869">
      <w:pPr>
        <w:pStyle w:val="Heading2"/>
        <w:keepNext/>
        <w:pageBreakBefore/>
      </w:pPr>
      <w:r w:rsidRPr="008C6285">
        <w:t>Caps on Means tested care fee</w:t>
      </w:r>
    </w:p>
    <w:tbl>
      <w:tblPr>
        <w:tblStyle w:val="TableGridLight"/>
        <w:tblW w:w="9356" w:type="dxa"/>
        <w:tblLook w:val="05A0" w:firstRow="1" w:lastRow="0" w:firstColumn="1" w:lastColumn="1" w:noHBand="0" w:noVBand="1"/>
        <w:tblDescription w:val="This table list the caps on means tested care fees for Residential care"/>
      </w:tblPr>
      <w:tblGrid>
        <w:gridCol w:w="6096"/>
        <w:gridCol w:w="3260"/>
      </w:tblGrid>
      <w:tr w:rsidR="00B40D01" w14:paraId="469B73E5" w14:textId="77777777" w:rsidTr="00FD0869">
        <w:trPr>
          <w:cnfStyle w:val="100000000000" w:firstRow="1" w:lastRow="0" w:firstColumn="0" w:lastColumn="0" w:oddVBand="0" w:evenVBand="0" w:oddHBand="0" w:evenHBand="0" w:firstRowFirstColumn="0" w:firstRowLastColumn="0" w:lastRowFirstColumn="0" w:lastRowLastColumn="0"/>
          <w:trHeight w:val="317"/>
          <w:tblHeader/>
        </w:trPr>
        <w:tc>
          <w:tcPr>
            <w:tcW w:w="6096" w:type="dxa"/>
            <w:hideMark/>
          </w:tcPr>
          <w:p w14:paraId="486F3E8D" w14:textId="77777777" w:rsidR="00203035" w:rsidRDefault="00203035" w:rsidP="008758F6">
            <w:pPr>
              <w:spacing w:line="264" w:lineRule="auto"/>
              <w:rPr>
                <w:b w:val="0"/>
                <w:bCs/>
              </w:rPr>
            </w:pPr>
            <w:r>
              <w:rPr>
                <w:bCs/>
              </w:rPr>
              <w:t>Means tested care fee caps</w:t>
            </w:r>
          </w:p>
        </w:tc>
        <w:tc>
          <w:tcPr>
            <w:cnfStyle w:val="000100000000" w:firstRow="0" w:lastRow="0" w:firstColumn="0" w:lastColumn="1" w:oddVBand="0" w:evenVBand="0" w:oddHBand="0" w:evenHBand="0" w:firstRowFirstColumn="0" w:firstRowLastColumn="0" w:lastRowFirstColumn="0" w:lastRowLastColumn="0"/>
            <w:tcW w:w="3260" w:type="dxa"/>
            <w:hideMark/>
          </w:tcPr>
          <w:p w14:paraId="6EBF93F1" w14:textId="77777777" w:rsidR="00203035" w:rsidRDefault="00203035" w:rsidP="008758F6">
            <w:pPr>
              <w:spacing w:line="264" w:lineRule="auto"/>
              <w:rPr>
                <w:b w:val="0"/>
                <w:bCs/>
              </w:rPr>
            </w:pPr>
            <w:r>
              <w:rPr>
                <w:bCs/>
              </w:rPr>
              <w:t>Rate</w:t>
            </w:r>
          </w:p>
        </w:tc>
      </w:tr>
      <w:tr w:rsidR="007132EA" w14:paraId="247AF188" w14:textId="77777777" w:rsidTr="00FD0869">
        <w:trPr>
          <w:trHeight w:val="315"/>
        </w:trPr>
        <w:tc>
          <w:tcPr>
            <w:tcW w:w="6096" w:type="dxa"/>
            <w:noWrap/>
          </w:tcPr>
          <w:p w14:paraId="54B9EF08" w14:textId="77777777" w:rsidR="00203035" w:rsidRPr="000822C0" w:rsidRDefault="00203035" w:rsidP="00FD0869">
            <w:pPr>
              <w:pStyle w:val="TableofAuthorities"/>
            </w:pPr>
            <w:r w:rsidRPr="000822C0">
              <w:t xml:space="preserve">Lifetime </w:t>
            </w:r>
            <w:r>
              <w:t>c</w:t>
            </w:r>
            <w:r w:rsidRPr="000822C0">
              <w:t>ap</w:t>
            </w:r>
          </w:p>
        </w:tc>
        <w:tc>
          <w:tcPr>
            <w:cnfStyle w:val="000100000000" w:firstRow="0" w:lastRow="0" w:firstColumn="0" w:lastColumn="1" w:oddVBand="0" w:evenVBand="0" w:oddHBand="0" w:evenHBand="0" w:firstRowFirstColumn="0" w:firstRowLastColumn="0" w:lastRowFirstColumn="0" w:lastRowLastColumn="0"/>
            <w:tcW w:w="3260" w:type="dxa"/>
            <w:noWrap/>
          </w:tcPr>
          <w:p w14:paraId="7C13F3BF" w14:textId="3F13097C" w:rsidR="00203035" w:rsidRDefault="003C62A2" w:rsidP="00FD0869">
            <w:pPr>
              <w:pStyle w:val="TableofAuthorities"/>
            </w:pPr>
            <w:r>
              <w:t>$86,185.23</w:t>
            </w:r>
          </w:p>
        </w:tc>
      </w:tr>
      <w:tr w:rsidR="007132EA" w14:paraId="02FADC0C" w14:textId="77777777" w:rsidTr="00FD0869">
        <w:trPr>
          <w:trHeight w:val="315"/>
        </w:trPr>
        <w:tc>
          <w:tcPr>
            <w:tcW w:w="6096" w:type="dxa"/>
            <w:noWrap/>
          </w:tcPr>
          <w:p w14:paraId="1B90ADB9" w14:textId="77777777" w:rsidR="00203035" w:rsidRPr="000822C0" w:rsidRDefault="00203035" w:rsidP="00FD0869">
            <w:pPr>
              <w:pStyle w:val="TableofAuthorities"/>
            </w:pPr>
            <w:r w:rsidRPr="000822C0">
              <w:t xml:space="preserve">Annual </w:t>
            </w:r>
            <w:r>
              <w:t>c</w:t>
            </w:r>
            <w:r w:rsidRPr="000822C0">
              <w:t>ap</w:t>
            </w:r>
          </w:p>
        </w:tc>
        <w:tc>
          <w:tcPr>
            <w:cnfStyle w:val="000100000000" w:firstRow="0" w:lastRow="0" w:firstColumn="0" w:lastColumn="1" w:oddVBand="0" w:evenVBand="0" w:oddHBand="0" w:evenHBand="0" w:firstRowFirstColumn="0" w:firstRowLastColumn="0" w:lastRowFirstColumn="0" w:lastRowLastColumn="0"/>
            <w:tcW w:w="3260" w:type="dxa"/>
            <w:noWrap/>
          </w:tcPr>
          <w:p w14:paraId="18655858" w14:textId="67915BC1" w:rsidR="00203035" w:rsidRPr="0072017A" w:rsidRDefault="003C62A2" w:rsidP="00FD0869">
            <w:pPr>
              <w:pStyle w:val="TableofAuthorities"/>
            </w:pPr>
            <w:r>
              <w:t>$35,910.43</w:t>
            </w:r>
          </w:p>
        </w:tc>
      </w:tr>
    </w:tbl>
    <w:p w14:paraId="74304D30" w14:textId="693DC2D0" w:rsidR="00F21B72" w:rsidRPr="00D33EA3" w:rsidRDefault="00F21B72" w:rsidP="00FD28BD">
      <w:pPr>
        <w:pStyle w:val="Heading2"/>
      </w:pPr>
      <w:r>
        <w:t>I</w:t>
      </w:r>
      <w:r w:rsidRPr="00D33EA3">
        <w:t xml:space="preserve">ncome </w:t>
      </w:r>
      <w:r w:rsidR="004135A3">
        <w:t>thresholds</w:t>
      </w:r>
      <w:r w:rsidR="00C63870">
        <w:t xml:space="preserve"> for residential care means assessment</w:t>
      </w:r>
    </w:p>
    <w:tbl>
      <w:tblPr>
        <w:tblStyle w:val="TableGridLight"/>
        <w:tblW w:w="9351" w:type="dxa"/>
        <w:tblLook w:val="05A0" w:firstRow="1" w:lastRow="0" w:firstColumn="1" w:lastColumn="1" w:noHBand="0" w:noVBand="1"/>
      </w:tblPr>
      <w:tblGrid>
        <w:gridCol w:w="3118"/>
        <w:gridCol w:w="2264"/>
        <w:gridCol w:w="3969"/>
      </w:tblGrid>
      <w:tr w:rsidR="001C74FD" w:rsidRPr="005A0262" w14:paraId="1A9D849C" w14:textId="77777777" w:rsidTr="00FD0869">
        <w:trPr>
          <w:cnfStyle w:val="100000000000" w:firstRow="1" w:lastRow="0" w:firstColumn="0" w:lastColumn="0" w:oddVBand="0" w:evenVBand="0" w:oddHBand="0" w:evenHBand="0" w:firstRowFirstColumn="0" w:firstRowLastColumn="0" w:lastRowFirstColumn="0" w:lastRowLastColumn="0"/>
          <w:trHeight w:val="300"/>
          <w:tblHeader/>
        </w:trPr>
        <w:tc>
          <w:tcPr>
            <w:tcW w:w="3118" w:type="dxa"/>
          </w:tcPr>
          <w:p w14:paraId="63607331" w14:textId="77777777" w:rsidR="008B494E" w:rsidRPr="3EF88BD5" w:rsidRDefault="008B494E" w:rsidP="00FD0869">
            <w:pPr>
              <w:pStyle w:val="TableofAuthorities"/>
              <w:rPr>
                <w:b w:val="0"/>
              </w:rPr>
            </w:pPr>
            <w:r w:rsidRPr="005A0262">
              <w:t>Income threshold</w:t>
            </w:r>
          </w:p>
        </w:tc>
        <w:tc>
          <w:tcPr>
            <w:tcW w:w="2264" w:type="dxa"/>
          </w:tcPr>
          <w:p w14:paraId="06301365" w14:textId="10AA938C" w:rsidR="008B494E" w:rsidRPr="005A0262" w:rsidRDefault="008B494E" w:rsidP="00FD0869">
            <w:pPr>
              <w:pStyle w:val="TableofAuthorities"/>
              <w:rPr>
                <w:b w:val="0"/>
              </w:rPr>
            </w:pPr>
            <w:r w:rsidRPr="3EF88BD5">
              <w:t xml:space="preserve">Rate </w:t>
            </w:r>
            <w:r w:rsidRPr="00B82D1E">
              <w:t>single person</w:t>
            </w:r>
          </w:p>
        </w:tc>
        <w:tc>
          <w:tcPr>
            <w:cnfStyle w:val="000100000000" w:firstRow="0" w:lastRow="0" w:firstColumn="0" w:lastColumn="1" w:oddVBand="0" w:evenVBand="0" w:oddHBand="0" w:evenHBand="0" w:firstRowFirstColumn="0" w:firstRowLastColumn="0" w:lastRowFirstColumn="0" w:lastRowLastColumn="0"/>
            <w:tcW w:w="3969" w:type="dxa"/>
          </w:tcPr>
          <w:p w14:paraId="7D64AF14" w14:textId="7AEB2930" w:rsidR="008B494E" w:rsidRPr="005A0262" w:rsidRDefault="008B494E" w:rsidP="00FD0869">
            <w:pPr>
              <w:pStyle w:val="TableofAuthorities"/>
              <w:rPr>
                <w:b w:val="0"/>
              </w:rPr>
            </w:pPr>
            <w:r w:rsidRPr="3EF88BD5">
              <w:t xml:space="preserve">Rate </w:t>
            </w:r>
            <w:r w:rsidRPr="00B82D1E">
              <w:t>couple, illness separated</w:t>
            </w:r>
            <w:r w:rsidR="00630A24">
              <w:t xml:space="preserve"> (single rate</w:t>
            </w:r>
            <w:r w:rsidRPr="00B82D1E">
              <w:t>)</w:t>
            </w:r>
          </w:p>
        </w:tc>
      </w:tr>
      <w:tr w:rsidR="001C74FD" w:rsidRPr="00C51B81" w14:paraId="484427E2" w14:textId="77777777" w:rsidTr="00FD0869">
        <w:trPr>
          <w:trHeight w:val="300"/>
        </w:trPr>
        <w:tc>
          <w:tcPr>
            <w:tcW w:w="3118" w:type="dxa"/>
          </w:tcPr>
          <w:p w14:paraId="27F50F58" w14:textId="77777777" w:rsidR="008B494E" w:rsidRPr="005A0262" w:rsidRDefault="008B494E" w:rsidP="00FD0869">
            <w:pPr>
              <w:pStyle w:val="TableofAuthorities"/>
            </w:pPr>
            <w:r w:rsidRPr="005A0262">
              <w:t xml:space="preserve">Income free </w:t>
            </w:r>
            <w:r>
              <w:t>area</w:t>
            </w:r>
          </w:p>
        </w:tc>
        <w:tc>
          <w:tcPr>
            <w:tcW w:w="2264" w:type="dxa"/>
          </w:tcPr>
          <w:p w14:paraId="7F5A5F0F" w14:textId="3E4C2FEB" w:rsidR="008B494E" w:rsidRPr="00C51B81" w:rsidRDefault="006E7613" w:rsidP="00FD0869">
            <w:pPr>
              <w:pStyle w:val="TableofAuthorities"/>
            </w:pPr>
            <w:r>
              <w:t>$35,521.20</w:t>
            </w:r>
          </w:p>
        </w:tc>
        <w:tc>
          <w:tcPr>
            <w:cnfStyle w:val="000100000000" w:firstRow="0" w:lastRow="0" w:firstColumn="0" w:lastColumn="1" w:oddVBand="0" w:evenVBand="0" w:oddHBand="0" w:evenHBand="0" w:firstRowFirstColumn="0" w:firstRowLastColumn="0" w:lastRowFirstColumn="0" w:lastRowLastColumn="0"/>
            <w:tcW w:w="3969" w:type="dxa"/>
          </w:tcPr>
          <w:p w14:paraId="48FDB637" w14:textId="0BD72EEE" w:rsidR="008B494E" w:rsidRPr="00C51B81" w:rsidRDefault="006E7613" w:rsidP="00FD0869">
            <w:pPr>
              <w:pStyle w:val="TableofAuthorities"/>
            </w:pPr>
            <w:r>
              <w:t>$34,793.20</w:t>
            </w:r>
          </w:p>
        </w:tc>
      </w:tr>
    </w:tbl>
    <w:p w14:paraId="73C055DE" w14:textId="5CC00081" w:rsidR="00F21B72" w:rsidRPr="00D33EA3" w:rsidRDefault="00F21B72" w:rsidP="00FD28BD">
      <w:pPr>
        <w:pStyle w:val="Heading2"/>
      </w:pPr>
      <w:r>
        <w:t>A</w:t>
      </w:r>
      <w:r w:rsidRPr="00D33EA3">
        <w:t xml:space="preserve">sset thresholds </w:t>
      </w:r>
      <w:r w:rsidR="00E44D68">
        <w:t>for residential care means assessment</w:t>
      </w:r>
    </w:p>
    <w:tbl>
      <w:tblPr>
        <w:tblStyle w:val="TableGridLight"/>
        <w:tblW w:w="9354" w:type="dxa"/>
        <w:tblLook w:val="05A0" w:firstRow="1" w:lastRow="0" w:firstColumn="1" w:lastColumn="1" w:noHBand="0" w:noVBand="1"/>
        <w:tblDescription w:val="This table list the asset thresholds and home exemption cap for Residential care means test"/>
      </w:tblPr>
      <w:tblGrid>
        <w:gridCol w:w="6094"/>
        <w:gridCol w:w="3260"/>
      </w:tblGrid>
      <w:tr w:rsidR="00F21B72" w:rsidRPr="00865275" w14:paraId="6B2AB2D1" w14:textId="77777777" w:rsidTr="00FD0869">
        <w:trPr>
          <w:cnfStyle w:val="100000000000" w:firstRow="1" w:lastRow="0" w:firstColumn="0" w:lastColumn="0" w:oddVBand="0" w:evenVBand="0" w:oddHBand="0" w:evenHBand="0" w:firstRowFirstColumn="0" w:firstRowLastColumn="0" w:lastRowFirstColumn="0" w:lastRowLastColumn="0"/>
          <w:trHeight w:val="317"/>
          <w:tblHeader/>
        </w:trPr>
        <w:tc>
          <w:tcPr>
            <w:tcW w:w="6094" w:type="dxa"/>
          </w:tcPr>
          <w:p w14:paraId="34AB2B65" w14:textId="77777777" w:rsidR="00F21B72" w:rsidRPr="00FD57C2" w:rsidRDefault="00F21B72" w:rsidP="008758F6">
            <w:pPr>
              <w:spacing w:line="264" w:lineRule="auto"/>
              <w:rPr>
                <w:b w:val="0"/>
                <w:bCs/>
              </w:rPr>
            </w:pPr>
            <w:r w:rsidRPr="00FD57C2">
              <w:rPr>
                <w:bCs/>
              </w:rPr>
              <w:t xml:space="preserve">Asset </w:t>
            </w:r>
            <w:r>
              <w:rPr>
                <w:bCs/>
              </w:rPr>
              <w:t>t</w:t>
            </w:r>
            <w:r w:rsidRPr="00FD57C2">
              <w:rPr>
                <w:bCs/>
              </w:rPr>
              <w:t>hreshold</w:t>
            </w:r>
          </w:p>
        </w:tc>
        <w:tc>
          <w:tcPr>
            <w:cnfStyle w:val="000100000000" w:firstRow="0" w:lastRow="0" w:firstColumn="0" w:lastColumn="1" w:oddVBand="0" w:evenVBand="0" w:oddHBand="0" w:evenHBand="0" w:firstRowFirstColumn="0" w:firstRowLastColumn="0" w:lastRowFirstColumn="0" w:lastRowLastColumn="0"/>
            <w:tcW w:w="3260" w:type="dxa"/>
          </w:tcPr>
          <w:p w14:paraId="25ACA460" w14:textId="77777777" w:rsidR="00F21B72" w:rsidRPr="00FD57C2" w:rsidRDefault="00F21B72" w:rsidP="008758F6">
            <w:pPr>
              <w:spacing w:line="264" w:lineRule="auto"/>
              <w:rPr>
                <w:b w:val="0"/>
                <w:bCs/>
              </w:rPr>
            </w:pPr>
            <w:r>
              <w:rPr>
                <w:bCs/>
              </w:rPr>
              <w:t>Rate</w:t>
            </w:r>
          </w:p>
        </w:tc>
      </w:tr>
      <w:tr w:rsidR="00F21B72" w:rsidRPr="00865275" w14:paraId="57F92624" w14:textId="77777777" w:rsidTr="00FD0869">
        <w:trPr>
          <w:trHeight w:val="317"/>
        </w:trPr>
        <w:tc>
          <w:tcPr>
            <w:tcW w:w="6094" w:type="dxa"/>
            <w:hideMark/>
          </w:tcPr>
          <w:p w14:paraId="601AE1C0" w14:textId="45E10095" w:rsidR="00F21B72" w:rsidRDefault="00F21B72" w:rsidP="00FD0869">
            <w:pPr>
              <w:pStyle w:val="TableofAuthorities"/>
            </w:pPr>
            <w:r>
              <w:t xml:space="preserve">Asset free </w:t>
            </w:r>
            <w:r w:rsidR="00E44D68">
              <w:t>area</w:t>
            </w:r>
            <w:r>
              <w:t xml:space="preserve"> </w:t>
            </w:r>
          </w:p>
        </w:tc>
        <w:tc>
          <w:tcPr>
            <w:cnfStyle w:val="000100000000" w:firstRow="0" w:lastRow="0" w:firstColumn="0" w:lastColumn="1" w:oddVBand="0" w:evenVBand="0" w:oddHBand="0" w:evenHBand="0" w:firstRowFirstColumn="0" w:firstRowLastColumn="0" w:lastRowFirstColumn="0" w:lastRowLastColumn="0"/>
            <w:tcW w:w="3260" w:type="dxa"/>
            <w:hideMark/>
          </w:tcPr>
          <w:p w14:paraId="02537D43" w14:textId="69D2D2DB" w:rsidR="00F21B72" w:rsidRPr="00865275" w:rsidRDefault="00915583" w:rsidP="00FD0869">
            <w:pPr>
              <w:pStyle w:val="TableofAuthorities"/>
              <w:rPr>
                <w:rFonts w:cs="Arial"/>
                <w:color w:val="000000"/>
              </w:rPr>
            </w:pPr>
            <w:r>
              <w:t>$64,500</w:t>
            </w:r>
            <w:r w:rsidR="005657B4">
              <w:t>.00</w:t>
            </w:r>
          </w:p>
        </w:tc>
      </w:tr>
      <w:tr w:rsidR="00F21B72" w:rsidRPr="00865275" w14:paraId="6464EC27" w14:textId="77777777" w:rsidTr="00FD0869">
        <w:trPr>
          <w:trHeight w:val="317"/>
        </w:trPr>
        <w:tc>
          <w:tcPr>
            <w:tcW w:w="6094" w:type="dxa"/>
            <w:hideMark/>
          </w:tcPr>
          <w:p w14:paraId="0C3912C4" w14:textId="77777777" w:rsidR="00F21B72" w:rsidRDefault="00F21B72" w:rsidP="00FD0869">
            <w:pPr>
              <w:pStyle w:val="TableofAuthorities"/>
            </w:pPr>
            <w:r>
              <w:t xml:space="preserve">First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0491B1F6" w14:textId="57F000B6" w:rsidR="00F21B72" w:rsidRPr="00865275" w:rsidRDefault="00915583" w:rsidP="00FD0869">
            <w:pPr>
              <w:pStyle w:val="TableofAuthorities"/>
            </w:pPr>
            <w:r>
              <w:t>$214,884</w:t>
            </w:r>
            <w:r w:rsidR="005657B4">
              <w:t>.00</w:t>
            </w:r>
          </w:p>
        </w:tc>
      </w:tr>
      <w:tr w:rsidR="00F21B72" w:rsidRPr="00865275" w14:paraId="086E278D" w14:textId="77777777" w:rsidTr="00FD0869">
        <w:trPr>
          <w:trHeight w:val="317"/>
        </w:trPr>
        <w:tc>
          <w:tcPr>
            <w:tcW w:w="6094" w:type="dxa"/>
            <w:hideMark/>
          </w:tcPr>
          <w:p w14:paraId="0EC48071" w14:textId="77777777" w:rsidR="00F21B72" w:rsidRDefault="00F21B72" w:rsidP="00FD0869">
            <w:pPr>
              <w:pStyle w:val="TableofAuthorities"/>
            </w:pPr>
            <w:r>
              <w:t xml:space="preserve">Second asset threshold </w:t>
            </w:r>
          </w:p>
        </w:tc>
        <w:tc>
          <w:tcPr>
            <w:cnfStyle w:val="000100000000" w:firstRow="0" w:lastRow="0" w:firstColumn="0" w:lastColumn="1" w:oddVBand="0" w:evenVBand="0" w:oddHBand="0" w:evenHBand="0" w:firstRowFirstColumn="0" w:firstRowLastColumn="0" w:lastRowFirstColumn="0" w:lastRowLastColumn="0"/>
            <w:tcW w:w="3260" w:type="dxa"/>
            <w:hideMark/>
          </w:tcPr>
          <w:p w14:paraId="23803496" w14:textId="2D582833" w:rsidR="00F21B72" w:rsidRPr="00865275" w:rsidRDefault="00AF141C" w:rsidP="00FD0869">
            <w:pPr>
              <w:pStyle w:val="TableofAuthorities"/>
              <w:rPr>
                <w:rFonts w:cs="Arial"/>
                <w:color w:val="000000"/>
              </w:rPr>
            </w:pPr>
            <w:r>
              <w:t>$515,652</w:t>
            </w:r>
            <w:r w:rsidR="005657B4">
              <w:t>.00</w:t>
            </w:r>
          </w:p>
        </w:tc>
      </w:tr>
      <w:tr w:rsidR="00F21B72" w:rsidRPr="00865275" w14:paraId="5A5C75F2" w14:textId="77777777" w:rsidTr="00FD0869">
        <w:trPr>
          <w:trHeight w:val="317"/>
        </w:trPr>
        <w:tc>
          <w:tcPr>
            <w:tcW w:w="6094" w:type="dxa"/>
          </w:tcPr>
          <w:p w14:paraId="3F9C3F32" w14:textId="77777777" w:rsidR="00F21B72" w:rsidRDefault="00F21B72" w:rsidP="00FD0869">
            <w:pPr>
              <w:pStyle w:val="TableofAuthorities"/>
              <w:rPr>
                <w:bCs/>
              </w:rPr>
            </w:pPr>
            <w:r>
              <w:rPr>
                <w:b/>
                <w:bCs/>
              </w:rPr>
              <w:t xml:space="preserve">Home exemption cap </w:t>
            </w:r>
          </w:p>
          <w:p w14:paraId="3B5E0C70" w14:textId="0A5633FE" w:rsidR="00243BFE" w:rsidRDefault="00243BFE" w:rsidP="00FD0869">
            <w:pPr>
              <w:pStyle w:val="TableofAuthorities"/>
            </w:pPr>
            <w:r>
              <w:rPr>
                <w:bCs/>
                <w:sz w:val="20"/>
                <w:szCs w:val="20"/>
              </w:rPr>
              <w:t>A</w:t>
            </w:r>
            <w:r w:rsidRPr="000A1361">
              <w:rPr>
                <w:bCs/>
                <w:sz w:val="20"/>
                <w:szCs w:val="20"/>
              </w:rPr>
              <w:t>pplies separately to both members of a couple</w:t>
            </w:r>
            <w:r>
              <w:rPr>
                <w:bCs/>
                <w:sz w:val="20"/>
                <w:szCs w:val="20"/>
              </w:rPr>
              <w:t xml:space="preserve">. </w:t>
            </w:r>
            <w:r w:rsidRPr="000A1361">
              <w:rPr>
                <w:bCs/>
                <w:sz w:val="20"/>
                <w:szCs w:val="20"/>
              </w:rPr>
              <w:t>T</w:t>
            </w:r>
            <w:r w:rsidRPr="000A1361">
              <w:rPr>
                <w:iCs/>
                <w:sz w:val="20"/>
                <w:szCs w:val="20"/>
              </w:rPr>
              <w:t xml:space="preserve">he net value of the home above this amount is excluded from the </w:t>
            </w:r>
            <w:r w:rsidR="00730541">
              <w:rPr>
                <w:iCs/>
                <w:sz w:val="20"/>
                <w:szCs w:val="20"/>
              </w:rPr>
              <w:t xml:space="preserve">value of the </w:t>
            </w:r>
            <w:r w:rsidRPr="000A1361">
              <w:rPr>
                <w:iCs/>
                <w:sz w:val="20"/>
                <w:szCs w:val="20"/>
              </w:rPr>
              <w:t>resident’s assets.</w:t>
            </w:r>
          </w:p>
        </w:tc>
        <w:tc>
          <w:tcPr>
            <w:cnfStyle w:val="000100000000" w:firstRow="0" w:lastRow="0" w:firstColumn="0" w:lastColumn="1" w:oddVBand="0" w:evenVBand="0" w:oddHBand="0" w:evenHBand="0" w:firstRowFirstColumn="0" w:firstRowLastColumn="0" w:lastRowFirstColumn="0" w:lastRowLastColumn="0"/>
            <w:tcW w:w="3260" w:type="dxa"/>
          </w:tcPr>
          <w:p w14:paraId="220FFCA8" w14:textId="2A0AFD74" w:rsidR="00F21B72" w:rsidRPr="00BC23EF" w:rsidRDefault="00AF2770" w:rsidP="00FD0869">
            <w:pPr>
              <w:pStyle w:val="TableofAuthorities"/>
            </w:pPr>
            <w:r>
              <w:t>$214,884</w:t>
            </w:r>
            <w:r w:rsidR="005657B4">
              <w:t>.00</w:t>
            </w:r>
          </w:p>
        </w:tc>
      </w:tr>
    </w:tbl>
    <w:p w14:paraId="7F2BE4A8" w14:textId="7BD2A353" w:rsidR="00FD2C49" w:rsidRPr="00A07F47" w:rsidRDefault="00FD2C49" w:rsidP="00A07F47">
      <w:pPr>
        <w:pStyle w:val="Heading2"/>
      </w:pPr>
      <w:r w:rsidRPr="00D33EA3">
        <w:t xml:space="preserve">Thresholds for </w:t>
      </w:r>
      <w:r>
        <w:t>r</w:t>
      </w:r>
      <w:r w:rsidRPr="00D33EA3">
        <w:t xml:space="preserve">efundable </w:t>
      </w:r>
      <w:r>
        <w:t>d</w:t>
      </w:r>
      <w:r w:rsidRPr="00D33EA3">
        <w:t>eposits</w:t>
      </w:r>
    </w:p>
    <w:tbl>
      <w:tblPr>
        <w:tblStyle w:val="TableGridLight"/>
        <w:tblW w:w="9356" w:type="dxa"/>
        <w:tblLook w:val="05A0" w:firstRow="1" w:lastRow="0" w:firstColumn="1" w:lastColumn="1" w:noHBand="0" w:noVBand="1"/>
        <w:tblDescription w:val="This table list the Thresholds for Refundable Deposits and Daily Payments"/>
      </w:tblPr>
      <w:tblGrid>
        <w:gridCol w:w="6096"/>
        <w:gridCol w:w="3260"/>
      </w:tblGrid>
      <w:tr w:rsidR="00B40D01" w:rsidRPr="00834DED" w14:paraId="1BB319A1" w14:textId="77777777" w:rsidTr="00FD28BD">
        <w:trPr>
          <w:cnfStyle w:val="100000000000" w:firstRow="1" w:lastRow="0" w:firstColumn="0" w:lastColumn="0" w:oddVBand="0" w:evenVBand="0" w:oddHBand="0" w:evenHBand="0" w:firstRowFirstColumn="0" w:firstRowLastColumn="0" w:lastRowFirstColumn="0" w:lastRowLastColumn="0"/>
          <w:trHeight w:val="315"/>
          <w:tblHeader/>
        </w:trPr>
        <w:tc>
          <w:tcPr>
            <w:tcW w:w="6096" w:type="dxa"/>
            <w:hideMark/>
          </w:tcPr>
          <w:p w14:paraId="51EFF2FF" w14:textId="77777777" w:rsidR="00FD2C49" w:rsidRPr="00865275" w:rsidRDefault="00FD2C49" w:rsidP="008758F6">
            <w:pPr>
              <w:spacing w:line="264" w:lineRule="auto"/>
              <w:rPr>
                <w:b w:val="0"/>
                <w:bCs/>
              </w:rPr>
            </w:pPr>
            <w:r>
              <w:rPr>
                <w:bCs/>
              </w:rPr>
              <w:t>Threshold</w:t>
            </w:r>
          </w:p>
        </w:tc>
        <w:tc>
          <w:tcPr>
            <w:cnfStyle w:val="000100000000" w:firstRow="0" w:lastRow="0" w:firstColumn="0" w:lastColumn="1" w:oddVBand="0" w:evenVBand="0" w:oddHBand="0" w:evenHBand="0" w:firstRowFirstColumn="0" w:firstRowLastColumn="0" w:lastRowFirstColumn="0" w:lastRowLastColumn="0"/>
            <w:tcW w:w="3260" w:type="dxa"/>
            <w:hideMark/>
          </w:tcPr>
          <w:p w14:paraId="7D4A051D" w14:textId="77777777" w:rsidR="00FD2C49" w:rsidRPr="00602A5A" w:rsidRDefault="00FD2C49" w:rsidP="008758F6">
            <w:pPr>
              <w:spacing w:line="264" w:lineRule="auto"/>
              <w:rPr>
                <w:b w:val="0"/>
                <w:bCs/>
                <w:highlight w:val="yellow"/>
              </w:rPr>
            </w:pPr>
            <w:r w:rsidRPr="00602A5A">
              <w:rPr>
                <w:bCs/>
              </w:rPr>
              <w:t>Rate</w:t>
            </w:r>
          </w:p>
        </w:tc>
      </w:tr>
      <w:tr w:rsidR="007132EA" w:rsidRPr="00F823F7" w14:paraId="106F8CAB" w14:textId="77777777" w:rsidTr="00FD28BD">
        <w:trPr>
          <w:trHeight w:val="794"/>
        </w:trPr>
        <w:tc>
          <w:tcPr>
            <w:tcW w:w="6096" w:type="dxa"/>
            <w:hideMark/>
          </w:tcPr>
          <w:p w14:paraId="40EB0523" w14:textId="77777777" w:rsidR="00FD2C49" w:rsidRPr="00FD28BD" w:rsidRDefault="00FD2C49" w:rsidP="00FD28BD">
            <w:pPr>
              <w:pStyle w:val="TableofAuthorities"/>
              <w:rPr>
                <w:rStyle w:val="Strong"/>
              </w:rPr>
            </w:pPr>
            <w:r w:rsidRPr="00FD28BD">
              <w:rPr>
                <w:rStyle w:val="Strong"/>
              </w:rPr>
              <w:t>Minimum permissible asset level</w:t>
            </w:r>
          </w:p>
          <w:p w14:paraId="1330ECC7" w14:textId="77777777" w:rsidR="00FD2C49" w:rsidRPr="007E076C" w:rsidRDefault="00FD2C49" w:rsidP="00FD28BD">
            <w:pPr>
              <w:pStyle w:val="TableofAuthorities"/>
            </w:pPr>
            <w:r w:rsidRPr="007E076C">
              <w:t xml:space="preserve">the minimum assets a resident must be left with if they pay at least part of their accommodation costs by refundable deposit </w:t>
            </w:r>
          </w:p>
        </w:tc>
        <w:tc>
          <w:tcPr>
            <w:cnfStyle w:val="000100000000" w:firstRow="0" w:lastRow="0" w:firstColumn="0" w:lastColumn="1" w:oddVBand="0" w:evenVBand="0" w:oddHBand="0" w:evenHBand="0" w:firstRowFirstColumn="0" w:firstRowLastColumn="0" w:lastRowFirstColumn="0" w:lastRowLastColumn="0"/>
            <w:tcW w:w="3260" w:type="dxa"/>
            <w:hideMark/>
          </w:tcPr>
          <w:p w14:paraId="56F858B2" w14:textId="02AA0537" w:rsidR="00FD2C49" w:rsidRPr="00F823F7" w:rsidRDefault="000107EC" w:rsidP="00FD28BD">
            <w:pPr>
              <w:pStyle w:val="TableofAuthorities"/>
            </w:pPr>
            <w:r>
              <w:t>$64,500</w:t>
            </w:r>
          </w:p>
        </w:tc>
      </w:tr>
      <w:tr w:rsidR="007132EA" w:rsidRPr="00F823F7" w14:paraId="749F7DC0" w14:textId="77777777" w:rsidTr="00FD28BD">
        <w:trPr>
          <w:trHeight w:val="794"/>
        </w:trPr>
        <w:tc>
          <w:tcPr>
            <w:tcW w:w="6096" w:type="dxa"/>
            <w:hideMark/>
          </w:tcPr>
          <w:p w14:paraId="22743418" w14:textId="77777777" w:rsidR="00FD2C49" w:rsidRPr="00FD28BD" w:rsidRDefault="00FD2C49" w:rsidP="00FD28BD">
            <w:pPr>
              <w:pStyle w:val="TableofAuthorities"/>
              <w:rPr>
                <w:rStyle w:val="Strong"/>
              </w:rPr>
            </w:pPr>
            <w:r w:rsidRPr="00FD28BD">
              <w:rPr>
                <w:rStyle w:val="Strong"/>
              </w:rPr>
              <w:t>Maximum refundable accommodation deposit</w:t>
            </w:r>
          </w:p>
          <w:p w14:paraId="5EFF4A7E" w14:textId="77777777" w:rsidR="00FD2C49" w:rsidRPr="00F823F7" w:rsidRDefault="00FD2C49" w:rsidP="00FD28BD">
            <w:pPr>
              <w:pStyle w:val="TableofAuthorities"/>
            </w:pPr>
            <w:r w:rsidRPr="00FE5FAA">
              <w:t xml:space="preserve">the amount that can be charged without prior approval from the </w:t>
            </w:r>
            <w:r>
              <w:t>Independent Health and Aged Care Pricing Authority</w:t>
            </w:r>
            <w:r w:rsidRPr="00F823F7">
              <w:t xml:space="preserve"> </w:t>
            </w:r>
          </w:p>
        </w:tc>
        <w:tc>
          <w:tcPr>
            <w:cnfStyle w:val="000100000000" w:firstRow="0" w:lastRow="0" w:firstColumn="0" w:lastColumn="1" w:oddVBand="0" w:evenVBand="0" w:oddHBand="0" w:evenHBand="0" w:firstRowFirstColumn="0" w:firstRowLastColumn="0" w:lastRowFirstColumn="0" w:lastRowLastColumn="0"/>
            <w:tcW w:w="3260" w:type="dxa"/>
            <w:hideMark/>
          </w:tcPr>
          <w:p w14:paraId="02D9B272" w14:textId="59300ACB" w:rsidR="00FD2C49" w:rsidRPr="00F823F7" w:rsidRDefault="003033A3" w:rsidP="00FD28BD">
            <w:pPr>
              <w:pStyle w:val="TableofAuthorities"/>
            </w:pPr>
            <w:r>
              <w:t>$789,686</w:t>
            </w:r>
          </w:p>
        </w:tc>
      </w:tr>
    </w:tbl>
    <w:p w14:paraId="703D4613" w14:textId="344F686C" w:rsidR="3E2F0AB6" w:rsidRPr="008C6285" w:rsidRDefault="0076183A" w:rsidP="00A07F47">
      <w:pPr>
        <w:pStyle w:val="Heading1"/>
        <w:pageBreakBefore/>
      </w:pPr>
      <w:r w:rsidRPr="008C6285">
        <w:t>Rates</w:t>
      </w:r>
      <w:r w:rsidR="7CC7F9C5" w:rsidRPr="008C6285">
        <w:t xml:space="preserve"> </w:t>
      </w:r>
      <w:r w:rsidR="7EA0A10F" w:rsidRPr="008C6285">
        <w:t>for pre</w:t>
      </w:r>
      <w:r w:rsidR="00D27770" w:rsidRPr="008C6285">
        <w:t xml:space="preserve"> 1 July</w:t>
      </w:r>
      <w:r w:rsidR="7EA0A10F" w:rsidRPr="008C6285">
        <w:t xml:space="preserve"> 2014 </w:t>
      </w:r>
      <w:r w:rsidR="00CC5EE9" w:rsidRPr="008C6285">
        <w:t>fee</w:t>
      </w:r>
      <w:r w:rsidR="006935D4" w:rsidRPr="008C6285">
        <w:t xml:space="preserve"> </w:t>
      </w:r>
      <w:r w:rsidR="00D6630E" w:rsidRPr="008C6285">
        <w:t>and accommodation</w:t>
      </w:r>
      <w:r w:rsidR="00CC5EE9" w:rsidRPr="008C6285">
        <w:t xml:space="preserve"> arrangements</w:t>
      </w:r>
    </w:p>
    <w:p w14:paraId="3E01D3BE" w14:textId="6845E7E6" w:rsidR="3E2F0AB6" w:rsidRPr="00B64789" w:rsidRDefault="00022112" w:rsidP="00FD28BD">
      <w:pPr>
        <w:pStyle w:val="Heading2"/>
      </w:pPr>
      <w:r>
        <w:t xml:space="preserve">Resident </w:t>
      </w:r>
      <w:r w:rsidR="3E2F0AB6" w:rsidRPr="50A2DFE3">
        <w:t>fee</w:t>
      </w:r>
      <w:r>
        <w:t xml:space="preserve">s </w:t>
      </w:r>
      <w:r w:rsidR="00CD5709">
        <w:t>and contributions</w:t>
      </w:r>
    </w:p>
    <w:tbl>
      <w:tblPr>
        <w:tblStyle w:val="TableGridLight"/>
        <w:tblW w:w="9354" w:type="dxa"/>
        <w:tblLayout w:type="fixed"/>
        <w:tblLook w:val="05A0" w:firstRow="1" w:lastRow="0" w:firstColumn="1" w:lastColumn="1" w:noHBand="0" w:noVBand="1"/>
      </w:tblPr>
      <w:tblGrid>
        <w:gridCol w:w="6094"/>
        <w:gridCol w:w="3260"/>
      </w:tblGrid>
      <w:tr w:rsidR="50A2DFE3" w14:paraId="13C2B08A" w14:textId="77777777" w:rsidTr="00FD28BD">
        <w:trPr>
          <w:cnfStyle w:val="100000000000" w:firstRow="1" w:lastRow="0" w:firstColumn="0" w:lastColumn="0" w:oddVBand="0" w:evenVBand="0" w:oddHBand="0" w:evenHBand="0" w:firstRowFirstColumn="0" w:firstRowLastColumn="0" w:lastRowFirstColumn="0" w:lastRowLastColumn="0"/>
          <w:trHeight w:val="315"/>
          <w:tblHeader/>
        </w:trPr>
        <w:tc>
          <w:tcPr>
            <w:tcW w:w="6094" w:type="dxa"/>
          </w:tcPr>
          <w:p w14:paraId="4A626EFE" w14:textId="41C29462" w:rsidR="50A2DFE3" w:rsidRDefault="008D0FDC" w:rsidP="008758F6">
            <w:pPr>
              <w:spacing w:line="264" w:lineRule="auto"/>
            </w:pPr>
            <w:r>
              <w:rPr>
                <w:bCs/>
              </w:rPr>
              <w:t>Fee</w:t>
            </w:r>
            <w:r w:rsidR="00277376">
              <w:rPr>
                <w:bCs/>
              </w:rPr>
              <w:t xml:space="preserve"> </w:t>
            </w:r>
            <w:r w:rsidR="00395AC1">
              <w:rPr>
                <w:rFonts w:eastAsia="Arial" w:cs="Arial"/>
                <w:szCs w:val="24"/>
                <w:vertAlign w:val="superscript"/>
              </w:rPr>
              <w:t>6</w:t>
            </w:r>
          </w:p>
        </w:tc>
        <w:tc>
          <w:tcPr>
            <w:cnfStyle w:val="000100000000" w:firstRow="0" w:lastRow="0" w:firstColumn="0" w:lastColumn="1" w:oddVBand="0" w:evenVBand="0" w:oddHBand="0" w:evenHBand="0" w:firstRowFirstColumn="0" w:firstRowLastColumn="0" w:lastRowFirstColumn="0" w:lastRowLastColumn="0"/>
            <w:tcW w:w="3260" w:type="dxa"/>
          </w:tcPr>
          <w:p w14:paraId="09B6BA08" w14:textId="3F2BF990" w:rsidR="50A2DFE3" w:rsidRPr="00277376" w:rsidRDefault="0091086D" w:rsidP="008758F6">
            <w:pPr>
              <w:spacing w:line="264" w:lineRule="auto"/>
            </w:pPr>
            <w:r>
              <w:rPr>
                <w:bCs/>
              </w:rPr>
              <w:t>Maximum</w:t>
            </w:r>
            <w:r w:rsidR="00C44461">
              <w:rPr>
                <w:bCs/>
              </w:rPr>
              <w:t xml:space="preserve"> daily</w:t>
            </w:r>
            <w:r w:rsidR="50A2DFE3" w:rsidRPr="50A2DFE3">
              <w:rPr>
                <w:bCs/>
              </w:rPr>
              <w:t xml:space="preserve"> rate</w:t>
            </w:r>
          </w:p>
        </w:tc>
      </w:tr>
      <w:tr w:rsidR="50A2DFE3" w14:paraId="23CFC26D" w14:textId="77777777" w:rsidTr="00FD28BD">
        <w:trPr>
          <w:trHeight w:val="315"/>
        </w:trPr>
        <w:tc>
          <w:tcPr>
            <w:tcW w:w="6094" w:type="dxa"/>
          </w:tcPr>
          <w:p w14:paraId="7EE41652" w14:textId="59A9CAC0" w:rsidR="50A2DFE3" w:rsidRDefault="00E43EE4" w:rsidP="00FD28BD">
            <w:pPr>
              <w:pStyle w:val="TableofAuthorities"/>
            </w:pPr>
            <w:r>
              <w:t>Basic daily fee -</w:t>
            </w:r>
            <w:r w:rsidR="00B75CC0">
              <w:t xml:space="preserve"> </w:t>
            </w:r>
            <w:r>
              <w:t>standard</w:t>
            </w:r>
          </w:p>
        </w:tc>
        <w:tc>
          <w:tcPr>
            <w:cnfStyle w:val="000100000000" w:firstRow="0" w:lastRow="0" w:firstColumn="0" w:lastColumn="1" w:oddVBand="0" w:evenVBand="0" w:oddHBand="0" w:evenHBand="0" w:firstRowFirstColumn="0" w:firstRowLastColumn="0" w:lastRowFirstColumn="0" w:lastRowLastColumn="0"/>
            <w:tcW w:w="3260" w:type="dxa"/>
          </w:tcPr>
          <w:p w14:paraId="788ADC2C" w14:textId="4F96B9B0" w:rsidR="50A2DFE3" w:rsidRDefault="0020682B" w:rsidP="00FD28BD">
            <w:pPr>
              <w:pStyle w:val="TableofAuthorities"/>
            </w:pPr>
            <w:r>
              <w:t>$66.80</w:t>
            </w:r>
          </w:p>
        </w:tc>
      </w:tr>
      <w:tr w:rsidR="00D543AA" w14:paraId="5A8B05D5" w14:textId="77777777" w:rsidTr="00FD28BD">
        <w:trPr>
          <w:trHeight w:val="315"/>
        </w:trPr>
        <w:tc>
          <w:tcPr>
            <w:tcW w:w="6094" w:type="dxa"/>
          </w:tcPr>
          <w:p w14:paraId="48307059" w14:textId="06B72FC1" w:rsidR="00D543AA" w:rsidRDefault="00E43EE4" w:rsidP="00FD28BD">
            <w:pPr>
              <w:pStyle w:val="TableofAuthorities"/>
            </w:pPr>
            <w:r>
              <w:t>Basic daily fee - non-standard</w:t>
            </w:r>
          </w:p>
        </w:tc>
        <w:tc>
          <w:tcPr>
            <w:cnfStyle w:val="000100000000" w:firstRow="0" w:lastRow="0" w:firstColumn="0" w:lastColumn="1" w:oddVBand="0" w:evenVBand="0" w:oddHBand="0" w:evenHBand="0" w:firstRowFirstColumn="0" w:firstRowLastColumn="0" w:lastRowFirstColumn="0" w:lastRowLastColumn="0"/>
            <w:tcW w:w="3260" w:type="dxa"/>
          </w:tcPr>
          <w:p w14:paraId="0552F4EE" w14:textId="645E834F" w:rsidR="00D543AA" w:rsidRDefault="0020682B" w:rsidP="00FD28BD">
            <w:pPr>
              <w:pStyle w:val="TableofAuthorities"/>
            </w:pPr>
            <w:r>
              <w:t>$75.83</w:t>
            </w:r>
          </w:p>
        </w:tc>
      </w:tr>
      <w:tr w:rsidR="00D543AA" w14:paraId="30B16602" w14:textId="77777777" w:rsidTr="00FD28BD">
        <w:trPr>
          <w:trHeight w:val="315"/>
        </w:trPr>
        <w:tc>
          <w:tcPr>
            <w:tcW w:w="6094" w:type="dxa"/>
          </w:tcPr>
          <w:p w14:paraId="10B7E9B6" w14:textId="3CAFBAAF" w:rsidR="00D543AA" w:rsidRDefault="00E43EE4" w:rsidP="00FD28BD">
            <w:pPr>
              <w:pStyle w:val="TableofAuthorities"/>
            </w:pPr>
            <w:r>
              <w:t>Basic daily fee - protected</w:t>
            </w:r>
          </w:p>
        </w:tc>
        <w:tc>
          <w:tcPr>
            <w:cnfStyle w:val="000100000000" w:firstRow="0" w:lastRow="0" w:firstColumn="0" w:lastColumn="1" w:oddVBand="0" w:evenVBand="0" w:oddHBand="0" w:evenHBand="0" w:firstRowFirstColumn="0" w:firstRowLastColumn="0" w:lastRowFirstColumn="0" w:lastRowLastColumn="0"/>
            <w:tcW w:w="3260" w:type="dxa"/>
          </w:tcPr>
          <w:p w14:paraId="2AACE3B1" w14:textId="18E04D89" w:rsidR="00D543AA" w:rsidRDefault="0020682B" w:rsidP="00FD28BD">
            <w:pPr>
              <w:pStyle w:val="TableofAuthorities"/>
            </w:pPr>
            <w:r>
              <w:t>$60.90</w:t>
            </w:r>
          </w:p>
        </w:tc>
      </w:tr>
      <w:tr w:rsidR="00D543AA" w14:paraId="30059D9B" w14:textId="77777777" w:rsidTr="00FD28BD">
        <w:trPr>
          <w:trHeight w:val="315"/>
        </w:trPr>
        <w:tc>
          <w:tcPr>
            <w:tcW w:w="6094" w:type="dxa"/>
          </w:tcPr>
          <w:p w14:paraId="061A022B" w14:textId="6604E69D" w:rsidR="00D543AA" w:rsidRDefault="003F0B74" w:rsidP="00A07F47">
            <w:pPr>
              <w:pStyle w:val="TableofAuthorities"/>
            </w:pPr>
            <w:r>
              <w:t>2012 BDF supplement -</w:t>
            </w:r>
            <w:r w:rsidR="006F48DD">
              <w:t xml:space="preserve"> Basic daily fee standard</w:t>
            </w:r>
          </w:p>
        </w:tc>
        <w:tc>
          <w:tcPr>
            <w:cnfStyle w:val="000100000000" w:firstRow="0" w:lastRow="0" w:firstColumn="0" w:lastColumn="1" w:oddVBand="0" w:evenVBand="0" w:oddHBand="0" w:evenHBand="0" w:firstRowFirstColumn="0" w:firstRowLastColumn="0" w:lastRowFirstColumn="0" w:lastRowLastColumn="0"/>
            <w:tcW w:w="3260" w:type="dxa"/>
          </w:tcPr>
          <w:p w14:paraId="29178B04" w14:textId="700B4075" w:rsidR="00D543AA" w:rsidRDefault="00C13837" w:rsidP="00A07F47">
            <w:pPr>
              <w:pStyle w:val="TableofAuthorities"/>
            </w:pPr>
            <w:r>
              <w:rPr>
                <w:rFonts w:cs="Arial"/>
              </w:rPr>
              <w:t>$66.02</w:t>
            </w:r>
          </w:p>
        </w:tc>
      </w:tr>
      <w:tr w:rsidR="00D543AA" w14:paraId="1D1F00B7" w14:textId="77777777" w:rsidTr="00FD28BD">
        <w:trPr>
          <w:trHeight w:val="315"/>
        </w:trPr>
        <w:tc>
          <w:tcPr>
            <w:tcW w:w="6094" w:type="dxa"/>
          </w:tcPr>
          <w:p w14:paraId="508A7717" w14:textId="3DEE4C38" w:rsidR="00D543AA" w:rsidRDefault="003F0B74" w:rsidP="00A07F47">
            <w:pPr>
              <w:pStyle w:val="TableofAuthorities"/>
            </w:pPr>
            <w:r>
              <w:t xml:space="preserve">2012 BDF supplement - </w:t>
            </w:r>
            <w:r w:rsidR="006F48DD">
              <w:t>Basic daily fee - non-standard</w:t>
            </w:r>
          </w:p>
        </w:tc>
        <w:tc>
          <w:tcPr>
            <w:cnfStyle w:val="000100000000" w:firstRow="0" w:lastRow="0" w:firstColumn="0" w:lastColumn="1" w:oddVBand="0" w:evenVBand="0" w:oddHBand="0" w:evenHBand="0" w:firstRowFirstColumn="0" w:firstRowLastColumn="0" w:lastRowFirstColumn="0" w:lastRowLastColumn="0"/>
            <w:tcW w:w="3260" w:type="dxa"/>
          </w:tcPr>
          <w:p w14:paraId="6B079654" w14:textId="7AB4B17A" w:rsidR="00D543AA" w:rsidRDefault="00C13837" w:rsidP="00A07F47">
            <w:pPr>
              <w:pStyle w:val="TableofAuthorities"/>
            </w:pPr>
            <w:r>
              <w:rPr>
                <w:rFonts w:cs="Arial"/>
              </w:rPr>
              <w:t>$75.05</w:t>
            </w:r>
          </w:p>
        </w:tc>
      </w:tr>
      <w:tr w:rsidR="00D543AA" w14:paraId="70C17B53" w14:textId="77777777" w:rsidTr="00FD28BD">
        <w:trPr>
          <w:trHeight w:val="315"/>
        </w:trPr>
        <w:tc>
          <w:tcPr>
            <w:tcW w:w="6094" w:type="dxa"/>
          </w:tcPr>
          <w:p w14:paraId="7308BD0D" w14:textId="58969232" w:rsidR="00D543AA" w:rsidRDefault="003F0B74" w:rsidP="00A07F47">
            <w:pPr>
              <w:pStyle w:val="TableofAuthorities"/>
            </w:pPr>
            <w:r>
              <w:t xml:space="preserve">2012 BDF supplement - </w:t>
            </w:r>
            <w:r w:rsidR="006F48DD">
              <w:t>Basic daily fee - protected</w:t>
            </w:r>
          </w:p>
        </w:tc>
        <w:tc>
          <w:tcPr>
            <w:cnfStyle w:val="000100000000" w:firstRow="0" w:lastRow="0" w:firstColumn="0" w:lastColumn="1" w:oddVBand="0" w:evenVBand="0" w:oddHBand="0" w:evenHBand="0" w:firstRowFirstColumn="0" w:firstRowLastColumn="0" w:lastRowFirstColumn="0" w:lastRowLastColumn="0"/>
            <w:tcW w:w="3260" w:type="dxa"/>
          </w:tcPr>
          <w:p w14:paraId="3149A165" w14:textId="01098199" w:rsidR="00D543AA" w:rsidRDefault="00C13837" w:rsidP="00A07F47">
            <w:pPr>
              <w:pStyle w:val="TableofAuthorities"/>
            </w:pPr>
            <w:r>
              <w:rPr>
                <w:rFonts w:cs="Arial"/>
              </w:rPr>
              <w:t>$60.12</w:t>
            </w:r>
          </w:p>
        </w:tc>
      </w:tr>
      <w:tr w:rsidR="0063003E" w14:paraId="33AAD25A" w14:textId="77777777" w:rsidTr="00FD28BD">
        <w:trPr>
          <w:trHeight w:val="315"/>
        </w:trPr>
        <w:tc>
          <w:tcPr>
            <w:tcW w:w="6094" w:type="dxa"/>
          </w:tcPr>
          <w:p w14:paraId="01F0D7FB" w14:textId="79F19FE4" w:rsidR="0063003E" w:rsidRDefault="0063003E" w:rsidP="00A07F47">
            <w:pPr>
              <w:pStyle w:val="TableofAuthorities"/>
            </w:pPr>
            <w:r>
              <w:t>Income tested fee</w:t>
            </w:r>
            <w:r w:rsidR="001A7F84">
              <w:t xml:space="preserve"> </w:t>
            </w:r>
            <w:r w:rsidR="00395AC1">
              <w:rPr>
                <w:vertAlign w:val="superscript"/>
              </w:rPr>
              <w:t>7</w:t>
            </w:r>
          </w:p>
        </w:tc>
        <w:tc>
          <w:tcPr>
            <w:cnfStyle w:val="000100000000" w:firstRow="0" w:lastRow="0" w:firstColumn="0" w:lastColumn="1" w:oddVBand="0" w:evenVBand="0" w:oddHBand="0" w:evenHBand="0" w:firstRowFirstColumn="0" w:firstRowLastColumn="0" w:lastRowFirstColumn="0" w:lastRowLastColumn="0"/>
            <w:tcW w:w="3260" w:type="dxa"/>
          </w:tcPr>
          <w:p w14:paraId="0F9A75EE" w14:textId="64BD69D3" w:rsidR="0063003E" w:rsidRDefault="00C13837" w:rsidP="00A07F47">
            <w:pPr>
              <w:pStyle w:val="TableofAuthorities"/>
            </w:pPr>
            <w:r>
              <w:t>$106.10</w:t>
            </w:r>
          </w:p>
        </w:tc>
      </w:tr>
    </w:tbl>
    <w:p w14:paraId="5F013A00" w14:textId="3E39E856" w:rsidR="009A4ADF" w:rsidRPr="00B64789" w:rsidRDefault="00395AC1" w:rsidP="00B64789">
      <w:pPr>
        <w:pStyle w:val="Footnotes"/>
      </w:pPr>
      <w:r w:rsidRPr="00B64789">
        <w:t>6</w:t>
      </w:r>
      <w:r w:rsidR="009A4ADF" w:rsidRPr="00B64789">
        <w:t xml:space="preserve"> </w:t>
      </w:r>
      <w:r w:rsidR="00A342B8" w:rsidRPr="00B64789">
        <w:t>Services Australia advise</w:t>
      </w:r>
      <w:r w:rsidR="00277376" w:rsidRPr="00B64789">
        <w:t>s</w:t>
      </w:r>
      <w:r w:rsidR="00A342B8" w:rsidRPr="00B64789">
        <w:t xml:space="preserve"> residents and providers of the amount of basic daily fee</w:t>
      </w:r>
      <w:r w:rsidR="00D31466" w:rsidRPr="00B64789">
        <w:t xml:space="preserve"> and income tested fee</w:t>
      </w:r>
      <w:r w:rsidR="00A342B8" w:rsidRPr="00B64789">
        <w:t xml:space="preserve"> that applies</w:t>
      </w:r>
      <w:r w:rsidR="009A4ADF" w:rsidRPr="00B64789">
        <w:t>.</w:t>
      </w:r>
    </w:p>
    <w:p w14:paraId="36487D88" w14:textId="4224933A" w:rsidR="1A02243A" w:rsidRPr="00B64789" w:rsidRDefault="1A02243A" w:rsidP="00B64789">
      <w:pPr>
        <w:pStyle w:val="Footnotes"/>
      </w:pPr>
      <w:r w:rsidRPr="00B64789">
        <w:t>Residents who were in a hostel on 30 September 1997 and who are NOT currently at a home t</w:t>
      </w:r>
      <w:r w:rsidR="2BEF2DC1" w:rsidRPr="00B64789">
        <w:t>hat was a nursing home before 1 October 1997 receive a reduction of 80 cents per day to their basic daily fee.</w:t>
      </w:r>
    </w:p>
    <w:p w14:paraId="1E9744D8" w14:textId="5F7C4E95" w:rsidR="00002098" w:rsidRPr="00B64789" w:rsidRDefault="0062556F" w:rsidP="00B64789">
      <w:pPr>
        <w:pStyle w:val="Footnotes"/>
      </w:pPr>
      <w:r w:rsidRPr="00B64789">
        <w:t xml:space="preserve">2012 BDF supplement: </w:t>
      </w:r>
      <w:r w:rsidR="00521D98" w:rsidRPr="00B64789">
        <w:t>The</w:t>
      </w:r>
      <w:r w:rsidR="008F63CF" w:rsidRPr="00B64789">
        <w:t>se</w:t>
      </w:r>
      <w:r w:rsidR="00521D98" w:rsidRPr="00B64789">
        <w:t xml:space="preserve"> rates </w:t>
      </w:r>
      <w:r w:rsidR="00CE35DA" w:rsidRPr="00B64789">
        <w:t xml:space="preserve">apply </w:t>
      </w:r>
      <w:r w:rsidR="001F3F75" w:rsidRPr="00B64789">
        <w:t>for</w:t>
      </w:r>
      <w:r w:rsidR="00D46BB7" w:rsidRPr="00B64789">
        <w:t xml:space="preserve"> residents eligible for the 2012 basic daily fee supplement. This</w:t>
      </w:r>
      <w:r w:rsidR="00002098" w:rsidRPr="00B64789">
        <w:t xml:space="preserve"> supplement is payable to providers </w:t>
      </w:r>
      <w:r w:rsidR="007C00DC" w:rsidRPr="00B64789">
        <w:t>for</w:t>
      </w:r>
      <w:r w:rsidR="00002098" w:rsidRPr="00B64789">
        <w:t xml:space="preserve"> non-pensioners who do not hold a Commonwealth Seniors Health Card and who were in permanent residential care on 30 June 2021. To receive the supplement, providers must notify Services Australia that they will charge eligible residents no more than the</w:t>
      </w:r>
      <w:r w:rsidR="00BB35E4" w:rsidRPr="00B64789">
        <w:t>se</w:t>
      </w:r>
      <w:r w:rsidR="00BA6350" w:rsidRPr="00B64789">
        <w:t xml:space="preserve"> rates</w:t>
      </w:r>
      <w:r w:rsidR="00002098" w:rsidRPr="00B64789">
        <w:t>.</w:t>
      </w:r>
    </w:p>
    <w:p w14:paraId="5DFF7773" w14:textId="53FEA337" w:rsidR="001A7F84" w:rsidRPr="00B64789" w:rsidRDefault="00395AC1" w:rsidP="00B64789">
      <w:pPr>
        <w:pStyle w:val="Footnotes"/>
      </w:pPr>
      <w:r w:rsidRPr="00B64789">
        <w:t>7</w:t>
      </w:r>
      <w:r w:rsidR="001A7F84" w:rsidRPr="00B64789">
        <w:t xml:space="preserve"> Income tested fees are calculated at 5/12th of total assessable income over the income tested fee thresholds per fortnight. Income tested fees are capped at the maximum daily </w:t>
      </w:r>
      <w:r w:rsidR="00221991" w:rsidRPr="00B64789">
        <w:t>rate</w:t>
      </w:r>
      <w:r w:rsidR="001A7F84" w:rsidRPr="00B64789">
        <w:t>.</w:t>
      </w:r>
    </w:p>
    <w:p w14:paraId="4029B0BB" w14:textId="220C11F9" w:rsidR="1300B288" w:rsidRDefault="1300B288" w:rsidP="00FD28BD">
      <w:pPr>
        <w:pStyle w:val="Heading2"/>
        <w:rPr>
          <w:rStyle w:val="BookTitle"/>
          <w:rFonts w:eastAsia="Arial" w:cs="Arial"/>
          <w:b w:val="0"/>
          <w:bCs w:val="0"/>
          <w:i w:val="0"/>
          <w:iCs w:val="0"/>
          <w:smallCaps/>
          <w:szCs w:val="24"/>
        </w:rPr>
      </w:pPr>
      <w:r w:rsidRPr="2651DF85">
        <w:t>I</w:t>
      </w:r>
      <w:r w:rsidR="28637838" w:rsidRPr="2651DF85">
        <w:t>ncome tested fee thresholds</w:t>
      </w:r>
    </w:p>
    <w:tbl>
      <w:tblPr>
        <w:tblStyle w:val="TableGridLight"/>
        <w:tblW w:w="0" w:type="auto"/>
        <w:tblLayout w:type="fixed"/>
        <w:tblLook w:val="04A0" w:firstRow="1" w:lastRow="0" w:firstColumn="1" w:lastColumn="0" w:noHBand="0" w:noVBand="1"/>
      </w:tblPr>
      <w:tblGrid>
        <w:gridCol w:w="3239"/>
        <w:gridCol w:w="2914"/>
        <w:gridCol w:w="3251"/>
      </w:tblGrid>
      <w:tr w:rsidR="2651DF85" w14:paraId="4FDB58AD" w14:textId="77777777" w:rsidTr="00A07F47">
        <w:trPr>
          <w:cnfStyle w:val="100000000000" w:firstRow="1" w:lastRow="0" w:firstColumn="0" w:lastColumn="0" w:oddVBand="0" w:evenVBand="0" w:oddHBand="0" w:evenHBand="0" w:firstRowFirstColumn="0" w:firstRowLastColumn="0" w:lastRowFirstColumn="0" w:lastRowLastColumn="0"/>
          <w:trHeight w:val="315"/>
          <w:tblHeader/>
        </w:trPr>
        <w:tc>
          <w:tcPr>
            <w:tcW w:w="3239" w:type="dxa"/>
            <w:vMerge w:val="restart"/>
          </w:tcPr>
          <w:p w14:paraId="7A5F2560" w14:textId="1EAC49C5" w:rsidR="2651DF85" w:rsidRDefault="2651DF85" w:rsidP="008758F6">
            <w:pPr>
              <w:spacing w:line="264" w:lineRule="auto"/>
            </w:pPr>
            <w:r w:rsidRPr="2651DF85">
              <w:rPr>
                <w:bCs/>
              </w:rPr>
              <w:t>Income tested fee type</w:t>
            </w:r>
          </w:p>
        </w:tc>
        <w:tc>
          <w:tcPr>
            <w:tcW w:w="6165" w:type="dxa"/>
            <w:gridSpan w:val="2"/>
          </w:tcPr>
          <w:p w14:paraId="014F4569" w14:textId="67C789D7" w:rsidR="2651DF85" w:rsidRDefault="2651DF85" w:rsidP="008758F6">
            <w:pPr>
              <w:spacing w:line="264" w:lineRule="auto"/>
              <w:jc w:val="center"/>
            </w:pPr>
            <w:r w:rsidRPr="2651DF85">
              <w:rPr>
                <w:bCs/>
              </w:rPr>
              <w:t>Income tested</w:t>
            </w:r>
            <w:r w:rsidR="0089426A">
              <w:rPr>
                <w:bCs/>
              </w:rPr>
              <w:t xml:space="preserve"> </w:t>
            </w:r>
            <w:r w:rsidRPr="2651DF85">
              <w:rPr>
                <w:bCs/>
              </w:rPr>
              <w:t>fee thresholds (fortnightly)</w:t>
            </w:r>
          </w:p>
        </w:tc>
      </w:tr>
      <w:tr w:rsidR="2651DF85" w14:paraId="47A0FCF0" w14:textId="77777777" w:rsidTr="00A07F47">
        <w:trPr>
          <w:cnfStyle w:val="100000000000" w:firstRow="1" w:lastRow="0" w:firstColumn="0" w:lastColumn="0" w:oddVBand="0" w:evenVBand="0" w:oddHBand="0" w:evenHBand="0" w:firstRowFirstColumn="0" w:firstRowLastColumn="0" w:lastRowFirstColumn="0" w:lastRowLastColumn="0"/>
          <w:trHeight w:val="315"/>
          <w:tblHeader/>
        </w:trPr>
        <w:tc>
          <w:tcPr>
            <w:tcW w:w="3239" w:type="dxa"/>
            <w:vMerge/>
          </w:tcPr>
          <w:p w14:paraId="327B2AAE" w14:textId="77777777" w:rsidR="003369EC" w:rsidRDefault="003369EC" w:rsidP="008758F6">
            <w:pPr>
              <w:spacing w:line="264" w:lineRule="auto"/>
            </w:pPr>
          </w:p>
        </w:tc>
        <w:tc>
          <w:tcPr>
            <w:tcW w:w="2914" w:type="dxa"/>
          </w:tcPr>
          <w:p w14:paraId="3236BB23" w14:textId="23E8FDC9" w:rsidR="2651DF85" w:rsidRDefault="2651DF85" w:rsidP="008758F6">
            <w:pPr>
              <w:spacing w:line="264" w:lineRule="auto"/>
            </w:pPr>
            <w:r>
              <w:t>Single</w:t>
            </w:r>
          </w:p>
        </w:tc>
        <w:tc>
          <w:tcPr>
            <w:tcW w:w="3251" w:type="dxa"/>
          </w:tcPr>
          <w:p w14:paraId="14EFBEC0" w14:textId="44220000" w:rsidR="2651DF85" w:rsidRDefault="2651DF85" w:rsidP="008758F6">
            <w:pPr>
              <w:spacing w:line="264" w:lineRule="auto"/>
            </w:pPr>
            <w:r>
              <w:t>Each member of a couple</w:t>
            </w:r>
          </w:p>
        </w:tc>
      </w:tr>
      <w:tr w:rsidR="00AC66D8" w14:paraId="086A7101" w14:textId="77777777" w:rsidTr="00A07F47">
        <w:trPr>
          <w:trHeight w:val="315"/>
        </w:trPr>
        <w:tc>
          <w:tcPr>
            <w:tcW w:w="3239" w:type="dxa"/>
          </w:tcPr>
          <w:p w14:paraId="6E80DDDE" w14:textId="0F70BB6E" w:rsidR="00AC66D8" w:rsidRDefault="00AC66D8" w:rsidP="00A07F47">
            <w:pPr>
              <w:pStyle w:val="TableofAuthorities"/>
            </w:pPr>
            <w:r>
              <w:t xml:space="preserve">Standard (and </w:t>
            </w:r>
            <w:proofErr w:type="gramStart"/>
            <w:r>
              <w:t>Phased</w:t>
            </w:r>
            <w:proofErr w:type="gramEnd"/>
            <w:r>
              <w:t>)</w:t>
            </w:r>
          </w:p>
        </w:tc>
        <w:tc>
          <w:tcPr>
            <w:tcW w:w="2914" w:type="dxa"/>
          </w:tcPr>
          <w:p w14:paraId="72A100A7" w14:textId="231AFFA4" w:rsidR="00AC66D8" w:rsidRDefault="0088691B" w:rsidP="00A07F47">
            <w:pPr>
              <w:pStyle w:val="TableofAuthorities"/>
            </w:pPr>
            <w:r>
              <w:t>$1,366.20</w:t>
            </w:r>
            <w:r w:rsidR="00AC66D8" w:rsidRPr="00B70B0A">
              <w:t xml:space="preserve"> </w:t>
            </w:r>
          </w:p>
        </w:tc>
        <w:tc>
          <w:tcPr>
            <w:tcW w:w="3251" w:type="dxa"/>
          </w:tcPr>
          <w:p w14:paraId="30C590C7" w14:textId="5DCDEDA6" w:rsidR="00AC66D8" w:rsidRDefault="0088691B" w:rsidP="00A07F47">
            <w:pPr>
              <w:pStyle w:val="TableofAuthorities"/>
            </w:pPr>
            <w:r>
              <w:t>$1,338.20</w:t>
            </w:r>
            <w:r w:rsidR="00AC66D8" w:rsidRPr="00956869">
              <w:t xml:space="preserve"> </w:t>
            </w:r>
          </w:p>
        </w:tc>
      </w:tr>
      <w:tr w:rsidR="00AC66D8" w14:paraId="6FBF4D41" w14:textId="77777777" w:rsidTr="00A07F47">
        <w:trPr>
          <w:trHeight w:val="315"/>
        </w:trPr>
        <w:tc>
          <w:tcPr>
            <w:tcW w:w="3239" w:type="dxa"/>
          </w:tcPr>
          <w:p w14:paraId="653A2A34" w14:textId="78082E7F" w:rsidR="00AC66D8" w:rsidRDefault="00AC66D8" w:rsidP="00A07F47">
            <w:pPr>
              <w:pStyle w:val="TableofAuthorities"/>
            </w:pPr>
            <w:r>
              <w:t>Non-Standard</w:t>
            </w:r>
          </w:p>
        </w:tc>
        <w:tc>
          <w:tcPr>
            <w:tcW w:w="2914" w:type="dxa"/>
          </w:tcPr>
          <w:p w14:paraId="4842F3C3" w14:textId="15F3829F" w:rsidR="00AC66D8" w:rsidRDefault="0088691B" w:rsidP="00A07F47">
            <w:pPr>
              <w:pStyle w:val="TableofAuthorities"/>
            </w:pPr>
            <w:r>
              <w:t>$1,366.20</w:t>
            </w:r>
          </w:p>
        </w:tc>
        <w:tc>
          <w:tcPr>
            <w:tcW w:w="3251" w:type="dxa"/>
          </w:tcPr>
          <w:p w14:paraId="2D749DBB" w14:textId="39E6C79B" w:rsidR="00AC66D8" w:rsidRDefault="0088691B" w:rsidP="00A07F47">
            <w:pPr>
              <w:pStyle w:val="TableofAuthorities"/>
            </w:pPr>
            <w:r>
              <w:t>$1,338.20</w:t>
            </w:r>
          </w:p>
        </w:tc>
      </w:tr>
      <w:tr w:rsidR="002E5D62" w14:paraId="4C059C58" w14:textId="77777777" w:rsidTr="00A07F47">
        <w:trPr>
          <w:trHeight w:val="315"/>
        </w:trPr>
        <w:tc>
          <w:tcPr>
            <w:tcW w:w="3239" w:type="dxa"/>
          </w:tcPr>
          <w:p w14:paraId="55CE6B26" w14:textId="4964DAD0" w:rsidR="002E5D62" w:rsidRDefault="002E5D62" w:rsidP="00A07F47">
            <w:pPr>
              <w:pStyle w:val="TableofAuthorities"/>
            </w:pPr>
            <w:r>
              <w:t>Protected</w:t>
            </w:r>
          </w:p>
        </w:tc>
        <w:tc>
          <w:tcPr>
            <w:tcW w:w="2914" w:type="dxa"/>
          </w:tcPr>
          <w:p w14:paraId="33785B1E" w14:textId="658467D6" w:rsidR="002E5D62" w:rsidRDefault="0088691B" w:rsidP="00A07F47">
            <w:pPr>
              <w:pStyle w:val="TableofAuthorities"/>
            </w:pPr>
            <w:r>
              <w:t>$1,127.80</w:t>
            </w:r>
          </w:p>
        </w:tc>
        <w:tc>
          <w:tcPr>
            <w:tcW w:w="3251" w:type="dxa"/>
          </w:tcPr>
          <w:p w14:paraId="5E612B1E" w14:textId="2390777A" w:rsidR="002E5D62" w:rsidRDefault="0088691B" w:rsidP="00A07F47">
            <w:pPr>
              <w:pStyle w:val="TableofAuthorities"/>
            </w:pPr>
            <w:r>
              <w:t>$1,099.80</w:t>
            </w:r>
            <w:r w:rsidR="002E5D62" w:rsidRPr="00825904">
              <w:t xml:space="preserve"> </w:t>
            </w:r>
          </w:p>
        </w:tc>
      </w:tr>
    </w:tbl>
    <w:p w14:paraId="5FF42D05" w14:textId="52EAA094" w:rsidR="2D2F280F" w:rsidRDefault="2D2F280F" w:rsidP="00FD28BD">
      <w:pPr>
        <w:pStyle w:val="Heading2"/>
      </w:pPr>
      <w:r w:rsidRPr="2651DF85">
        <w:t>Asset cut-off levels for supported resident status</w:t>
      </w:r>
    </w:p>
    <w:tbl>
      <w:tblPr>
        <w:tblStyle w:val="TableGridLight"/>
        <w:tblW w:w="9405" w:type="dxa"/>
        <w:tblLayout w:type="fixed"/>
        <w:tblLook w:val="05A0" w:firstRow="1" w:lastRow="0" w:firstColumn="1" w:lastColumn="1" w:noHBand="0" w:noVBand="1"/>
      </w:tblPr>
      <w:tblGrid>
        <w:gridCol w:w="5802"/>
        <w:gridCol w:w="3603"/>
      </w:tblGrid>
      <w:tr w:rsidR="2651DF85" w14:paraId="7402A46F" w14:textId="77777777" w:rsidTr="00FD28BD">
        <w:trPr>
          <w:cnfStyle w:val="100000000000" w:firstRow="1" w:lastRow="0" w:firstColumn="0" w:lastColumn="0" w:oddVBand="0" w:evenVBand="0" w:oddHBand="0" w:evenHBand="0" w:firstRowFirstColumn="0" w:firstRowLastColumn="0" w:lastRowFirstColumn="0" w:lastRowLastColumn="0"/>
          <w:trHeight w:val="315"/>
          <w:tblHeader/>
        </w:trPr>
        <w:tc>
          <w:tcPr>
            <w:tcW w:w="5802" w:type="dxa"/>
          </w:tcPr>
          <w:p w14:paraId="0027B8D8" w14:textId="39D43C96" w:rsidR="2651DF85" w:rsidRDefault="2651DF85" w:rsidP="008758F6">
            <w:pPr>
              <w:spacing w:line="264" w:lineRule="auto"/>
            </w:pPr>
            <w:r w:rsidRPr="2651DF85">
              <w:rPr>
                <w:bCs/>
              </w:rPr>
              <w:t>Asset cut-off level for</w:t>
            </w:r>
            <w:r w:rsidR="00D74F99">
              <w:rPr>
                <w:bCs/>
              </w:rPr>
              <w:t xml:space="preserve"> accommodation supplement</w:t>
            </w:r>
            <w:r w:rsidRPr="2651DF85">
              <w:rPr>
                <w:bCs/>
              </w:rPr>
              <w:t>:</w:t>
            </w:r>
          </w:p>
        </w:tc>
        <w:tc>
          <w:tcPr>
            <w:cnfStyle w:val="000100000000" w:firstRow="0" w:lastRow="0" w:firstColumn="0" w:lastColumn="1" w:oddVBand="0" w:evenVBand="0" w:oddHBand="0" w:evenHBand="0" w:firstRowFirstColumn="0" w:firstRowLastColumn="0" w:lastRowFirstColumn="0" w:lastRowLastColumn="0"/>
            <w:tcW w:w="3603" w:type="dxa"/>
          </w:tcPr>
          <w:p w14:paraId="3F531D60" w14:textId="1641CC36" w:rsidR="2651DF85" w:rsidRDefault="2651DF85" w:rsidP="008758F6">
            <w:pPr>
              <w:spacing w:line="264" w:lineRule="auto"/>
            </w:pPr>
            <w:r w:rsidRPr="2651DF85">
              <w:rPr>
                <w:bCs/>
              </w:rPr>
              <w:t>Maximum asset amount</w:t>
            </w:r>
          </w:p>
        </w:tc>
      </w:tr>
      <w:tr w:rsidR="2651DF85" w14:paraId="2946B120" w14:textId="77777777" w:rsidTr="00A07F47">
        <w:trPr>
          <w:trHeight w:val="285"/>
        </w:trPr>
        <w:tc>
          <w:tcPr>
            <w:tcW w:w="5802" w:type="dxa"/>
          </w:tcPr>
          <w:p w14:paraId="5552FEA8" w14:textId="2F01788D" w:rsidR="2651DF85" w:rsidRDefault="2651DF85" w:rsidP="00FD28BD">
            <w:pPr>
              <w:pStyle w:val="TableofAuthorities"/>
            </w:pPr>
            <w:r>
              <w:t>Fully supported</w:t>
            </w:r>
            <w:r w:rsidRPr="2651DF85">
              <w:rPr>
                <w:vertAlign w:val="superscript"/>
              </w:rPr>
              <w:t xml:space="preserve"> </w:t>
            </w:r>
            <w:r>
              <w:t>resident</w:t>
            </w:r>
            <w:r w:rsidR="007F22A6">
              <w:t>s</w:t>
            </w:r>
          </w:p>
        </w:tc>
        <w:tc>
          <w:tcPr>
            <w:cnfStyle w:val="000100000000" w:firstRow="0" w:lastRow="0" w:firstColumn="0" w:lastColumn="1" w:oddVBand="0" w:evenVBand="0" w:oddHBand="0" w:evenHBand="0" w:firstRowFirstColumn="0" w:firstRowLastColumn="0" w:lastRowFirstColumn="0" w:lastRowLastColumn="0"/>
            <w:tcW w:w="3603" w:type="dxa"/>
            <w:vAlign w:val="bottom"/>
          </w:tcPr>
          <w:p w14:paraId="00A66A5F" w14:textId="33CFCE7C" w:rsidR="2651DF85" w:rsidRDefault="00C85579" w:rsidP="00A07F47">
            <w:pPr>
              <w:pStyle w:val="TableofAuthorities"/>
            </w:pPr>
            <w:r>
              <w:t>$64,500</w:t>
            </w:r>
            <w:r w:rsidR="000C5ADE">
              <w:t>.00</w:t>
            </w:r>
          </w:p>
        </w:tc>
      </w:tr>
      <w:tr w:rsidR="2651DF85" w14:paraId="37EE98D5" w14:textId="77777777" w:rsidTr="00A07F47">
        <w:trPr>
          <w:trHeight w:val="567"/>
        </w:trPr>
        <w:tc>
          <w:tcPr>
            <w:tcW w:w="5802" w:type="dxa"/>
          </w:tcPr>
          <w:p w14:paraId="156656EB" w14:textId="77777777" w:rsidR="00585C5F" w:rsidRDefault="2651DF85" w:rsidP="00FD28BD">
            <w:pPr>
              <w:pStyle w:val="TableofAuthorities"/>
            </w:pPr>
            <w:r>
              <w:t>Partially supported resident</w:t>
            </w:r>
            <w:r w:rsidR="00585C5F">
              <w:t>s</w:t>
            </w:r>
          </w:p>
          <w:p w14:paraId="467623C0" w14:textId="44B414ED" w:rsidR="2651DF85" w:rsidRDefault="2651DF85" w:rsidP="00FD28BD">
            <w:pPr>
              <w:pStyle w:val="TableofAuthorities"/>
            </w:pPr>
            <w:r w:rsidRPr="00464DE1">
              <w:t xml:space="preserve">for services </w:t>
            </w:r>
            <w:r w:rsidRPr="002D0885">
              <w:rPr>
                <w:b/>
                <w:bCs/>
              </w:rPr>
              <w:t xml:space="preserve">not </w:t>
            </w:r>
            <w:r w:rsidRPr="00464DE1">
              <w:t>significantly refurbished or newly built</w:t>
            </w:r>
          </w:p>
        </w:tc>
        <w:tc>
          <w:tcPr>
            <w:cnfStyle w:val="000100000000" w:firstRow="0" w:lastRow="0" w:firstColumn="0" w:lastColumn="1" w:oddVBand="0" w:evenVBand="0" w:oddHBand="0" w:evenHBand="0" w:firstRowFirstColumn="0" w:firstRowLastColumn="0" w:lastRowFirstColumn="0" w:lastRowLastColumn="0"/>
            <w:tcW w:w="3603" w:type="dxa"/>
            <w:vAlign w:val="bottom"/>
          </w:tcPr>
          <w:p w14:paraId="4713F288" w14:textId="4631299D" w:rsidR="2651DF85" w:rsidRDefault="00C85579" w:rsidP="00A07F47">
            <w:pPr>
              <w:pStyle w:val="TableofAuthorities"/>
            </w:pPr>
            <w:r>
              <w:t>$</w:t>
            </w:r>
            <w:r w:rsidR="00305492">
              <w:t>162,572</w:t>
            </w:r>
            <w:r w:rsidR="000C5ADE">
              <w:t>.00</w:t>
            </w:r>
          </w:p>
        </w:tc>
      </w:tr>
      <w:tr w:rsidR="2651DF85" w14:paraId="65EBD4F6" w14:textId="77777777" w:rsidTr="00A07F47">
        <w:trPr>
          <w:trHeight w:val="567"/>
        </w:trPr>
        <w:tc>
          <w:tcPr>
            <w:tcW w:w="5802" w:type="dxa"/>
          </w:tcPr>
          <w:p w14:paraId="7634084B" w14:textId="77777777" w:rsidR="00585C5F" w:rsidRDefault="2651DF85" w:rsidP="00FD28BD">
            <w:pPr>
              <w:pStyle w:val="TableofAuthorities"/>
            </w:pPr>
            <w:r>
              <w:t>Partially supported residents</w:t>
            </w:r>
          </w:p>
          <w:p w14:paraId="2CAF5F5C" w14:textId="0985803C" w:rsidR="2651DF85" w:rsidRDefault="2651DF85" w:rsidP="00FD28BD">
            <w:pPr>
              <w:pStyle w:val="TableofAuthorities"/>
            </w:pPr>
            <w:r w:rsidRPr="00476CED">
              <w:t>for services significantly refurbished or newly built</w:t>
            </w:r>
          </w:p>
        </w:tc>
        <w:tc>
          <w:tcPr>
            <w:cnfStyle w:val="000100000000" w:firstRow="0" w:lastRow="0" w:firstColumn="0" w:lastColumn="1" w:oddVBand="0" w:evenVBand="0" w:oddHBand="0" w:evenHBand="0" w:firstRowFirstColumn="0" w:firstRowLastColumn="0" w:lastRowFirstColumn="0" w:lastRowLastColumn="0"/>
            <w:tcW w:w="3603" w:type="dxa"/>
            <w:vAlign w:val="bottom"/>
          </w:tcPr>
          <w:p w14:paraId="7B3899EC" w14:textId="67163936" w:rsidR="2651DF85" w:rsidRDefault="00305492" w:rsidP="00A07F47">
            <w:pPr>
              <w:pStyle w:val="TableofAuthorities"/>
            </w:pPr>
            <w:r>
              <w:t>$214,884</w:t>
            </w:r>
            <w:r w:rsidR="000C5ADE">
              <w:t>.00</w:t>
            </w:r>
          </w:p>
        </w:tc>
      </w:tr>
    </w:tbl>
    <w:p w14:paraId="1B8D0D89" w14:textId="1AFCE626" w:rsidR="2D2F280F" w:rsidRDefault="2D2F280F" w:rsidP="00A07F47">
      <w:pPr>
        <w:pStyle w:val="Heading2"/>
      </w:pPr>
      <w:r w:rsidRPr="005D2D7D">
        <w:t>Maximum daily accommodation charge for pre 2014 residents</w:t>
      </w:r>
      <w:r w:rsidR="00337A8D">
        <w:t xml:space="preserve"> moving homes</w:t>
      </w:r>
      <w:r w:rsidRPr="005D2D7D">
        <w:t xml:space="preserve"> </w:t>
      </w:r>
      <w:r w:rsidR="00395AC1" w:rsidRPr="00395AC1">
        <w:rPr>
          <w:sz w:val="20"/>
          <w:szCs w:val="20"/>
          <w:vertAlign w:val="superscript"/>
        </w:rPr>
        <w:t>8</w:t>
      </w:r>
    </w:p>
    <w:tbl>
      <w:tblPr>
        <w:tblStyle w:val="TableGridLight"/>
        <w:tblW w:w="0" w:type="auto"/>
        <w:tblLayout w:type="fixed"/>
        <w:tblLook w:val="05A0" w:firstRow="1" w:lastRow="0" w:firstColumn="1" w:lastColumn="1" w:noHBand="0" w:noVBand="1"/>
      </w:tblPr>
      <w:tblGrid>
        <w:gridCol w:w="5802"/>
        <w:gridCol w:w="3603"/>
      </w:tblGrid>
      <w:tr w:rsidR="2651DF85" w14:paraId="36F54A7B" w14:textId="77777777" w:rsidTr="00A07F47">
        <w:trPr>
          <w:cnfStyle w:val="100000000000" w:firstRow="1" w:lastRow="0" w:firstColumn="0" w:lastColumn="0" w:oddVBand="0" w:evenVBand="0" w:oddHBand="0" w:evenHBand="0" w:firstRowFirstColumn="0" w:firstRowLastColumn="0" w:lastRowFirstColumn="0" w:lastRowLastColumn="0"/>
          <w:trHeight w:val="315"/>
          <w:tblHeader/>
        </w:trPr>
        <w:tc>
          <w:tcPr>
            <w:tcW w:w="5802" w:type="dxa"/>
          </w:tcPr>
          <w:p w14:paraId="4DC973F5" w14:textId="7ACB2524" w:rsidR="2651DF85" w:rsidRDefault="2651DF85" w:rsidP="008758F6">
            <w:pPr>
              <w:spacing w:line="264" w:lineRule="auto"/>
            </w:pPr>
            <w:r w:rsidRPr="2651DF85">
              <w:rPr>
                <w:bCs/>
              </w:rPr>
              <w:t>Resident status and Assets at entry</w:t>
            </w:r>
          </w:p>
        </w:tc>
        <w:tc>
          <w:tcPr>
            <w:cnfStyle w:val="000100000000" w:firstRow="0" w:lastRow="0" w:firstColumn="0" w:lastColumn="1" w:oddVBand="0" w:evenVBand="0" w:oddHBand="0" w:evenHBand="0" w:firstRowFirstColumn="0" w:firstRowLastColumn="0" w:lastRowFirstColumn="0" w:lastRowLastColumn="0"/>
            <w:tcW w:w="3603" w:type="dxa"/>
          </w:tcPr>
          <w:p w14:paraId="7BDABB64" w14:textId="1B015932" w:rsidR="2651DF85" w:rsidRDefault="2651DF85" w:rsidP="008758F6">
            <w:pPr>
              <w:spacing w:line="264" w:lineRule="auto"/>
            </w:pPr>
            <w:r w:rsidRPr="2651DF85">
              <w:rPr>
                <w:bCs/>
              </w:rPr>
              <w:t>Maximum daily accommodation charge</w:t>
            </w:r>
            <w:r w:rsidR="008E395C">
              <w:rPr>
                <w:bCs/>
              </w:rPr>
              <w:t xml:space="preserve"> </w:t>
            </w:r>
            <w:r w:rsidR="00395AC1">
              <w:rPr>
                <w:rFonts w:eastAsia="Arial" w:cs="Arial"/>
                <w:vertAlign w:val="superscript"/>
              </w:rPr>
              <w:t>9</w:t>
            </w:r>
          </w:p>
        </w:tc>
      </w:tr>
      <w:tr w:rsidR="2651DF85" w14:paraId="203D8841" w14:textId="77777777" w:rsidTr="00A07F47">
        <w:trPr>
          <w:trHeight w:val="315"/>
        </w:trPr>
        <w:tc>
          <w:tcPr>
            <w:tcW w:w="5802" w:type="dxa"/>
          </w:tcPr>
          <w:p w14:paraId="3429E07A" w14:textId="11A82FA0" w:rsidR="2651DF85" w:rsidRDefault="2651DF85" w:rsidP="00FD28BD">
            <w:pPr>
              <w:pStyle w:val="TableofAuthorities"/>
            </w:pPr>
            <w:r>
              <w:t>Fully supported, concessional and charge exempt</w:t>
            </w:r>
          </w:p>
        </w:tc>
        <w:tc>
          <w:tcPr>
            <w:cnfStyle w:val="000100000000" w:firstRow="0" w:lastRow="0" w:firstColumn="0" w:lastColumn="1" w:oddVBand="0" w:evenVBand="0" w:oddHBand="0" w:evenHBand="0" w:firstRowFirstColumn="0" w:firstRowLastColumn="0" w:lastRowFirstColumn="0" w:lastRowLastColumn="0"/>
            <w:tcW w:w="3603" w:type="dxa"/>
          </w:tcPr>
          <w:p w14:paraId="74EE9114" w14:textId="31DE2DFE" w:rsidR="2651DF85" w:rsidRDefault="2651DF85" w:rsidP="00FD28BD">
            <w:pPr>
              <w:pStyle w:val="TableofAuthorities"/>
            </w:pPr>
            <w:r>
              <w:t>N/A</w:t>
            </w:r>
          </w:p>
        </w:tc>
      </w:tr>
      <w:tr w:rsidR="2651DF85" w14:paraId="0AA7AF39" w14:textId="77777777" w:rsidTr="00A07F47">
        <w:trPr>
          <w:trHeight w:val="340"/>
        </w:trPr>
        <w:tc>
          <w:tcPr>
            <w:cnfStyle w:val="000100000000" w:firstRow="0" w:lastRow="0" w:firstColumn="0" w:lastColumn="1" w:oddVBand="0" w:evenVBand="0" w:oddHBand="0" w:evenHBand="0" w:firstRowFirstColumn="0" w:firstRowLastColumn="0" w:lastRowFirstColumn="0" w:lastRowLastColumn="0"/>
            <w:tcW w:w="9405" w:type="dxa"/>
            <w:gridSpan w:val="2"/>
          </w:tcPr>
          <w:p w14:paraId="3CAC238F" w14:textId="1B6D59B5" w:rsidR="2651DF85" w:rsidRDefault="2651DF85" w:rsidP="00A07F47">
            <w:pPr>
              <w:pStyle w:val="TableofAuthorities"/>
              <w:jc w:val="left"/>
            </w:pPr>
            <w:r w:rsidRPr="00A07F47">
              <w:rPr>
                <w:rStyle w:val="Strong"/>
              </w:rPr>
              <w:t>Residents who first entered residential aged care between 20/3/2008 – 30/6/2014</w:t>
            </w:r>
            <w:r w:rsidRPr="2651DF85">
              <w:rPr>
                <w:vertAlign w:val="superscript"/>
              </w:rPr>
              <w:t xml:space="preserve"> </w:t>
            </w:r>
            <w:r w:rsidR="00794140">
              <w:rPr>
                <w:vertAlign w:val="superscript"/>
              </w:rPr>
              <w:t>1</w:t>
            </w:r>
            <w:r w:rsidR="00834B3D">
              <w:rPr>
                <w:vertAlign w:val="superscript"/>
              </w:rPr>
              <w:t>0</w:t>
            </w:r>
          </w:p>
        </w:tc>
      </w:tr>
      <w:tr w:rsidR="2651DF85" w14:paraId="63809392" w14:textId="77777777" w:rsidTr="00A07F47">
        <w:trPr>
          <w:trHeight w:val="315"/>
        </w:trPr>
        <w:tc>
          <w:tcPr>
            <w:tcW w:w="5802" w:type="dxa"/>
          </w:tcPr>
          <w:p w14:paraId="61830486" w14:textId="5A9DA9E7" w:rsidR="2651DF85" w:rsidRDefault="2651DF85" w:rsidP="00A07F47">
            <w:pPr>
              <w:pStyle w:val="TableofAuthorities"/>
              <w:rPr>
                <w:rFonts w:eastAsia="Calibri" w:cs="Arial"/>
              </w:rPr>
            </w:pPr>
            <w:r>
              <w:t xml:space="preserve">Non-supported with assets at entry at least </w:t>
            </w:r>
            <w:r w:rsidR="009778B1">
              <w:rPr>
                <w:rFonts w:eastAsia="Calibri" w:cs="Arial"/>
              </w:rPr>
              <w:t>$162,572.00</w:t>
            </w:r>
          </w:p>
        </w:tc>
        <w:tc>
          <w:tcPr>
            <w:cnfStyle w:val="000100000000" w:firstRow="0" w:lastRow="0" w:firstColumn="0" w:lastColumn="1" w:oddVBand="0" w:evenVBand="0" w:oddHBand="0" w:evenHBand="0" w:firstRowFirstColumn="0" w:firstRowLastColumn="0" w:lastRowFirstColumn="0" w:lastRowLastColumn="0"/>
            <w:tcW w:w="3603" w:type="dxa"/>
          </w:tcPr>
          <w:p w14:paraId="09DF2A12" w14:textId="6D8BE239" w:rsidR="2651DF85" w:rsidRDefault="2651DF85" w:rsidP="00A07F47">
            <w:pPr>
              <w:pStyle w:val="TableofAuthorities"/>
            </w:pPr>
            <w:r>
              <w:t xml:space="preserve">up to </w:t>
            </w:r>
            <w:r w:rsidR="000C5ADE">
              <w:t>$47.15</w:t>
            </w:r>
            <w:r w:rsidR="002124CC">
              <w:t xml:space="preserve"> </w:t>
            </w:r>
            <w:r w:rsidRPr="67FAEF1E">
              <w:rPr>
                <w:rFonts w:eastAsia="Arial" w:cs="Arial"/>
                <w:b/>
                <w:bCs/>
              </w:rPr>
              <w:t>or</w:t>
            </w:r>
            <w:r w:rsidR="004A56CD">
              <w:t xml:space="preserve"> </w:t>
            </w:r>
            <w:r>
              <w:t>capped at maximum rate of previous entry</w:t>
            </w:r>
          </w:p>
        </w:tc>
      </w:tr>
      <w:tr w:rsidR="2651DF85" w14:paraId="144C55FB" w14:textId="77777777" w:rsidTr="00A07F47">
        <w:trPr>
          <w:trHeight w:val="315"/>
        </w:trPr>
        <w:tc>
          <w:tcPr>
            <w:tcW w:w="5802" w:type="dxa"/>
          </w:tcPr>
          <w:p w14:paraId="19D4A6E8" w14:textId="2A72A6B6" w:rsidR="2651DF85" w:rsidRDefault="2651DF85" w:rsidP="00A07F47">
            <w:pPr>
              <w:pStyle w:val="TableofAuthorities"/>
              <w:rPr>
                <w:rFonts w:eastAsia="Calibri" w:cs="Arial"/>
              </w:rPr>
            </w:pPr>
            <w:r>
              <w:t xml:space="preserve">Supported with assets at entry less than </w:t>
            </w:r>
            <w:r w:rsidR="000C5ADE">
              <w:rPr>
                <w:rFonts w:eastAsia="Calibri" w:cs="Arial"/>
              </w:rPr>
              <w:t>$</w:t>
            </w:r>
            <w:r w:rsidR="00E966EE">
              <w:rPr>
                <w:rFonts w:eastAsia="Calibri" w:cs="Arial"/>
              </w:rPr>
              <w:t>162,572.00</w:t>
            </w:r>
          </w:p>
        </w:tc>
        <w:tc>
          <w:tcPr>
            <w:cnfStyle w:val="000100000000" w:firstRow="0" w:lastRow="0" w:firstColumn="0" w:lastColumn="1" w:oddVBand="0" w:evenVBand="0" w:oddHBand="0" w:evenHBand="0" w:firstRowFirstColumn="0" w:firstRowLastColumn="0" w:lastRowFirstColumn="0" w:lastRowLastColumn="0"/>
            <w:tcW w:w="3603" w:type="dxa"/>
          </w:tcPr>
          <w:p w14:paraId="729AAE2F" w14:textId="6CAE8EC6" w:rsidR="2651DF85" w:rsidRPr="008E395C" w:rsidRDefault="2651DF85" w:rsidP="00A07F47">
            <w:pPr>
              <w:pStyle w:val="TableofAuthorities"/>
            </w:pPr>
            <w:r>
              <w:t>calculated amount</w:t>
            </w:r>
          </w:p>
        </w:tc>
      </w:tr>
      <w:tr w:rsidR="2651DF85" w14:paraId="23F0A9A9" w14:textId="77777777" w:rsidTr="00A07F47">
        <w:trPr>
          <w:trHeight w:val="340"/>
        </w:trPr>
        <w:tc>
          <w:tcPr>
            <w:cnfStyle w:val="000100000000" w:firstRow="0" w:lastRow="0" w:firstColumn="0" w:lastColumn="1" w:oddVBand="0" w:evenVBand="0" w:oddHBand="0" w:evenHBand="0" w:firstRowFirstColumn="0" w:firstRowLastColumn="0" w:lastRowFirstColumn="0" w:lastRowLastColumn="0"/>
            <w:tcW w:w="9405" w:type="dxa"/>
            <w:gridSpan w:val="2"/>
          </w:tcPr>
          <w:p w14:paraId="15589136" w14:textId="13491563" w:rsidR="2651DF85" w:rsidRPr="00A07F47" w:rsidRDefault="2651DF85" w:rsidP="00A07F47">
            <w:pPr>
              <w:spacing w:line="264" w:lineRule="auto"/>
              <w:jc w:val="left"/>
              <w:rPr>
                <w:rStyle w:val="Strong"/>
              </w:rPr>
            </w:pPr>
            <w:r w:rsidRPr="00A07F47">
              <w:rPr>
                <w:rStyle w:val="Strong"/>
              </w:rPr>
              <w:t>Residents who first entered residential aged care between 1/7/2004 – 19/3/2008</w:t>
            </w:r>
          </w:p>
        </w:tc>
      </w:tr>
      <w:tr w:rsidR="2651DF85" w14:paraId="17433A42" w14:textId="77777777" w:rsidTr="00A07F47">
        <w:trPr>
          <w:trHeight w:val="315"/>
        </w:trPr>
        <w:tc>
          <w:tcPr>
            <w:tcW w:w="5802" w:type="dxa"/>
          </w:tcPr>
          <w:p w14:paraId="7283A9A0" w14:textId="0B724D4A" w:rsidR="2651DF85" w:rsidRDefault="2651DF85" w:rsidP="00A07F47">
            <w:pPr>
              <w:pStyle w:val="TableofAuthorities"/>
              <w:rPr>
                <w:rFonts w:eastAsia="Calibri" w:cs="Arial"/>
              </w:rPr>
            </w:pPr>
            <w:r>
              <w:t xml:space="preserve">Assisted with assets at entry at least </w:t>
            </w:r>
            <w:r w:rsidR="00B6778A">
              <w:rPr>
                <w:rFonts w:eastAsia="Calibri" w:cs="Arial"/>
              </w:rPr>
              <w:t>$</w:t>
            </w:r>
            <w:r w:rsidR="008E2DEF">
              <w:rPr>
                <w:rFonts w:eastAsia="Calibri" w:cs="Arial"/>
              </w:rPr>
              <w:t>95,945.00</w:t>
            </w:r>
          </w:p>
        </w:tc>
        <w:tc>
          <w:tcPr>
            <w:cnfStyle w:val="000100000000" w:firstRow="0" w:lastRow="0" w:firstColumn="0" w:lastColumn="1" w:oddVBand="0" w:evenVBand="0" w:oddHBand="0" w:evenHBand="0" w:firstRowFirstColumn="0" w:firstRowLastColumn="0" w:lastRowFirstColumn="0" w:lastRowLastColumn="0"/>
            <w:tcW w:w="3603" w:type="dxa"/>
          </w:tcPr>
          <w:p w14:paraId="089E6101" w14:textId="50B96AE8" w:rsidR="2651DF85" w:rsidRDefault="2651DF85" w:rsidP="00A07F47">
            <w:pPr>
              <w:pStyle w:val="TableofAuthorities"/>
            </w:pPr>
            <w:r>
              <w:t xml:space="preserve">up to </w:t>
            </w:r>
            <w:r w:rsidR="008E2DEF">
              <w:rPr>
                <w:rFonts w:cs="Arial"/>
              </w:rPr>
              <w:t>$17.23</w:t>
            </w:r>
          </w:p>
        </w:tc>
      </w:tr>
      <w:tr w:rsidR="2651DF85" w14:paraId="0B116A80" w14:textId="77777777" w:rsidTr="00A07F47">
        <w:trPr>
          <w:trHeight w:val="315"/>
        </w:trPr>
        <w:tc>
          <w:tcPr>
            <w:tcW w:w="5802" w:type="dxa"/>
          </w:tcPr>
          <w:p w14:paraId="5AAAE30B" w14:textId="744730FA" w:rsidR="2651DF85" w:rsidRDefault="2651DF85" w:rsidP="00A07F47">
            <w:pPr>
              <w:pStyle w:val="TableofAuthorities"/>
              <w:rPr>
                <w:rFonts w:eastAsia="Calibri" w:cs="Arial"/>
              </w:rPr>
            </w:pPr>
            <w:r>
              <w:t xml:space="preserve">Assisted with assets at entry less than </w:t>
            </w:r>
            <w:r w:rsidR="008E2DEF">
              <w:rPr>
                <w:rFonts w:eastAsia="Calibri" w:cs="Arial"/>
              </w:rPr>
              <w:t>$95,945.00</w:t>
            </w:r>
          </w:p>
        </w:tc>
        <w:tc>
          <w:tcPr>
            <w:cnfStyle w:val="000100000000" w:firstRow="0" w:lastRow="0" w:firstColumn="0" w:lastColumn="1" w:oddVBand="0" w:evenVBand="0" w:oddHBand="0" w:evenHBand="0" w:firstRowFirstColumn="0" w:firstRowLastColumn="0" w:lastRowFirstColumn="0" w:lastRowLastColumn="0"/>
            <w:tcW w:w="3603" w:type="dxa"/>
          </w:tcPr>
          <w:p w14:paraId="34BE5B0B" w14:textId="0C270DDE" w:rsidR="2651DF85" w:rsidRPr="00FA40D1" w:rsidRDefault="2651DF85" w:rsidP="00A07F47">
            <w:pPr>
              <w:pStyle w:val="TableofAuthorities"/>
            </w:pPr>
            <w:r>
              <w:t>calculated amount</w:t>
            </w:r>
          </w:p>
        </w:tc>
      </w:tr>
      <w:tr w:rsidR="2651DF85" w14:paraId="1CAF4802" w14:textId="77777777" w:rsidTr="00A07F47">
        <w:trPr>
          <w:trHeight w:val="315"/>
        </w:trPr>
        <w:tc>
          <w:tcPr>
            <w:tcW w:w="5802" w:type="dxa"/>
          </w:tcPr>
          <w:p w14:paraId="26591E9B" w14:textId="6A2ED9D5" w:rsidR="2651DF85" w:rsidRDefault="2651DF85" w:rsidP="00A07F47">
            <w:pPr>
              <w:pStyle w:val="TableofAuthorities"/>
              <w:rPr>
                <w:rFonts w:eastAsia="Calibri" w:cs="Arial"/>
              </w:rPr>
            </w:pPr>
            <w:r>
              <w:t xml:space="preserve">Other with assets at entry at least </w:t>
            </w:r>
            <w:r w:rsidR="008E2DEF">
              <w:rPr>
                <w:rFonts w:eastAsia="Calibri" w:cs="Arial"/>
              </w:rPr>
              <w:t>$119,506.00</w:t>
            </w:r>
          </w:p>
        </w:tc>
        <w:tc>
          <w:tcPr>
            <w:cnfStyle w:val="000100000000" w:firstRow="0" w:lastRow="0" w:firstColumn="0" w:lastColumn="1" w:oddVBand="0" w:evenVBand="0" w:oddHBand="0" w:evenHBand="0" w:firstRowFirstColumn="0" w:firstRowLastColumn="0" w:lastRowFirstColumn="0" w:lastRowLastColumn="0"/>
            <w:tcW w:w="3603" w:type="dxa"/>
          </w:tcPr>
          <w:p w14:paraId="557FE40D" w14:textId="6955B4EB" w:rsidR="2651DF85" w:rsidRDefault="2651DF85" w:rsidP="00A07F47">
            <w:pPr>
              <w:pStyle w:val="TableofAuthorities"/>
              <w:rPr>
                <w:rFonts w:cs="Arial"/>
              </w:rPr>
            </w:pPr>
            <w:r>
              <w:t xml:space="preserve">up to </w:t>
            </w:r>
            <w:r w:rsidR="008E2DEF">
              <w:rPr>
                <w:rFonts w:cs="Arial"/>
              </w:rPr>
              <w:t>$30.14</w:t>
            </w:r>
          </w:p>
        </w:tc>
      </w:tr>
      <w:tr w:rsidR="2651DF85" w14:paraId="7BC25CD9" w14:textId="77777777" w:rsidTr="00A07F47">
        <w:trPr>
          <w:trHeight w:val="315"/>
        </w:trPr>
        <w:tc>
          <w:tcPr>
            <w:tcW w:w="5802" w:type="dxa"/>
          </w:tcPr>
          <w:p w14:paraId="059C684F" w14:textId="180A93DC" w:rsidR="2651DF85" w:rsidRDefault="2651DF85" w:rsidP="00A07F47">
            <w:pPr>
              <w:pStyle w:val="TableofAuthorities"/>
              <w:rPr>
                <w:rFonts w:eastAsia="Calibri" w:cs="Arial"/>
              </w:rPr>
            </w:pPr>
            <w:r>
              <w:t xml:space="preserve">Other with assets at entry less than </w:t>
            </w:r>
            <w:r w:rsidR="00493205">
              <w:rPr>
                <w:rFonts w:eastAsia="Calibri" w:cs="Arial"/>
              </w:rPr>
              <w:t>$119,506.00</w:t>
            </w:r>
          </w:p>
        </w:tc>
        <w:tc>
          <w:tcPr>
            <w:cnfStyle w:val="000100000000" w:firstRow="0" w:lastRow="0" w:firstColumn="0" w:lastColumn="1" w:oddVBand="0" w:evenVBand="0" w:oddHBand="0" w:evenHBand="0" w:firstRowFirstColumn="0" w:firstRowLastColumn="0" w:lastRowFirstColumn="0" w:lastRowLastColumn="0"/>
            <w:tcW w:w="3603" w:type="dxa"/>
          </w:tcPr>
          <w:p w14:paraId="11BF4805" w14:textId="62B9A90F" w:rsidR="2651DF85" w:rsidRPr="00FA40D1" w:rsidRDefault="2651DF85" w:rsidP="00A07F47">
            <w:pPr>
              <w:pStyle w:val="TableofAuthorities"/>
            </w:pPr>
            <w:r>
              <w:t>calculated amount</w:t>
            </w:r>
          </w:p>
        </w:tc>
      </w:tr>
      <w:tr w:rsidR="2651DF85" w14:paraId="0B06F3D9" w14:textId="77777777" w:rsidTr="00A07F47">
        <w:trPr>
          <w:trHeight w:val="340"/>
        </w:trPr>
        <w:tc>
          <w:tcPr>
            <w:cnfStyle w:val="000100000000" w:firstRow="0" w:lastRow="0" w:firstColumn="0" w:lastColumn="1" w:oddVBand="0" w:evenVBand="0" w:oddHBand="0" w:evenHBand="0" w:firstRowFirstColumn="0" w:firstRowLastColumn="0" w:lastRowFirstColumn="0" w:lastRowLastColumn="0"/>
            <w:tcW w:w="9405" w:type="dxa"/>
            <w:gridSpan w:val="2"/>
          </w:tcPr>
          <w:p w14:paraId="2082BB32" w14:textId="4CCB501D" w:rsidR="2651DF85" w:rsidRDefault="2651DF85" w:rsidP="00A07F47">
            <w:pPr>
              <w:jc w:val="left"/>
            </w:pPr>
            <w:r w:rsidRPr="2651DF85">
              <w:rPr>
                <w:rFonts w:eastAsia="Arial" w:cs="Arial"/>
                <w:b/>
                <w:bCs/>
              </w:rPr>
              <w:t>Residents who first entered residential aged care before 1/7/2004</w:t>
            </w:r>
            <w:r w:rsidRPr="2651DF85">
              <w:rPr>
                <w:rFonts w:eastAsia="Arial" w:cs="Arial"/>
                <w:b/>
                <w:bCs/>
                <w:vertAlign w:val="superscript"/>
              </w:rPr>
              <w:t xml:space="preserve"> </w:t>
            </w:r>
            <w:r w:rsidR="00794140">
              <w:rPr>
                <w:rFonts w:eastAsia="Arial" w:cs="Arial"/>
                <w:vertAlign w:val="superscript"/>
              </w:rPr>
              <w:t>1</w:t>
            </w:r>
            <w:r w:rsidR="00834B3D">
              <w:rPr>
                <w:rFonts w:eastAsia="Arial" w:cs="Arial"/>
                <w:vertAlign w:val="superscript"/>
              </w:rPr>
              <w:t>1</w:t>
            </w:r>
          </w:p>
        </w:tc>
      </w:tr>
      <w:tr w:rsidR="2651DF85" w14:paraId="025590E6" w14:textId="77777777" w:rsidTr="00A07F47">
        <w:trPr>
          <w:trHeight w:val="315"/>
        </w:trPr>
        <w:tc>
          <w:tcPr>
            <w:tcW w:w="5802" w:type="dxa"/>
          </w:tcPr>
          <w:p w14:paraId="5D53248A" w14:textId="68D723C7" w:rsidR="2651DF85" w:rsidRDefault="2651DF85" w:rsidP="00A07F47">
            <w:pPr>
              <w:pStyle w:val="TableofAuthorities"/>
              <w:rPr>
                <w:rFonts w:eastAsia="Calibri" w:cs="Arial"/>
              </w:rPr>
            </w:pPr>
            <w:r>
              <w:t xml:space="preserve">Assisted with assets at entry at least </w:t>
            </w:r>
            <w:r w:rsidR="00884BF6">
              <w:rPr>
                <w:rFonts w:eastAsia="Calibri" w:cs="Arial"/>
              </w:rPr>
              <w:t>$88,536.00</w:t>
            </w:r>
          </w:p>
        </w:tc>
        <w:tc>
          <w:tcPr>
            <w:cnfStyle w:val="000100000000" w:firstRow="0" w:lastRow="0" w:firstColumn="0" w:lastColumn="1" w:oddVBand="0" w:evenVBand="0" w:oddHBand="0" w:evenHBand="0" w:firstRowFirstColumn="0" w:firstRowLastColumn="0" w:lastRowFirstColumn="0" w:lastRowLastColumn="0"/>
            <w:tcW w:w="3603" w:type="dxa"/>
          </w:tcPr>
          <w:p w14:paraId="717E5798" w14:textId="17314399" w:rsidR="2651DF85" w:rsidRDefault="2651DF85" w:rsidP="00A07F47">
            <w:pPr>
              <w:pStyle w:val="TableofAuthorities"/>
              <w:rPr>
                <w:rFonts w:cs="Arial"/>
              </w:rPr>
            </w:pPr>
            <w:r>
              <w:t xml:space="preserve">up to </w:t>
            </w:r>
            <w:r w:rsidR="00884BF6">
              <w:rPr>
                <w:rFonts w:cs="Arial"/>
              </w:rPr>
              <w:t>$13.17</w:t>
            </w:r>
          </w:p>
        </w:tc>
      </w:tr>
      <w:tr w:rsidR="2651DF85" w14:paraId="41114391" w14:textId="77777777" w:rsidTr="00A07F47">
        <w:trPr>
          <w:trHeight w:val="315"/>
        </w:trPr>
        <w:tc>
          <w:tcPr>
            <w:tcW w:w="5802" w:type="dxa"/>
          </w:tcPr>
          <w:p w14:paraId="207DDD2C" w14:textId="57FAF6A2" w:rsidR="2651DF85" w:rsidRDefault="2651DF85" w:rsidP="00A07F47">
            <w:pPr>
              <w:pStyle w:val="TableofAuthorities"/>
              <w:rPr>
                <w:rFonts w:eastAsia="Calibri" w:cs="Arial"/>
              </w:rPr>
            </w:pPr>
            <w:r>
              <w:t xml:space="preserve">Assisted with assets at entry less than </w:t>
            </w:r>
            <w:r w:rsidR="00884BF6">
              <w:rPr>
                <w:rFonts w:eastAsia="Calibri" w:cs="Arial"/>
              </w:rPr>
              <w:t>$88,536.00</w:t>
            </w:r>
          </w:p>
        </w:tc>
        <w:tc>
          <w:tcPr>
            <w:cnfStyle w:val="000100000000" w:firstRow="0" w:lastRow="0" w:firstColumn="0" w:lastColumn="1" w:oddVBand="0" w:evenVBand="0" w:oddHBand="0" w:evenHBand="0" w:firstRowFirstColumn="0" w:firstRowLastColumn="0" w:lastRowFirstColumn="0" w:lastRowLastColumn="0"/>
            <w:tcW w:w="3603" w:type="dxa"/>
          </w:tcPr>
          <w:p w14:paraId="1AF5B81F" w14:textId="5C053556" w:rsidR="2651DF85" w:rsidRPr="00FA40D1" w:rsidRDefault="2651DF85" w:rsidP="00A07F47">
            <w:pPr>
              <w:pStyle w:val="TableofAuthorities"/>
            </w:pPr>
            <w:r>
              <w:t>calculated amount</w:t>
            </w:r>
          </w:p>
        </w:tc>
      </w:tr>
      <w:tr w:rsidR="2651DF85" w14:paraId="2A0788D3" w14:textId="77777777" w:rsidTr="00A07F47">
        <w:trPr>
          <w:trHeight w:val="315"/>
        </w:trPr>
        <w:tc>
          <w:tcPr>
            <w:tcW w:w="5802" w:type="dxa"/>
          </w:tcPr>
          <w:p w14:paraId="7906EC27" w14:textId="51D48B94" w:rsidR="2651DF85" w:rsidRDefault="2651DF85" w:rsidP="00A07F47">
            <w:pPr>
              <w:pStyle w:val="TableofAuthorities"/>
              <w:rPr>
                <w:rFonts w:eastAsia="Calibri" w:cs="Arial"/>
              </w:rPr>
            </w:pPr>
            <w:r>
              <w:t xml:space="preserve">Other with assets at entry at least </w:t>
            </w:r>
            <w:r w:rsidR="00884BF6">
              <w:rPr>
                <w:rFonts w:eastAsia="Calibri" w:cs="Arial"/>
              </w:rPr>
              <w:t>$111,257.00</w:t>
            </w:r>
          </w:p>
        </w:tc>
        <w:tc>
          <w:tcPr>
            <w:cnfStyle w:val="000100000000" w:firstRow="0" w:lastRow="0" w:firstColumn="0" w:lastColumn="1" w:oddVBand="0" w:evenVBand="0" w:oddHBand="0" w:evenHBand="0" w:firstRowFirstColumn="0" w:firstRowLastColumn="0" w:lastRowFirstColumn="0" w:lastRowLastColumn="0"/>
            <w:tcW w:w="3603" w:type="dxa"/>
          </w:tcPr>
          <w:p w14:paraId="115F291C" w14:textId="0992D80B" w:rsidR="2651DF85" w:rsidRDefault="2651DF85" w:rsidP="00A07F47">
            <w:pPr>
              <w:pStyle w:val="TableofAuthorities"/>
              <w:rPr>
                <w:rFonts w:cs="Arial"/>
              </w:rPr>
            </w:pPr>
            <w:r>
              <w:t xml:space="preserve">up to </w:t>
            </w:r>
            <w:r w:rsidR="00884BF6">
              <w:rPr>
                <w:rFonts w:cs="Arial"/>
              </w:rPr>
              <w:t>$25.62</w:t>
            </w:r>
          </w:p>
        </w:tc>
      </w:tr>
      <w:tr w:rsidR="2651DF85" w14:paraId="70E20138" w14:textId="77777777" w:rsidTr="00A07F47">
        <w:trPr>
          <w:trHeight w:val="315"/>
        </w:trPr>
        <w:tc>
          <w:tcPr>
            <w:tcW w:w="5802" w:type="dxa"/>
          </w:tcPr>
          <w:p w14:paraId="2F8E2EC9" w14:textId="6176DFEE" w:rsidR="2651DF85" w:rsidRDefault="2651DF85" w:rsidP="00A07F47">
            <w:pPr>
              <w:pStyle w:val="TableofAuthorities"/>
              <w:rPr>
                <w:rFonts w:eastAsia="Calibri" w:cs="Arial"/>
              </w:rPr>
            </w:pPr>
            <w:r>
              <w:t xml:space="preserve">Other with assets at entry less than </w:t>
            </w:r>
            <w:r w:rsidR="00884BF6">
              <w:rPr>
                <w:rFonts w:eastAsia="Calibri" w:cs="Arial"/>
              </w:rPr>
              <w:t>$111</w:t>
            </w:r>
            <w:r w:rsidR="005F7B68">
              <w:rPr>
                <w:rFonts w:eastAsia="Calibri" w:cs="Arial"/>
              </w:rPr>
              <w:t>,257.00</w:t>
            </w:r>
          </w:p>
        </w:tc>
        <w:tc>
          <w:tcPr>
            <w:cnfStyle w:val="000100000000" w:firstRow="0" w:lastRow="0" w:firstColumn="0" w:lastColumn="1" w:oddVBand="0" w:evenVBand="0" w:oddHBand="0" w:evenHBand="0" w:firstRowFirstColumn="0" w:firstRowLastColumn="0" w:lastRowFirstColumn="0" w:lastRowLastColumn="0"/>
            <w:tcW w:w="3603" w:type="dxa"/>
          </w:tcPr>
          <w:p w14:paraId="46AE14A8" w14:textId="68EB9A95" w:rsidR="2651DF85" w:rsidRPr="00FA40D1" w:rsidRDefault="2651DF85" w:rsidP="00A07F47">
            <w:pPr>
              <w:pStyle w:val="TableofAuthorities"/>
            </w:pPr>
            <w:r>
              <w:t>calculated amount</w:t>
            </w:r>
          </w:p>
        </w:tc>
      </w:tr>
    </w:tbl>
    <w:p w14:paraId="7B22878C" w14:textId="0E2FD9B9" w:rsidR="00E953BE" w:rsidRPr="00B64789" w:rsidRDefault="00395AC1" w:rsidP="008C6285">
      <w:pPr>
        <w:pStyle w:val="Footnotes"/>
      </w:pPr>
      <w:r w:rsidRPr="00B64789">
        <w:t>8</w:t>
      </w:r>
      <w:r w:rsidR="002443D7" w:rsidRPr="00B64789">
        <w:t xml:space="preserve"> Rate remains unchanged for </w:t>
      </w:r>
      <w:r w:rsidR="00DF239B" w:rsidRPr="00B64789">
        <w:t>a</w:t>
      </w:r>
      <w:r w:rsidR="002443D7" w:rsidRPr="00B64789">
        <w:t xml:space="preserve"> resident's stay in </w:t>
      </w:r>
      <w:r w:rsidR="00877654" w:rsidRPr="00B64789">
        <w:t>a</w:t>
      </w:r>
      <w:r w:rsidR="002443D7" w:rsidRPr="00B64789">
        <w:t xml:space="preserve"> home, regardless of annual indexation of the maximum rate for new entrants.</w:t>
      </w:r>
      <w:r w:rsidR="0033497B" w:rsidRPr="00B64789">
        <w:t xml:space="preserve"> </w:t>
      </w:r>
      <w:r w:rsidR="008C7103" w:rsidRPr="00B64789">
        <w:t>Ne</w:t>
      </w:r>
      <w:r w:rsidR="001610B0" w:rsidRPr="00B64789">
        <w:t>w rates apply for pre 2014 residents who enter a new home a</w:t>
      </w:r>
      <w:r w:rsidR="00E953BE" w:rsidRPr="00B64789">
        <w:t>nd haven't left permanent residential care for more than 28 days before re-entering care after 20 March 2008.</w:t>
      </w:r>
    </w:p>
    <w:p w14:paraId="60F41035" w14:textId="39C8CD21" w:rsidR="00265016" w:rsidRPr="00B64789" w:rsidRDefault="00395AC1" w:rsidP="008C6285">
      <w:pPr>
        <w:pStyle w:val="Footnotes"/>
      </w:pPr>
      <w:r w:rsidRPr="00B64789">
        <w:t>9</w:t>
      </w:r>
      <w:r w:rsidR="00F32E28" w:rsidRPr="00B64789">
        <w:t xml:space="preserve"> </w:t>
      </w:r>
      <w:r w:rsidR="00265016" w:rsidRPr="00B64789">
        <w:t>Services Australia sends letters to advise of the amount (does not include flexible care residents).</w:t>
      </w:r>
    </w:p>
    <w:p w14:paraId="2E2B8868" w14:textId="0D74C557" w:rsidR="007F63D1" w:rsidRPr="00B64789" w:rsidRDefault="00794140" w:rsidP="008C6285">
      <w:pPr>
        <w:pStyle w:val="Footnotes"/>
      </w:pPr>
      <w:r w:rsidRPr="00B64789">
        <w:t>1</w:t>
      </w:r>
      <w:r w:rsidR="00834B3D" w:rsidRPr="00B64789">
        <w:t>0</w:t>
      </w:r>
      <w:r w:rsidR="00D575E8" w:rsidRPr="00B64789">
        <w:t xml:space="preserve"> </w:t>
      </w:r>
      <w:r w:rsidR="007F63D1" w:rsidRPr="00B64789">
        <w:t xml:space="preserve">From 20 March 2008, accommodation charges are capped, even if a resident moves from one home to another, </w:t>
      </w:r>
      <w:proofErr w:type="gramStart"/>
      <w:r w:rsidR="007F63D1" w:rsidRPr="00B64789">
        <w:t>provided that</w:t>
      </w:r>
      <w:proofErr w:type="gramEnd"/>
      <w:r w:rsidR="007F63D1" w:rsidRPr="00B64789">
        <w:t xml:space="preserve"> there is not a break in care of more than 28 days (excluding leave).</w:t>
      </w:r>
    </w:p>
    <w:p w14:paraId="04C17E04" w14:textId="7A420DE5" w:rsidR="00516710" w:rsidRPr="00B64789" w:rsidRDefault="00794140" w:rsidP="008C6285">
      <w:pPr>
        <w:pStyle w:val="Footnotes"/>
      </w:pPr>
      <w:r w:rsidRPr="00B64789">
        <w:t>1</w:t>
      </w:r>
      <w:r w:rsidR="00834B3D" w:rsidRPr="00B64789">
        <w:t>1</w:t>
      </w:r>
      <w:r w:rsidR="000B46B9" w:rsidRPr="00B64789">
        <w:t xml:space="preserve"> Accommodation charge limited to a maximum period of five years and fixed at date of entry</w:t>
      </w:r>
      <w:r w:rsidR="00141129" w:rsidRPr="00B64789">
        <w:t>,</w:t>
      </w:r>
      <w:r w:rsidR="000B46B9" w:rsidRPr="00B64789">
        <w:t xml:space="preserve"> even if the</w:t>
      </w:r>
      <w:r w:rsidR="001D3778" w:rsidRPr="00B64789">
        <w:t xml:space="preserve"> resident</w:t>
      </w:r>
      <w:r w:rsidR="000B46B9" w:rsidRPr="00B64789">
        <w:t xml:space="preserve"> h</w:t>
      </w:r>
      <w:r w:rsidR="001D3778" w:rsidRPr="00B64789">
        <w:t>as</w:t>
      </w:r>
      <w:r w:rsidR="000B46B9" w:rsidRPr="00B64789">
        <w:t xml:space="preserve"> a break in care of more than 28 days.</w:t>
      </w:r>
    </w:p>
    <w:p w14:paraId="42576345" w14:textId="3F9CC6EA" w:rsidR="004D6667" w:rsidRPr="00E93C64" w:rsidRDefault="004D6667" w:rsidP="00E93C64">
      <w:r w:rsidRPr="00E93C64">
        <w:rPr>
          <w:rStyle w:val="Strong"/>
        </w:rPr>
        <w:t>Pensioner allowable limit for Accommodation bonds</w:t>
      </w:r>
      <w:r w:rsidRPr="00E93C64">
        <w:t xml:space="preserve"> – </w:t>
      </w:r>
      <w:r w:rsidR="005F7B68" w:rsidRPr="00E93C64">
        <w:t>$257,500</w:t>
      </w:r>
    </w:p>
    <w:p w14:paraId="2D8819F8" w14:textId="77777777" w:rsidR="004D6667" w:rsidRPr="0023473C" w:rsidRDefault="004D6667" w:rsidP="00E93C64">
      <w:r>
        <w:t>For r</w:t>
      </w:r>
      <w:r w:rsidRPr="0023473C">
        <w:t xml:space="preserve">esidents who initially entered care </w:t>
      </w:r>
      <w:r w:rsidRPr="0023473C">
        <w:rPr>
          <w:b/>
          <w:bCs/>
        </w:rPr>
        <w:t>prior to 20 March 2008</w:t>
      </w:r>
      <w:r w:rsidRPr="0023473C">
        <w:t xml:space="preserve"> and agree to roll over a bond of more than 9 times the annual single age pension</w:t>
      </w:r>
      <w:r>
        <w:t>.</w:t>
      </w:r>
    </w:p>
    <w:p w14:paraId="59591902" w14:textId="60695218" w:rsidR="004D6667" w:rsidRPr="00E93C64" w:rsidRDefault="004D6667" w:rsidP="00E93C64">
      <w:r w:rsidRPr="00E93C64">
        <w:rPr>
          <w:rStyle w:val="Strong"/>
        </w:rPr>
        <w:t xml:space="preserve">Minimum assets amount </w:t>
      </w:r>
      <w:r w:rsidRPr="00E93C64">
        <w:t xml:space="preserve">– </w:t>
      </w:r>
      <w:r w:rsidR="005F7B68" w:rsidRPr="00E93C64">
        <w:t>$64,500</w:t>
      </w:r>
    </w:p>
    <w:p w14:paraId="530A0464" w14:textId="039F46E6" w:rsidR="008C6285" w:rsidRDefault="004D6667" w:rsidP="00E93C64">
      <w:r w:rsidRPr="006F70F7">
        <w:t>A resident must be left with this amount when calculating the maximum accommodation bond.</w:t>
      </w:r>
    </w:p>
    <w:p w14:paraId="106F967C" w14:textId="77777777" w:rsidR="008C6285" w:rsidRDefault="008C6285">
      <w:pPr>
        <w:spacing w:before="0"/>
        <w:rPr>
          <w:rFonts w:eastAsia="Arial" w:cs="Arial"/>
          <w:sz w:val="20"/>
          <w:szCs w:val="20"/>
        </w:rPr>
      </w:pPr>
      <w:r>
        <w:rPr>
          <w:rFonts w:eastAsia="Arial" w:cs="Arial"/>
          <w:sz w:val="20"/>
          <w:szCs w:val="20"/>
        </w:rPr>
        <w:br w:type="page"/>
      </w:r>
    </w:p>
    <w:p w14:paraId="6137B01E" w14:textId="20F0AD26" w:rsidR="007F7AA1" w:rsidRPr="008C6285" w:rsidRDefault="006E7852" w:rsidP="00E93C64">
      <w:pPr>
        <w:pStyle w:val="Heading1"/>
      </w:pPr>
      <w:r w:rsidRPr="008C6285">
        <w:t xml:space="preserve">Rates for </w:t>
      </w:r>
      <w:r w:rsidR="00516710" w:rsidRPr="008C6285">
        <w:t>t</w:t>
      </w:r>
      <w:r w:rsidRPr="008C6285">
        <w:t>ransition care program</w:t>
      </w:r>
    </w:p>
    <w:p w14:paraId="430CFC05" w14:textId="65D360FC" w:rsidR="00B90C61" w:rsidRPr="00D33EA3" w:rsidRDefault="00775DDA" w:rsidP="00E93C64">
      <w:pPr>
        <w:pStyle w:val="Heading2"/>
      </w:pPr>
      <w:r>
        <w:t>Fees for tr</w:t>
      </w:r>
      <w:r w:rsidR="00B90C61" w:rsidRPr="00D33EA3">
        <w:t xml:space="preserve">ansition </w:t>
      </w:r>
      <w:r w:rsidR="00B90C61">
        <w:t>c</w:t>
      </w:r>
      <w:r w:rsidR="00B90C61" w:rsidRPr="00D33EA3">
        <w:t xml:space="preserve">are </w:t>
      </w:r>
      <w:r w:rsidR="00B90C61">
        <w:t>p</w:t>
      </w:r>
      <w:r w:rsidR="00B90C61" w:rsidRPr="00D33EA3">
        <w:t>rogra</w:t>
      </w:r>
      <w:r w:rsidR="003A395A">
        <w:t>m</w:t>
      </w:r>
      <w:r w:rsidR="00AD495A">
        <w:t xml:space="preserve"> (TCP)</w:t>
      </w:r>
    </w:p>
    <w:tbl>
      <w:tblPr>
        <w:tblStyle w:val="TableGridLight"/>
        <w:tblW w:w="9356" w:type="dxa"/>
        <w:tblLook w:val="05A0" w:firstRow="1" w:lastRow="0" w:firstColumn="1" w:lastColumn="1" w:noHBand="0" w:noVBand="1"/>
        <w:tblDescription w:val="This table outlines the Maximum Daily Fees for the Transition Care Programme.  Where the stransition care is delivered in a Home or community setting and where it is delivered in a residential care or hospital setting"/>
      </w:tblPr>
      <w:tblGrid>
        <w:gridCol w:w="6096"/>
        <w:gridCol w:w="3260"/>
      </w:tblGrid>
      <w:tr w:rsidR="00B40D01" w:rsidRPr="00F823F7" w14:paraId="5455C541" w14:textId="77777777" w:rsidTr="00E93C64">
        <w:trPr>
          <w:cnfStyle w:val="100000000000" w:firstRow="1" w:lastRow="0" w:firstColumn="0" w:lastColumn="0" w:oddVBand="0" w:evenVBand="0" w:oddHBand="0" w:evenHBand="0" w:firstRowFirstColumn="0" w:firstRowLastColumn="0" w:lastRowFirstColumn="0" w:lastRowLastColumn="0"/>
          <w:trHeight w:val="317"/>
          <w:tblHeader/>
        </w:trPr>
        <w:tc>
          <w:tcPr>
            <w:tcW w:w="6096" w:type="dxa"/>
          </w:tcPr>
          <w:p w14:paraId="642D1432" w14:textId="77777777" w:rsidR="00B90C61" w:rsidRPr="00F823F7" w:rsidRDefault="00B90C61" w:rsidP="008758F6">
            <w:pPr>
              <w:spacing w:line="264" w:lineRule="auto"/>
              <w:ind w:left="-142" w:firstLine="142"/>
              <w:rPr>
                <w:b w:val="0"/>
                <w:bCs/>
              </w:rPr>
            </w:pPr>
            <w:r w:rsidRPr="00F823F7">
              <w:rPr>
                <w:bCs/>
              </w:rPr>
              <w:t xml:space="preserve">Maximum </w:t>
            </w:r>
            <w:r>
              <w:rPr>
                <w:bCs/>
              </w:rPr>
              <w:t>d</w:t>
            </w:r>
            <w:r w:rsidRPr="00F823F7">
              <w:rPr>
                <w:bCs/>
              </w:rPr>
              <w:t xml:space="preserve">aily </w:t>
            </w:r>
            <w:r>
              <w:rPr>
                <w:bCs/>
              </w:rPr>
              <w:t>f</w:t>
            </w:r>
            <w:r w:rsidRPr="00F823F7">
              <w:rPr>
                <w:bCs/>
              </w:rPr>
              <w:t>ee</w:t>
            </w:r>
          </w:p>
        </w:tc>
        <w:tc>
          <w:tcPr>
            <w:cnfStyle w:val="000100000000" w:firstRow="0" w:lastRow="0" w:firstColumn="0" w:lastColumn="1" w:oddVBand="0" w:evenVBand="0" w:oddHBand="0" w:evenHBand="0" w:firstRowFirstColumn="0" w:firstRowLastColumn="0" w:lastRowFirstColumn="0" w:lastRowLastColumn="0"/>
            <w:tcW w:w="3260" w:type="dxa"/>
          </w:tcPr>
          <w:p w14:paraId="306CADD6" w14:textId="77777777" w:rsidR="00B90C61" w:rsidRPr="00F823F7" w:rsidRDefault="00B90C61" w:rsidP="008758F6">
            <w:pPr>
              <w:spacing w:line="264" w:lineRule="auto"/>
              <w:rPr>
                <w:b w:val="0"/>
                <w:bCs/>
              </w:rPr>
            </w:pPr>
            <w:r w:rsidRPr="00F823F7">
              <w:rPr>
                <w:bCs/>
              </w:rPr>
              <w:t>Rate</w:t>
            </w:r>
          </w:p>
        </w:tc>
      </w:tr>
      <w:tr w:rsidR="007132EA" w:rsidRPr="00F823F7" w14:paraId="1DEC4C7D" w14:textId="77777777" w:rsidTr="00E93C64">
        <w:trPr>
          <w:trHeight w:val="317"/>
        </w:trPr>
        <w:tc>
          <w:tcPr>
            <w:tcW w:w="6096" w:type="dxa"/>
          </w:tcPr>
          <w:p w14:paraId="797D38A2" w14:textId="77777777" w:rsidR="00B90C61" w:rsidRPr="00F823F7" w:rsidRDefault="00B90C61" w:rsidP="00E93C64">
            <w:pPr>
              <w:pStyle w:val="TableofAuthorities"/>
            </w:pPr>
            <w:r>
              <w:t>TCP</w:t>
            </w:r>
            <w:r w:rsidRPr="00F823F7">
              <w:t xml:space="preserve"> delivered in a </w:t>
            </w:r>
            <w:r>
              <w:t>h</w:t>
            </w:r>
            <w:r w:rsidRPr="00F823F7">
              <w:t xml:space="preserve">ome or </w:t>
            </w:r>
            <w:r>
              <w:t>c</w:t>
            </w:r>
            <w:r w:rsidRPr="00F823F7">
              <w:t xml:space="preserve">ommunity </w:t>
            </w:r>
            <w:r>
              <w:t>s</w:t>
            </w:r>
            <w:r w:rsidRPr="00F823F7">
              <w:t xml:space="preserve">etting </w:t>
            </w:r>
          </w:p>
        </w:tc>
        <w:tc>
          <w:tcPr>
            <w:cnfStyle w:val="000100000000" w:firstRow="0" w:lastRow="0" w:firstColumn="0" w:lastColumn="1" w:oddVBand="0" w:evenVBand="0" w:oddHBand="0" w:evenHBand="0" w:firstRowFirstColumn="0" w:firstRowLastColumn="0" w:lastRowFirstColumn="0" w:lastRowLastColumn="0"/>
            <w:tcW w:w="3260" w:type="dxa"/>
          </w:tcPr>
          <w:p w14:paraId="53F29FE1" w14:textId="08872EF9" w:rsidR="00B90C61" w:rsidRPr="00F823F7" w:rsidRDefault="005F7B68" w:rsidP="00E93C64">
            <w:pPr>
              <w:pStyle w:val="TableofAuthorities"/>
            </w:pPr>
            <w:r>
              <w:t>$13.75</w:t>
            </w:r>
          </w:p>
        </w:tc>
      </w:tr>
      <w:tr w:rsidR="007132EA" w:rsidRPr="00F823F7" w14:paraId="4FA8AC97" w14:textId="77777777" w:rsidTr="00E93C64">
        <w:trPr>
          <w:trHeight w:val="317"/>
        </w:trPr>
        <w:tc>
          <w:tcPr>
            <w:tcW w:w="6096" w:type="dxa"/>
          </w:tcPr>
          <w:p w14:paraId="0D3F1168" w14:textId="77777777" w:rsidR="00B90C61" w:rsidRPr="00F823F7" w:rsidRDefault="00B90C61" w:rsidP="00E93C64">
            <w:pPr>
              <w:pStyle w:val="TableofAuthorities"/>
            </w:pPr>
            <w:r>
              <w:t>T</w:t>
            </w:r>
            <w:r w:rsidRPr="00F823F7">
              <w:t>C</w:t>
            </w:r>
            <w:r>
              <w:t>P</w:t>
            </w:r>
            <w:r w:rsidRPr="00F823F7">
              <w:t xml:space="preserve"> delivered in a </w:t>
            </w:r>
            <w:r>
              <w:t>r</w:t>
            </w:r>
            <w:r w:rsidRPr="00F823F7">
              <w:t xml:space="preserve">esidential </w:t>
            </w:r>
            <w:r>
              <w:t>c</w:t>
            </w:r>
            <w:r w:rsidRPr="00F823F7">
              <w:t xml:space="preserve">are </w:t>
            </w:r>
            <w:r>
              <w:t>s</w:t>
            </w:r>
            <w:r w:rsidRPr="00F823F7">
              <w:t>etting</w:t>
            </w:r>
            <w:r w:rsidRPr="00F823F7">
              <w:rPr>
                <w:b/>
                <w:bCs/>
              </w:rPr>
              <w:t xml:space="preserve"> </w:t>
            </w:r>
            <w:r w:rsidRPr="00F823F7">
              <w:t xml:space="preserve"> </w:t>
            </w:r>
          </w:p>
        </w:tc>
        <w:tc>
          <w:tcPr>
            <w:cnfStyle w:val="000100000000" w:firstRow="0" w:lastRow="0" w:firstColumn="0" w:lastColumn="1" w:oddVBand="0" w:evenVBand="0" w:oddHBand="0" w:evenHBand="0" w:firstRowFirstColumn="0" w:firstRowLastColumn="0" w:lastRowFirstColumn="0" w:lastRowLastColumn="0"/>
            <w:tcW w:w="3260" w:type="dxa"/>
          </w:tcPr>
          <w:p w14:paraId="478B8CE3" w14:textId="662A9C83" w:rsidR="00B90C61" w:rsidRPr="00F823F7" w:rsidRDefault="005F7B68" w:rsidP="00E93C64">
            <w:pPr>
              <w:pStyle w:val="TableofAuthorities"/>
            </w:pPr>
            <w:r>
              <w:t>$66.80</w:t>
            </w:r>
          </w:p>
        </w:tc>
      </w:tr>
    </w:tbl>
    <w:p w14:paraId="3112952F" w14:textId="6524579E" w:rsidR="00937804" w:rsidRPr="00B64789" w:rsidRDefault="00937804" w:rsidP="00B64789"/>
    <w:sectPr w:rsidR="00937804" w:rsidRPr="00B64789" w:rsidSect="00FC2B9E">
      <w:headerReference w:type="even" r:id="rId12"/>
      <w:footerReference w:type="even" r:id="rId13"/>
      <w:footerReference w:type="default" r:id="rId14"/>
      <w:headerReference w:type="first" r:id="rId15"/>
      <w:footerReference w:type="first" r:id="rId16"/>
      <w:footnotePr>
        <w:pos w:val="beneathText"/>
      </w:footnotePr>
      <w:pgSz w:w="11906" w:h="16838"/>
      <w:pgMar w:top="851" w:right="1191" w:bottom="851" w:left="119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1118" w14:textId="77777777" w:rsidR="001641F1" w:rsidRDefault="001641F1" w:rsidP="00FC40B4">
      <w:pPr>
        <w:spacing w:after="0" w:line="240" w:lineRule="auto"/>
      </w:pPr>
      <w:r>
        <w:separator/>
      </w:r>
    </w:p>
    <w:p w14:paraId="61D795E4" w14:textId="77777777" w:rsidR="001641F1" w:rsidRDefault="001641F1"/>
  </w:endnote>
  <w:endnote w:type="continuationSeparator" w:id="0">
    <w:p w14:paraId="1E230B42" w14:textId="77777777" w:rsidR="001641F1" w:rsidRDefault="001641F1" w:rsidP="00FC40B4">
      <w:pPr>
        <w:spacing w:after="0" w:line="240" w:lineRule="auto"/>
      </w:pPr>
      <w:r>
        <w:continuationSeparator/>
      </w:r>
    </w:p>
    <w:p w14:paraId="4173A73D" w14:textId="77777777" w:rsidR="001641F1" w:rsidRDefault="001641F1"/>
  </w:endnote>
  <w:endnote w:type="continuationNotice" w:id="1">
    <w:p w14:paraId="11D1F977" w14:textId="77777777" w:rsidR="001641F1" w:rsidRDefault="001641F1">
      <w:pPr>
        <w:spacing w:after="0" w:line="240" w:lineRule="auto"/>
      </w:pPr>
    </w:p>
    <w:p w14:paraId="3F5BF949" w14:textId="77777777" w:rsidR="001641F1" w:rsidRDefault="00164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0F6A" w14:textId="115E6B34" w:rsidR="00080B60" w:rsidRDefault="0075352C">
    <w:pPr>
      <w:pStyle w:val="Footer"/>
    </w:pPr>
    <w:r>
      <w:rPr>
        <w:noProof/>
      </w:rPr>
      <mc:AlternateContent>
        <mc:Choice Requires="wps">
          <w:drawing>
            <wp:anchor distT="0" distB="0" distL="0" distR="0" simplePos="0" relativeHeight="251663361" behindDoc="0" locked="0" layoutInCell="1" allowOverlap="1" wp14:anchorId="6E435A5E" wp14:editId="02CEF6A7">
              <wp:simplePos x="635" y="635"/>
              <wp:positionH relativeFrom="page">
                <wp:align>center</wp:align>
              </wp:positionH>
              <wp:positionV relativeFrom="page">
                <wp:align>bottom</wp:align>
              </wp:positionV>
              <wp:extent cx="622300" cy="404495"/>
              <wp:effectExtent l="0" t="0" r="6350" b="0"/>
              <wp:wrapNone/>
              <wp:docPr id="2648786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02B610" w14:textId="3E0F8776"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435A5E"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7702B610" w14:textId="3E0F8776"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14839"/>
      <w:docPartObj>
        <w:docPartGallery w:val="Page Numbers (Bottom of Page)"/>
        <w:docPartUnique/>
      </w:docPartObj>
    </w:sdtPr>
    <w:sdtEndPr>
      <w:rPr>
        <w:noProof/>
        <w:sz w:val="20"/>
        <w:szCs w:val="20"/>
      </w:rPr>
    </w:sdtEndPr>
    <w:sdtContent>
      <w:p w14:paraId="7646F123" w14:textId="7B409D4F" w:rsidR="00ED6D9D" w:rsidRPr="00937804" w:rsidRDefault="00D2212D" w:rsidP="00FC2B9E">
        <w:pPr>
          <w:pStyle w:val="Footer"/>
          <w:rPr>
            <w:sz w:val="20"/>
            <w:szCs w:val="20"/>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 xml:space="preserve">from </w:t>
        </w:r>
        <w:r w:rsidR="0067534D">
          <w:rPr>
            <w:rFonts w:eastAsia="Times New Roman" w:cs="Arial"/>
            <w:color w:val="000000" w:themeColor="text1"/>
            <w:sz w:val="20"/>
            <w:szCs w:val="20"/>
            <w:lang w:eastAsia="en-AU"/>
          </w:rPr>
          <w:t>1 July</w:t>
        </w:r>
        <w:r w:rsidR="00CE0BBC" w:rsidRPr="00FC2B9E">
          <w:rPr>
            <w:rFonts w:eastAsia="Times New Roman" w:cs="Arial"/>
            <w:color w:val="000000" w:themeColor="text1"/>
            <w:sz w:val="20"/>
            <w:szCs w:val="20"/>
            <w:lang w:eastAsia="en-AU"/>
          </w:rPr>
          <w:t xml:space="preserve"> </w:t>
        </w:r>
        <w:r w:rsidRPr="00FC2B9E">
          <w:rPr>
            <w:rFonts w:eastAsia="Times New Roman" w:cs="Arial"/>
            <w:color w:val="000000" w:themeColor="text1"/>
            <w:sz w:val="20"/>
            <w:szCs w:val="20"/>
            <w:lang w:eastAsia="en-AU"/>
          </w:rPr>
          <w:t>2026</w:t>
        </w:r>
        <w:r w:rsidR="005E318C">
          <w:rPr>
            <w:rFonts w:eastAsia="Times New Roman" w:cs="Arial"/>
            <w:color w:val="000000" w:themeColor="text1"/>
            <w:sz w:val="20"/>
            <w:szCs w:val="20"/>
            <w:lang w:eastAsia="en-AU"/>
          </w:rPr>
          <w:tab/>
        </w:r>
        <w:r w:rsidR="00FC40B4" w:rsidRPr="00FC40B4">
          <w:rPr>
            <w:sz w:val="20"/>
            <w:szCs w:val="20"/>
          </w:rPr>
          <w:fldChar w:fldCharType="begin"/>
        </w:r>
        <w:r w:rsidR="00FC40B4" w:rsidRPr="00FC40B4">
          <w:rPr>
            <w:sz w:val="20"/>
            <w:szCs w:val="20"/>
          </w:rPr>
          <w:instrText xml:space="preserve"> PAGE   \* MERGEFORMAT </w:instrText>
        </w:r>
        <w:r w:rsidR="00FC40B4" w:rsidRPr="00FC40B4">
          <w:rPr>
            <w:sz w:val="20"/>
            <w:szCs w:val="20"/>
          </w:rPr>
          <w:fldChar w:fldCharType="separate"/>
        </w:r>
        <w:r w:rsidR="00FC40B4" w:rsidRPr="00FC40B4">
          <w:rPr>
            <w:noProof/>
            <w:sz w:val="20"/>
            <w:szCs w:val="20"/>
          </w:rPr>
          <w:t>2</w:t>
        </w:r>
        <w:r w:rsidR="00FC40B4" w:rsidRPr="00FC40B4">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174312"/>
      <w:docPartObj>
        <w:docPartGallery w:val="Page Numbers (Bottom of Page)"/>
        <w:docPartUnique/>
      </w:docPartObj>
    </w:sdtPr>
    <w:sdtEndPr>
      <w:rPr>
        <w:noProof/>
      </w:rPr>
    </w:sdtEndPr>
    <w:sdtContent>
      <w:p w14:paraId="30F98050" w14:textId="18604E17" w:rsidR="00937804" w:rsidRPr="00FC2B9E" w:rsidRDefault="00BC16EA" w:rsidP="00B64789">
        <w:pPr>
          <w:tabs>
            <w:tab w:val="left" w:pos="9356"/>
          </w:tabs>
          <w:spacing w:before="80" w:after="0"/>
          <w:rPr>
            <w:rFonts w:eastAsia="Times New Roman" w:cs="Arial"/>
            <w:color w:val="000000"/>
            <w:sz w:val="20"/>
            <w:szCs w:val="20"/>
            <w:lang w:eastAsia="en-AU"/>
          </w:rPr>
        </w:pPr>
        <w:r w:rsidRPr="00FC2B9E">
          <w:rPr>
            <w:rFonts w:eastAsia="Times New Roman" w:cs="Arial"/>
            <w:color w:val="000000" w:themeColor="text1"/>
            <w:sz w:val="20"/>
            <w:szCs w:val="20"/>
            <w:lang w:eastAsia="en-AU"/>
          </w:rPr>
          <w:t>Schedule of fees and charges for residential care</w:t>
        </w:r>
        <w:r w:rsidRPr="00BC16EA">
          <w:rPr>
            <w:rFonts w:cs="Arial"/>
            <w:sz w:val="20"/>
            <w:szCs w:val="20"/>
          </w:rPr>
          <w:t xml:space="preserve"> </w:t>
        </w:r>
        <w:r w:rsidRPr="00FC2B9E">
          <w:rPr>
            <w:rFonts w:eastAsia="Times New Roman" w:cs="Arial"/>
            <w:color w:val="000000" w:themeColor="text1"/>
            <w:sz w:val="20"/>
            <w:szCs w:val="20"/>
            <w:lang w:eastAsia="en-AU"/>
          </w:rPr>
          <w:t xml:space="preserve">from </w:t>
        </w:r>
        <w:r w:rsidR="002C4E3D">
          <w:rPr>
            <w:rFonts w:eastAsia="Times New Roman" w:cs="Arial"/>
            <w:color w:val="000000" w:themeColor="text1"/>
            <w:sz w:val="20"/>
            <w:szCs w:val="20"/>
            <w:lang w:eastAsia="en-AU"/>
          </w:rPr>
          <w:t xml:space="preserve">1 July </w:t>
        </w:r>
        <w:r w:rsidRPr="00FC2B9E">
          <w:rPr>
            <w:rFonts w:eastAsia="Times New Roman" w:cs="Arial"/>
            <w:color w:val="000000" w:themeColor="text1"/>
            <w:sz w:val="20"/>
            <w:szCs w:val="20"/>
            <w:lang w:eastAsia="en-AU"/>
          </w:rPr>
          <w:t>2026</w:t>
        </w:r>
        <w:r w:rsidR="00B64789">
          <w:rPr>
            <w:rFonts w:eastAsia="Times New Roman" w:cs="Arial"/>
            <w:color w:val="000000" w:themeColor="text1"/>
            <w:sz w:val="20"/>
            <w:szCs w:val="20"/>
            <w:lang w:eastAsia="en-AU"/>
          </w:rPr>
          <w:tab/>
        </w:r>
        <w:r w:rsidR="004F4574">
          <w:fldChar w:fldCharType="begin"/>
        </w:r>
        <w:r w:rsidR="004F4574">
          <w:instrText xml:space="preserve"> PAGE   \* MERGEFORMAT </w:instrText>
        </w:r>
        <w:r w:rsidR="004F4574">
          <w:fldChar w:fldCharType="separate"/>
        </w:r>
        <w:r w:rsidR="004F4574">
          <w:rPr>
            <w:noProof/>
          </w:rPr>
          <w:t>2</w:t>
        </w:r>
        <w:r w:rsidR="004F4574">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EF9B" w14:textId="77777777" w:rsidR="001641F1" w:rsidRDefault="001641F1" w:rsidP="00FC40B4">
      <w:pPr>
        <w:spacing w:after="0" w:line="240" w:lineRule="auto"/>
      </w:pPr>
      <w:r>
        <w:separator/>
      </w:r>
    </w:p>
    <w:p w14:paraId="278EC8CE" w14:textId="77777777" w:rsidR="001641F1" w:rsidRDefault="001641F1"/>
  </w:footnote>
  <w:footnote w:type="continuationSeparator" w:id="0">
    <w:p w14:paraId="23A391FE" w14:textId="77777777" w:rsidR="001641F1" w:rsidRDefault="001641F1" w:rsidP="00FC40B4">
      <w:pPr>
        <w:spacing w:after="0" w:line="240" w:lineRule="auto"/>
      </w:pPr>
      <w:r>
        <w:continuationSeparator/>
      </w:r>
    </w:p>
    <w:p w14:paraId="55248D39" w14:textId="77777777" w:rsidR="001641F1" w:rsidRDefault="001641F1"/>
  </w:footnote>
  <w:footnote w:type="continuationNotice" w:id="1">
    <w:p w14:paraId="26740214" w14:textId="77777777" w:rsidR="001641F1" w:rsidRDefault="001641F1">
      <w:pPr>
        <w:spacing w:after="0" w:line="240" w:lineRule="auto"/>
      </w:pPr>
    </w:p>
    <w:p w14:paraId="4B807C7A" w14:textId="77777777" w:rsidR="001641F1" w:rsidRDefault="00164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8238" w14:textId="143C67FC" w:rsidR="00080B60" w:rsidRDefault="0075352C">
    <w:pPr>
      <w:pStyle w:val="Header"/>
    </w:pPr>
    <w:r>
      <w:rPr>
        <w:noProof/>
      </w:rPr>
      <mc:AlternateContent>
        <mc:Choice Requires="wps">
          <w:drawing>
            <wp:anchor distT="0" distB="0" distL="0" distR="0" simplePos="0" relativeHeight="251660289" behindDoc="0" locked="0" layoutInCell="1" allowOverlap="1" wp14:anchorId="6C6DEA30" wp14:editId="6D56CD0A">
              <wp:simplePos x="635" y="635"/>
              <wp:positionH relativeFrom="page">
                <wp:align>center</wp:align>
              </wp:positionH>
              <wp:positionV relativeFrom="page">
                <wp:align>top</wp:align>
              </wp:positionV>
              <wp:extent cx="622300" cy="404495"/>
              <wp:effectExtent l="0" t="0" r="6350" b="14605"/>
              <wp:wrapNone/>
              <wp:docPr id="7277471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75A5BB0" w14:textId="707C5CB4"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DEA30"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75A5BB0" w14:textId="707C5CB4" w:rsidR="0075352C" w:rsidRPr="0075352C" w:rsidRDefault="0075352C" w:rsidP="0075352C">
                    <w:pPr>
                      <w:spacing w:after="0"/>
                      <w:rPr>
                        <w:rFonts w:ascii="Aptos" w:eastAsia="Aptos" w:hAnsi="Aptos" w:cs="Aptos"/>
                        <w:noProof/>
                        <w:color w:val="FF0000"/>
                        <w:sz w:val="24"/>
                        <w:szCs w:val="24"/>
                      </w:rPr>
                    </w:pPr>
                    <w:r w:rsidRPr="0075352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AF9" w14:textId="5BAC2860" w:rsidR="00FC40B4" w:rsidRDefault="00AC6A2D" w:rsidP="00FC40B4">
    <w:pPr>
      <w:pStyle w:val="Header"/>
      <w:spacing w:before="120" w:after="120"/>
    </w:pPr>
    <w:r>
      <w:rPr>
        <w:noProof/>
        <w:lang w:eastAsia="en-AU"/>
      </w:rPr>
      <w:drawing>
        <wp:inline distT="0" distB="0" distL="0" distR="0" wp14:anchorId="51D59F8E" wp14:editId="7695D6EB">
          <wp:extent cx="5759450" cy="941705"/>
          <wp:effectExtent l="0" t="0" r="6350" b="0"/>
          <wp:docPr id="1002940020" name="Picture 10029400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40020" name="Picture 10029400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B619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D48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7016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08D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E86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285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1B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1C60"/>
    <w:lvl w:ilvl="0">
      <w:start w:val="1"/>
      <w:numFmt w:val="bullet"/>
      <w:pStyle w:val="ListBullet2"/>
      <w:lvlText w:val="-"/>
      <w:lvlJc w:val="left"/>
      <w:pPr>
        <w:ind w:left="643" w:hanging="360"/>
      </w:pPr>
      <w:rPr>
        <w:rFonts w:ascii="Courier New" w:hAnsi="Courier New" w:hint="default"/>
      </w:rPr>
    </w:lvl>
  </w:abstractNum>
  <w:abstractNum w:abstractNumId="8" w15:restartNumberingAfterBreak="0">
    <w:nsid w:val="FFFFFF88"/>
    <w:multiLevelType w:val="singleLevel"/>
    <w:tmpl w:val="938E1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0020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55DC0"/>
    <w:multiLevelType w:val="hybridMultilevel"/>
    <w:tmpl w:val="B5DE8764"/>
    <w:lvl w:ilvl="0" w:tplc="7472AC02">
      <w:start w:val="1"/>
      <w:numFmt w:val="bullet"/>
      <w:lvlText w:val=""/>
      <w:lvlJc w:val="left"/>
      <w:pPr>
        <w:ind w:left="720" w:hanging="360"/>
      </w:pPr>
      <w:rPr>
        <w:rFonts w:ascii="Symbol" w:hAnsi="Symbol"/>
      </w:rPr>
    </w:lvl>
    <w:lvl w:ilvl="1" w:tplc="45402328">
      <w:start w:val="1"/>
      <w:numFmt w:val="bullet"/>
      <w:lvlText w:val=""/>
      <w:lvlJc w:val="left"/>
      <w:pPr>
        <w:ind w:left="720" w:hanging="360"/>
      </w:pPr>
      <w:rPr>
        <w:rFonts w:ascii="Symbol" w:hAnsi="Symbol"/>
      </w:rPr>
    </w:lvl>
    <w:lvl w:ilvl="2" w:tplc="2A682980">
      <w:start w:val="1"/>
      <w:numFmt w:val="bullet"/>
      <w:lvlText w:val=""/>
      <w:lvlJc w:val="left"/>
      <w:pPr>
        <w:ind w:left="720" w:hanging="360"/>
      </w:pPr>
      <w:rPr>
        <w:rFonts w:ascii="Symbol" w:hAnsi="Symbol"/>
      </w:rPr>
    </w:lvl>
    <w:lvl w:ilvl="3" w:tplc="5C56AF60">
      <w:start w:val="1"/>
      <w:numFmt w:val="bullet"/>
      <w:lvlText w:val=""/>
      <w:lvlJc w:val="left"/>
      <w:pPr>
        <w:ind w:left="720" w:hanging="360"/>
      </w:pPr>
      <w:rPr>
        <w:rFonts w:ascii="Symbol" w:hAnsi="Symbol"/>
      </w:rPr>
    </w:lvl>
    <w:lvl w:ilvl="4" w:tplc="80C81658">
      <w:start w:val="1"/>
      <w:numFmt w:val="bullet"/>
      <w:lvlText w:val=""/>
      <w:lvlJc w:val="left"/>
      <w:pPr>
        <w:ind w:left="720" w:hanging="360"/>
      </w:pPr>
      <w:rPr>
        <w:rFonts w:ascii="Symbol" w:hAnsi="Symbol"/>
      </w:rPr>
    </w:lvl>
    <w:lvl w:ilvl="5" w:tplc="9BF4465E">
      <w:start w:val="1"/>
      <w:numFmt w:val="bullet"/>
      <w:lvlText w:val=""/>
      <w:lvlJc w:val="left"/>
      <w:pPr>
        <w:ind w:left="720" w:hanging="360"/>
      </w:pPr>
      <w:rPr>
        <w:rFonts w:ascii="Symbol" w:hAnsi="Symbol"/>
      </w:rPr>
    </w:lvl>
    <w:lvl w:ilvl="6" w:tplc="D50E1CBC">
      <w:start w:val="1"/>
      <w:numFmt w:val="bullet"/>
      <w:lvlText w:val=""/>
      <w:lvlJc w:val="left"/>
      <w:pPr>
        <w:ind w:left="720" w:hanging="360"/>
      </w:pPr>
      <w:rPr>
        <w:rFonts w:ascii="Symbol" w:hAnsi="Symbol"/>
      </w:rPr>
    </w:lvl>
    <w:lvl w:ilvl="7" w:tplc="D3E6E04E">
      <w:start w:val="1"/>
      <w:numFmt w:val="bullet"/>
      <w:lvlText w:val=""/>
      <w:lvlJc w:val="left"/>
      <w:pPr>
        <w:ind w:left="720" w:hanging="360"/>
      </w:pPr>
      <w:rPr>
        <w:rFonts w:ascii="Symbol" w:hAnsi="Symbol"/>
      </w:rPr>
    </w:lvl>
    <w:lvl w:ilvl="8" w:tplc="B1385DEC">
      <w:start w:val="1"/>
      <w:numFmt w:val="bullet"/>
      <w:lvlText w:val=""/>
      <w:lvlJc w:val="left"/>
      <w:pPr>
        <w:ind w:left="720" w:hanging="360"/>
      </w:pPr>
      <w:rPr>
        <w:rFonts w:ascii="Symbol" w:hAnsi="Symbol"/>
      </w:rPr>
    </w:lvl>
  </w:abstractNum>
  <w:abstractNum w:abstractNumId="11" w15:restartNumberingAfterBreak="0">
    <w:nsid w:val="0F363F7A"/>
    <w:multiLevelType w:val="hybridMultilevel"/>
    <w:tmpl w:val="78DE64F4"/>
    <w:lvl w:ilvl="0" w:tplc="99C24450">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B72347"/>
    <w:multiLevelType w:val="hybridMultilevel"/>
    <w:tmpl w:val="24682D2E"/>
    <w:lvl w:ilvl="0" w:tplc="0FDCD15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F30D0F"/>
    <w:multiLevelType w:val="hybridMultilevel"/>
    <w:tmpl w:val="76A06A3A"/>
    <w:lvl w:ilvl="0" w:tplc="95345F7A">
      <w:start w:val="1"/>
      <w:numFmt w:val="bullet"/>
      <w:lvlText w:val=""/>
      <w:lvlJc w:val="left"/>
      <w:pPr>
        <w:ind w:left="1360" w:hanging="360"/>
      </w:pPr>
      <w:rPr>
        <w:rFonts w:ascii="Symbol" w:hAnsi="Symbol"/>
      </w:rPr>
    </w:lvl>
    <w:lvl w:ilvl="1" w:tplc="32E87DDE">
      <w:start w:val="1"/>
      <w:numFmt w:val="bullet"/>
      <w:lvlText w:val=""/>
      <w:lvlJc w:val="left"/>
      <w:pPr>
        <w:ind w:left="1360" w:hanging="360"/>
      </w:pPr>
      <w:rPr>
        <w:rFonts w:ascii="Symbol" w:hAnsi="Symbol"/>
      </w:rPr>
    </w:lvl>
    <w:lvl w:ilvl="2" w:tplc="320AF6D8">
      <w:start w:val="1"/>
      <w:numFmt w:val="bullet"/>
      <w:lvlText w:val=""/>
      <w:lvlJc w:val="left"/>
      <w:pPr>
        <w:ind w:left="1360" w:hanging="360"/>
      </w:pPr>
      <w:rPr>
        <w:rFonts w:ascii="Symbol" w:hAnsi="Symbol"/>
      </w:rPr>
    </w:lvl>
    <w:lvl w:ilvl="3" w:tplc="67164CCE">
      <w:start w:val="1"/>
      <w:numFmt w:val="bullet"/>
      <w:lvlText w:val=""/>
      <w:lvlJc w:val="left"/>
      <w:pPr>
        <w:ind w:left="1360" w:hanging="360"/>
      </w:pPr>
      <w:rPr>
        <w:rFonts w:ascii="Symbol" w:hAnsi="Symbol"/>
      </w:rPr>
    </w:lvl>
    <w:lvl w:ilvl="4" w:tplc="CB10C2F8">
      <w:start w:val="1"/>
      <w:numFmt w:val="bullet"/>
      <w:lvlText w:val=""/>
      <w:lvlJc w:val="left"/>
      <w:pPr>
        <w:ind w:left="1360" w:hanging="360"/>
      </w:pPr>
      <w:rPr>
        <w:rFonts w:ascii="Symbol" w:hAnsi="Symbol"/>
      </w:rPr>
    </w:lvl>
    <w:lvl w:ilvl="5" w:tplc="5A36225A">
      <w:start w:val="1"/>
      <w:numFmt w:val="bullet"/>
      <w:lvlText w:val=""/>
      <w:lvlJc w:val="left"/>
      <w:pPr>
        <w:ind w:left="1360" w:hanging="360"/>
      </w:pPr>
      <w:rPr>
        <w:rFonts w:ascii="Symbol" w:hAnsi="Symbol"/>
      </w:rPr>
    </w:lvl>
    <w:lvl w:ilvl="6" w:tplc="36F47DD8">
      <w:start w:val="1"/>
      <w:numFmt w:val="bullet"/>
      <w:lvlText w:val=""/>
      <w:lvlJc w:val="left"/>
      <w:pPr>
        <w:ind w:left="1360" w:hanging="360"/>
      </w:pPr>
      <w:rPr>
        <w:rFonts w:ascii="Symbol" w:hAnsi="Symbol"/>
      </w:rPr>
    </w:lvl>
    <w:lvl w:ilvl="7" w:tplc="59D0E9AA">
      <w:start w:val="1"/>
      <w:numFmt w:val="bullet"/>
      <w:lvlText w:val=""/>
      <w:lvlJc w:val="left"/>
      <w:pPr>
        <w:ind w:left="1360" w:hanging="360"/>
      </w:pPr>
      <w:rPr>
        <w:rFonts w:ascii="Symbol" w:hAnsi="Symbol"/>
      </w:rPr>
    </w:lvl>
    <w:lvl w:ilvl="8" w:tplc="A2A2A8B6">
      <w:start w:val="1"/>
      <w:numFmt w:val="bullet"/>
      <w:lvlText w:val=""/>
      <w:lvlJc w:val="left"/>
      <w:pPr>
        <w:ind w:left="1360" w:hanging="360"/>
      </w:pPr>
      <w:rPr>
        <w:rFonts w:ascii="Symbol" w:hAnsi="Symbol"/>
      </w:rPr>
    </w:lvl>
  </w:abstractNum>
  <w:abstractNum w:abstractNumId="14" w15:restartNumberingAfterBreak="0">
    <w:nsid w:val="1BA0032C"/>
    <w:multiLevelType w:val="hybridMultilevel"/>
    <w:tmpl w:val="E0BAD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E72E1"/>
    <w:multiLevelType w:val="hybridMultilevel"/>
    <w:tmpl w:val="FB46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D43FF7"/>
    <w:multiLevelType w:val="hybridMultilevel"/>
    <w:tmpl w:val="CE2AC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92547"/>
    <w:multiLevelType w:val="hybridMultilevel"/>
    <w:tmpl w:val="9C7CDC58"/>
    <w:lvl w:ilvl="0" w:tplc="CFF0DA30">
      <w:start w:val="1"/>
      <w:numFmt w:val="bullet"/>
      <w:lvlText w:val=""/>
      <w:lvlJc w:val="left"/>
      <w:pPr>
        <w:ind w:left="720" w:hanging="360"/>
      </w:pPr>
      <w:rPr>
        <w:rFonts w:ascii="Symbol" w:hAnsi="Symbol"/>
      </w:rPr>
    </w:lvl>
    <w:lvl w:ilvl="1" w:tplc="EEB89E34">
      <w:start w:val="1"/>
      <w:numFmt w:val="bullet"/>
      <w:lvlText w:val=""/>
      <w:lvlJc w:val="left"/>
      <w:pPr>
        <w:ind w:left="720" w:hanging="360"/>
      </w:pPr>
      <w:rPr>
        <w:rFonts w:ascii="Symbol" w:hAnsi="Symbol"/>
      </w:rPr>
    </w:lvl>
    <w:lvl w:ilvl="2" w:tplc="A5BEF79E">
      <w:start w:val="1"/>
      <w:numFmt w:val="bullet"/>
      <w:lvlText w:val=""/>
      <w:lvlJc w:val="left"/>
      <w:pPr>
        <w:ind w:left="720" w:hanging="360"/>
      </w:pPr>
      <w:rPr>
        <w:rFonts w:ascii="Symbol" w:hAnsi="Symbol"/>
      </w:rPr>
    </w:lvl>
    <w:lvl w:ilvl="3" w:tplc="341C9534">
      <w:start w:val="1"/>
      <w:numFmt w:val="bullet"/>
      <w:lvlText w:val=""/>
      <w:lvlJc w:val="left"/>
      <w:pPr>
        <w:ind w:left="720" w:hanging="360"/>
      </w:pPr>
      <w:rPr>
        <w:rFonts w:ascii="Symbol" w:hAnsi="Symbol"/>
      </w:rPr>
    </w:lvl>
    <w:lvl w:ilvl="4" w:tplc="8E549CE0">
      <w:start w:val="1"/>
      <w:numFmt w:val="bullet"/>
      <w:lvlText w:val=""/>
      <w:lvlJc w:val="left"/>
      <w:pPr>
        <w:ind w:left="720" w:hanging="360"/>
      </w:pPr>
      <w:rPr>
        <w:rFonts w:ascii="Symbol" w:hAnsi="Symbol"/>
      </w:rPr>
    </w:lvl>
    <w:lvl w:ilvl="5" w:tplc="D7380B84">
      <w:start w:val="1"/>
      <w:numFmt w:val="bullet"/>
      <w:lvlText w:val=""/>
      <w:lvlJc w:val="left"/>
      <w:pPr>
        <w:ind w:left="720" w:hanging="360"/>
      </w:pPr>
      <w:rPr>
        <w:rFonts w:ascii="Symbol" w:hAnsi="Symbol"/>
      </w:rPr>
    </w:lvl>
    <w:lvl w:ilvl="6" w:tplc="4B42977C">
      <w:start w:val="1"/>
      <w:numFmt w:val="bullet"/>
      <w:lvlText w:val=""/>
      <w:lvlJc w:val="left"/>
      <w:pPr>
        <w:ind w:left="720" w:hanging="360"/>
      </w:pPr>
      <w:rPr>
        <w:rFonts w:ascii="Symbol" w:hAnsi="Symbol"/>
      </w:rPr>
    </w:lvl>
    <w:lvl w:ilvl="7" w:tplc="DF5C71C6">
      <w:start w:val="1"/>
      <w:numFmt w:val="bullet"/>
      <w:lvlText w:val=""/>
      <w:lvlJc w:val="left"/>
      <w:pPr>
        <w:ind w:left="720" w:hanging="360"/>
      </w:pPr>
      <w:rPr>
        <w:rFonts w:ascii="Symbol" w:hAnsi="Symbol"/>
      </w:rPr>
    </w:lvl>
    <w:lvl w:ilvl="8" w:tplc="46FC94A4">
      <w:start w:val="1"/>
      <w:numFmt w:val="bullet"/>
      <w:lvlText w:val=""/>
      <w:lvlJc w:val="left"/>
      <w:pPr>
        <w:ind w:left="720" w:hanging="360"/>
      </w:pPr>
      <w:rPr>
        <w:rFonts w:ascii="Symbol" w:hAnsi="Symbol"/>
      </w:rPr>
    </w:lvl>
  </w:abstractNum>
  <w:abstractNum w:abstractNumId="18" w15:restartNumberingAfterBreak="0">
    <w:nsid w:val="4C4073FA"/>
    <w:multiLevelType w:val="hybridMultilevel"/>
    <w:tmpl w:val="42BA3FBC"/>
    <w:lvl w:ilvl="0" w:tplc="7632EDB2">
      <w:start w:val="1"/>
      <w:numFmt w:val="bullet"/>
      <w:lvlText w:val=""/>
      <w:lvlJc w:val="left"/>
      <w:pPr>
        <w:ind w:left="720" w:hanging="360"/>
      </w:pPr>
      <w:rPr>
        <w:rFonts w:ascii="Symbol" w:hAnsi="Symbol"/>
      </w:rPr>
    </w:lvl>
    <w:lvl w:ilvl="1" w:tplc="779AE53C">
      <w:start w:val="1"/>
      <w:numFmt w:val="bullet"/>
      <w:lvlText w:val=""/>
      <w:lvlJc w:val="left"/>
      <w:pPr>
        <w:ind w:left="720" w:hanging="360"/>
      </w:pPr>
      <w:rPr>
        <w:rFonts w:ascii="Symbol" w:hAnsi="Symbol"/>
      </w:rPr>
    </w:lvl>
    <w:lvl w:ilvl="2" w:tplc="B728ED9E">
      <w:start w:val="1"/>
      <w:numFmt w:val="bullet"/>
      <w:lvlText w:val=""/>
      <w:lvlJc w:val="left"/>
      <w:pPr>
        <w:ind w:left="720" w:hanging="360"/>
      </w:pPr>
      <w:rPr>
        <w:rFonts w:ascii="Symbol" w:hAnsi="Symbol"/>
      </w:rPr>
    </w:lvl>
    <w:lvl w:ilvl="3" w:tplc="633ED7E0">
      <w:start w:val="1"/>
      <w:numFmt w:val="bullet"/>
      <w:lvlText w:val=""/>
      <w:lvlJc w:val="left"/>
      <w:pPr>
        <w:ind w:left="720" w:hanging="360"/>
      </w:pPr>
      <w:rPr>
        <w:rFonts w:ascii="Symbol" w:hAnsi="Symbol"/>
      </w:rPr>
    </w:lvl>
    <w:lvl w:ilvl="4" w:tplc="56383818">
      <w:start w:val="1"/>
      <w:numFmt w:val="bullet"/>
      <w:lvlText w:val=""/>
      <w:lvlJc w:val="left"/>
      <w:pPr>
        <w:ind w:left="720" w:hanging="360"/>
      </w:pPr>
      <w:rPr>
        <w:rFonts w:ascii="Symbol" w:hAnsi="Symbol"/>
      </w:rPr>
    </w:lvl>
    <w:lvl w:ilvl="5" w:tplc="70F00A28">
      <w:start w:val="1"/>
      <w:numFmt w:val="bullet"/>
      <w:lvlText w:val=""/>
      <w:lvlJc w:val="left"/>
      <w:pPr>
        <w:ind w:left="720" w:hanging="360"/>
      </w:pPr>
      <w:rPr>
        <w:rFonts w:ascii="Symbol" w:hAnsi="Symbol"/>
      </w:rPr>
    </w:lvl>
    <w:lvl w:ilvl="6" w:tplc="0D2CC038">
      <w:start w:val="1"/>
      <w:numFmt w:val="bullet"/>
      <w:lvlText w:val=""/>
      <w:lvlJc w:val="left"/>
      <w:pPr>
        <w:ind w:left="720" w:hanging="360"/>
      </w:pPr>
      <w:rPr>
        <w:rFonts w:ascii="Symbol" w:hAnsi="Symbol"/>
      </w:rPr>
    </w:lvl>
    <w:lvl w:ilvl="7" w:tplc="CFC2DD02">
      <w:start w:val="1"/>
      <w:numFmt w:val="bullet"/>
      <w:lvlText w:val=""/>
      <w:lvlJc w:val="left"/>
      <w:pPr>
        <w:ind w:left="720" w:hanging="360"/>
      </w:pPr>
      <w:rPr>
        <w:rFonts w:ascii="Symbol" w:hAnsi="Symbol"/>
      </w:rPr>
    </w:lvl>
    <w:lvl w:ilvl="8" w:tplc="18942EF2">
      <w:start w:val="1"/>
      <w:numFmt w:val="bullet"/>
      <w:lvlText w:val=""/>
      <w:lvlJc w:val="left"/>
      <w:pPr>
        <w:ind w:left="720" w:hanging="360"/>
      </w:pPr>
      <w:rPr>
        <w:rFonts w:ascii="Symbol" w:hAnsi="Symbol"/>
      </w:rPr>
    </w:lvl>
  </w:abstractNum>
  <w:abstractNum w:abstractNumId="19" w15:restartNumberingAfterBreak="0">
    <w:nsid w:val="5ECF7C13"/>
    <w:multiLevelType w:val="hybridMultilevel"/>
    <w:tmpl w:val="4A84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DD3D32"/>
    <w:multiLevelType w:val="hybridMultilevel"/>
    <w:tmpl w:val="D28E1164"/>
    <w:lvl w:ilvl="0" w:tplc="8F80B6DA">
      <w:start w:val="1"/>
      <w:numFmt w:val="bullet"/>
      <w:lvlText w:val=""/>
      <w:lvlJc w:val="left"/>
      <w:pPr>
        <w:ind w:left="720" w:hanging="360"/>
      </w:pPr>
      <w:rPr>
        <w:rFonts w:ascii="Symbol" w:hAnsi="Symbol"/>
      </w:rPr>
    </w:lvl>
    <w:lvl w:ilvl="1" w:tplc="3C5CEA88">
      <w:start w:val="1"/>
      <w:numFmt w:val="bullet"/>
      <w:lvlText w:val=""/>
      <w:lvlJc w:val="left"/>
      <w:pPr>
        <w:ind w:left="720" w:hanging="360"/>
      </w:pPr>
      <w:rPr>
        <w:rFonts w:ascii="Symbol" w:hAnsi="Symbol"/>
      </w:rPr>
    </w:lvl>
    <w:lvl w:ilvl="2" w:tplc="18EC73D0">
      <w:start w:val="1"/>
      <w:numFmt w:val="bullet"/>
      <w:lvlText w:val=""/>
      <w:lvlJc w:val="left"/>
      <w:pPr>
        <w:ind w:left="720" w:hanging="360"/>
      </w:pPr>
      <w:rPr>
        <w:rFonts w:ascii="Symbol" w:hAnsi="Symbol"/>
      </w:rPr>
    </w:lvl>
    <w:lvl w:ilvl="3" w:tplc="8EC249D6">
      <w:start w:val="1"/>
      <w:numFmt w:val="bullet"/>
      <w:lvlText w:val=""/>
      <w:lvlJc w:val="left"/>
      <w:pPr>
        <w:ind w:left="720" w:hanging="360"/>
      </w:pPr>
      <w:rPr>
        <w:rFonts w:ascii="Symbol" w:hAnsi="Symbol"/>
      </w:rPr>
    </w:lvl>
    <w:lvl w:ilvl="4" w:tplc="F498036E">
      <w:start w:val="1"/>
      <w:numFmt w:val="bullet"/>
      <w:lvlText w:val=""/>
      <w:lvlJc w:val="left"/>
      <w:pPr>
        <w:ind w:left="720" w:hanging="360"/>
      </w:pPr>
      <w:rPr>
        <w:rFonts w:ascii="Symbol" w:hAnsi="Symbol"/>
      </w:rPr>
    </w:lvl>
    <w:lvl w:ilvl="5" w:tplc="0F627DAE">
      <w:start w:val="1"/>
      <w:numFmt w:val="bullet"/>
      <w:lvlText w:val=""/>
      <w:lvlJc w:val="left"/>
      <w:pPr>
        <w:ind w:left="720" w:hanging="360"/>
      </w:pPr>
      <w:rPr>
        <w:rFonts w:ascii="Symbol" w:hAnsi="Symbol"/>
      </w:rPr>
    </w:lvl>
    <w:lvl w:ilvl="6" w:tplc="067C100A">
      <w:start w:val="1"/>
      <w:numFmt w:val="bullet"/>
      <w:lvlText w:val=""/>
      <w:lvlJc w:val="left"/>
      <w:pPr>
        <w:ind w:left="720" w:hanging="360"/>
      </w:pPr>
      <w:rPr>
        <w:rFonts w:ascii="Symbol" w:hAnsi="Symbol"/>
      </w:rPr>
    </w:lvl>
    <w:lvl w:ilvl="7" w:tplc="9822D5AA">
      <w:start w:val="1"/>
      <w:numFmt w:val="bullet"/>
      <w:lvlText w:val=""/>
      <w:lvlJc w:val="left"/>
      <w:pPr>
        <w:ind w:left="720" w:hanging="360"/>
      </w:pPr>
      <w:rPr>
        <w:rFonts w:ascii="Symbol" w:hAnsi="Symbol"/>
      </w:rPr>
    </w:lvl>
    <w:lvl w:ilvl="8" w:tplc="9CFE6DD8">
      <w:start w:val="1"/>
      <w:numFmt w:val="bullet"/>
      <w:lvlText w:val=""/>
      <w:lvlJc w:val="left"/>
      <w:pPr>
        <w:ind w:left="720" w:hanging="360"/>
      </w:pPr>
      <w:rPr>
        <w:rFonts w:ascii="Symbol" w:hAnsi="Symbol"/>
      </w:rPr>
    </w:lvl>
  </w:abstractNum>
  <w:abstractNum w:abstractNumId="21" w15:restartNumberingAfterBreak="0">
    <w:nsid w:val="69471193"/>
    <w:multiLevelType w:val="hybridMultilevel"/>
    <w:tmpl w:val="D1E260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79212">
    <w:abstractNumId w:val="14"/>
  </w:num>
  <w:num w:numId="2" w16cid:durableId="511991696">
    <w:abstractNumId w:val="16"/>
  </w:num>
  <w:num w:numId="3" w16cid:durableId="854880652">
    <w:abstractNumId w:val="9"/>
  </w:num>
  <w:num w:numId="4" w16cid:durableId="900605057">
    <w:abstractNumId w:val="7"/>
  </w:num>
  <w:num w:numId="5" w16cid:durableId="2055735565">
    <w:abstractNumId w:val="6"/>
  </w:num>
  <w:num w:numId="6" w16cid:durableId="967777523">
    <w:abstractNumId w:val="5"/>
  </w:num>
  <w:num w:numId="7" w16cid:durableId="781343398">
    <w:abstractNumId w:val="4"/>
  </w:num>
  <w:num w:numId="8" w16cid:durableId="1362130778">
    <w:abstractNumId w:val="8"/>
  </w:num>
  <w:num w:numId="9" w16cid:durableId="913466699">
    <w:abstractNumId w:val="3"/>
  </w:num>
  <w:num w:numId="10" w16cid:durableId="394015714">
    <w:abstractNumId w:val="2"/>
  </w:num>
  <w:num w:numId="11" w16cid:durableId="1119761738">
    <w:abstractNumId w:val="1"/>
  </w:num>
  <w:num w:numId="12" w16cid:durableId="849829587">
    <w:abstractNumId w:val="0"/>
  </w:num>
  <w:num w:numId="13" w16cid:durableId="1388190551">
    <w:abstractNumId w:val="21"/>
  </w:num>
  <w:num w:numId="14" w16cid:durableId="2054235477">
    <w:abstractNumId w:val="17"/>
  </w:num>
  <w:num w:numId="15" w16cid:durableId="969481621">
    <w:abstractNumId w:val="18"/>
  </w:num>
  <w:num w:numId="16" w16cid:durableId="1531214939">
    <w:abstractNumId w:val="10"/>
  </w:num>
  <w:num w:numId="17" w16cid:durableId="805440380">
    <w:abstractNumId w:val="20"/>
  </w:num>
  <w:num w:numId="18" w16cid:durableId="1822194707">
    <w:abstractNumId w:val="15"/>
  </w:num>
  <w:num w:numId="19" w16cid:durableId="2056418303">
    <w:abstractNumId w:val="11"/>
  </w:num>
  <w:num w:numId="20" w16cid:durableId="1884904767">
    <w:abstractNumId w:val="12"/>
  </w:num>
  <w:num w:numId="21" w16cid:durableId="853886969">
    <w:abstractNumId w:val="19"/>
  </w:num>
  <w:num w:numId="22" w16cid:durableId="290867653">
    <w:abstractNumId w:val="7"/>
  </w:num>
  <w:num w:numId="23" w16cid:durableId="1440101785">
    <w:abstractNumId w:val="7"/>
  </w:num>
  <w:num w:numId="24" w16cid:durableId="26150546">
    <w:abstractNumId w:val="7"/>
  </w:num>
  <w:num w:numId="25" w16cid:durableId="1203516809">
    <w:abstractNumId w:val="7"/>
  </w:num>
  <w:num w:numId="26" w16cid:durableId="256671549">
    <w:abstractNumId w:val="7"/>
  </w:num>
  <w:num w:numId="27" w16cid:durableId="1715036643">
    <w:abstractNumId w:val="7"/>
  </w:num>
  <w:num w:numId="28" w16cid:durableId="1513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98"/>
    <w:rsid w:val="00000394"/>
    <w:rsid w:val="00000D5F"/>
    <w:rsid w:val="0000187B"/>
    <w:rsid w:val="00001A91"/>
    <w:rsid w:val="00002098"/>
    <w:rsid w:val="000025AA"/>
    <w:rsid w:val="00002BBF"/>
    <w:rsid w:val="000035A9"/>
    <w:rsid w:val="00004561"/>
    <w:rsid w:val="00004863"/>
    <w:rsid w:val="000055A6"/>
    <w:rsid w:val="00005E16"/>
    <w:rsid w:val="0000634E"/>
    <w:rsid w:val="000107EC"/>
    <w:rsid w:val="00010ABB"/>
    <w:rsid w:val="00011489"/>
    <w:rsid w:val="000117B8"/>
    <w:rsid w:val="00011CCB"/>
    <w:rsid w:val="000121BA"/>
    <w:rsid w:val="0001330D"/>
    <w:rsid w:val="00014B68"/>
    <w:rsid w:val="00015AF1"/>
    <w:rsid w:val="00017ED3"/>
    <w:rsid w:val="000205D9"/>
    <w:rsid w:val="00020B9C"/>
    <w:rsid w:val="0002182E"/>
    <w:rsid w:val="00022112"/>
    <w:rsid w:val="000231AD"/>
    <w:rsid w:val="00025B29"/>
    <w:rsid w:val="0002695F"/>
    <w:rsid w:val="00026D15"/>
    <w:rsid w:val="00032791"/>
    <w:rsid w:val="000328D8"/>
    <w:rsid w:val="000332ED"/>
    <w:rsid w:val="00033FA2"/>
    <w:rsid w:val="000378BC"/>
    <w:rsid w:val="00046A56"/>
    <w:rsid w:val="0004707E"/>
    <w:rsid w:val="00047C2D"/>
    <w:rsid w:val="000500BC"/>
    <w:rsid w:val="000502BB"/>
    <w:rsid w:val="00050FBE"/>
    <w:rsid w:val="00051348"/>
    <w:rsid w:val="000541D6"/>
    <w:rsid w:val="000548F5"/>
    <w:rsid w:val="00055985"/>
    <w:rsid w:val="00057179"/>
    <w:rsid w:val="000602AC"/>
    <w:rsid w:val="000603AB"/>
    <w:rsid w:val="000614E8"/>
    <w:rsid w:val="00062D5E"/>
    <w:rsid w:val="000649B9"/>
    <w:rsid w:val="00064C65"/>
    <w:rsid w:val="00065383"/>
    <w:rsid w:val="00065DD6"/>
    <w:rsid w:val="00066463"/>
    <w:rsid w:val="0006714E"/>
    <w:rsid w:val="000679B1"/>
    <w:rsid w:val="0007344D"/>
    <w:rsid w:val="0007521B"/>
    <w:rsid w:val="00075978"/>
    <w:rsid w:val="00075EFB"/>
    <w:rsid w:val="0007633A"/>
    <w:rsid w:val="000768BA"/>
    <w:rsid w:val="00076C67"/>
    <w:rsid w:val="00076FB6"/>
    <w:rsid w:val="00080B60"/>
    <w:rsid w:val="00080D57"/>
    <w:rsid w:val="00080DED"/>
    <w:rsid w:val="0008106E"/>
    <w:rsid w:val="000819B2"/>
    <w:rsid w:val="000822C0"/>
    <w:rsid w:val="0008278B"/>
    <w:rsid w:val="0008325D"/>
    <w:rsid w:val="000834DC"/>
    <w:rsid w:val="00085940"/>
    <w:rsid w:val="0008623D"/>
    <w:rsid w:val="0008633D"/>
    <w:rsid w:val="00087B2B"/>
    <w:rsid w:val="0009072B"/>
    <w:rsid w:val="0009247B"/>
    <w:rsid w:val="0009780B"/>
    <w:rsid w:val="00097FDB"/>
    <w:rsid w:val="000A1078"/>
    <w:rsid w:val="000A1361"/>
    <w:rsid w:val="000A343B"/>
    <w:rsid w:val="000A40A3"/>
    <w:rsid w:val="000A4254"/>
    <w:rsid w:val="000A5494"/>
    <w:rsid w:val="000A57CD"/>
    <w:rsid w:val="000A6CDC"/>
    <w:rsid w:val="000A6FD6"/>
    <w:rsid w:val="000A7708"/>
    <w:rsid w:val="000B1937"/>
    <w:rsid w:val="000B2EA2"/>
    <w:rsid w:val="000B365E"/>
    <w:rsid w:val="000B3BA5"/>
    <w:rsid w:val="000B46B9"/>
    <w:rsid w:val="000B4D85"/>
    <w:rsid w:val="000B7E04"/>
    <w:rsid w:val="000C0269"/>
    <w:rsid w:val="000C037A"/>
    <w:rsid w:val="000C2133"/>
    <w:rsid w:val="000C2332"/>
    <w:rsid w:val="000C2A48"/>
    <w:rsid w:val="000C3A8C"/>
    <w:rsid w:val="000C4DD1"/>
    <w:rsid w:val="000C5ADE"/>
    <w:rsid w:val="000C77B4"/>
    <w:rsid w:val="000D1E4C"/>
    <w:rsid w:val="000D3659"/>
    <w:rsid w:val="000D3976"/>
    <w:rsid w:val="000D5F8E"/>
    <w:rsid w:val="000D6989"/>
    <w:rsid w:val="000E1D4B"/>
    <w:rsid w:val="000E3E97"/>
    <w:rsid w:val="000E4359"/>
    <w:rsid w:val="000E4F0E"/>
    <w:rsid w:val="000F050D"/>
    <w:rsid w:val="000F0D14"/>
    <w:rsid w:val="000F2526"/>
    <w:rsid w:val="000F714A"/>
    <w:rsid w:val="000F7769"/>
    <w:rsid w:val="00101AD6"/>
    <w:rsid w:val="0010394B"/>
    <w:rsid w:val="0010416C"/>
    <w:rsid w:val="0010425C"/>
    <w:rsid w:val="00104743"/>
    <w:rsid w:val="00104E1B"/>
    <w:rsid w:val="00106887"/>
    <w:rsid w:val="00107250"/>
    <w:rsid w:val="001074C5"/>
    <w:rsid w:val="001074CD"/>
    <w:rsid w:val="00110938"/>
    <w:rsid w:val="00112247"/>
    <w:rsid w:val="00112CDD"/>
    <w:rsid w:val="0011472E"/>
    <w:rsid w:val="0011536D"/>
    <w:rsid w:val="00115464"/>
    <w:rsid w:val="00115582"/>
    <w:rsid w:val="00115BB2"/>
    <w:rsid w:val="001161A3"/>
    <w:rsid w:val="001172BE"/>
    <w:rsid w:val="00117E20"/>
    <w:rsid w:val="0011EE37"/>
    <w:rsid w:val="001203D7"/>
    <w:rsid w:val="00120A5E"/>
    <w:rsid w:val="001234B1"/>
    <w:rsid w:val="0012360D"/>
    <w:rsid w:val="0012498E"/>
    <w:rsid w:val="00125B51"/>
    <w:rsid w:val="00126681"/>
    <w:rsid w:val="00126C8A"/>
    <w:rsid w:val="00130D5B"/>
    <w:rsid w:val="00130DAE"/>
    <w:rsid w:val="00131C94"/>
    <w:rsid w:val="001334CC"/>
    <w:rsid w:val="00134200"/>
    <w:rsid w:val="00135C36"/>
    <w:rsid w:val="00141129"/>
    <w:rsid w:val="00142095"/>
    <w:rsid w:val="001436F7"/>
    <w:rsid w:val="00143EE3"/>
    <w:rsid w:val="00144033"/>
    <w:rsid w:val="001449B7"/>
    <w:rsid w:val="00144E0B"/>
    <w:rsid w:val="001457E7"/>
    <w:rsid w:val="00145A52"/>
    <w:rsid w:val="00145E23"/>
    <w:rsid w:val="001469B7"/>
    <w:rsid w:val="00151ADE"/>
    <w:rsid w:val="00152A46"/>
    <w:rsid w:val="00153F3D"/>
    <w:rsid w:val="00154DE4"/>
    <w:rsid w:val="00157EFC"/>
    <w:rsid w:val="001603BD"/>
    <w:rsid w:val="001610B0"/>
    <w:rsid w:val="00161AD1"/>
    <w:rsid w:val="00163D16"/>
    <w:rsid w:val="00163FCC"/>
    <w:rsid w:val="001641F1"/>
    <w:rsid w:val="001645AD"/>
    <w:rsid w:val="001654F4"/>
    <w:rsid w:val="001655B9"/>
    <w:rsid w:val="00167DC9"/>
    <w:rsid w:val="0017064D"/>
    <w:rsid w:val="00171099"/>
    <w:rsid w:val="0017153D"/>
    <w:rsid w:val="00172394"/>
    <w:rsid w:val="00172631"/>
    <w:rsid w:val="00173573"/>
    <w:rsid w:val="001749FC"/>
    <w:rsid w:val="00175568"/>
    <w:rsid w:val="00176D56"/>
    <w:rsid w:val="00176DE5"/>
    <w:rsid w:val="00177D98"/>
    <w:rsid w:val="00180949"/>
    <w:rsid w:val="00180F9A"/>
    <w:rsid w:val="001813C1"/>
    <w:rsid w:val="00181608"/>
    <w:rsid w:val="001816BA"/>
    <w:rsid w:val="00182652"/>
    <w:rsid w:val="00182667"/>
    <w:rsid w:val="0018296A"/>
    <w:rsid w:val="001849C1"/>
    <w:rsid w:val="00185C6B"/>
    <w:rsid w:val="00187DCD"/>
    <w:rsid w:val="00193657"/>
    <w:rsid w:val="00194416"/>
    <w:rsid w:val="00194608"/>
    <w:rsid w:val="00196C65"/>
    <w:rsid w:val="001A1691"/>
    <w:rsid w:val="001A1A72"/>
    <w:rsid w:val="001A2A94"/>
    <w:rsid w:val="001A3CEF"/>
    <w:rsid w:val="001A3FEC"/>
    <w:rsid w:val="001A63D4"/>
    <w:rsid w:val="001A6A46"/>
    <w:rsid w:val="001A7F84"/>
    <w:rsid w:val="001B12A0"/>
    <w:rsid w:val="001B1A5D"/>
    <w:rsid w:val="001B36DD"/>
    <w:rsid w:val="001B508B"/>
    <w:rsid w:val="001B5E4C"/>
    <w:rsid w:val="001B64C6"/>
    <w:rsid w:val="001C1844"/>
    <w:rsid w:val="001C2556"/>
    <w:rsid w:val="001C415B"/>
    <w:rsid w:val="001C45F2"/>
    <w:rsid w:val="001C4F29"/>
    <w:rsid w:val="001C69AE"/>
    <w:rsid w:val="001C70CE"/>
    <w:rsid w:val="001C74FD"/>
    <w:rsid w:val="001C75FE"/>
    <w:rsid w:val="001D050B"/>
    <w:rsid w:val="001D06E5"/>
    <w:rsid w:val="001D28E9"/>
    <w:rsid w:val="001D2FD5"/>
    <w:rsid w:val="001D3778"/>
    <w:rsid w:val="001D4266"/>
    <w:rsid w:val="001D4983"/>
    <w:rsid w:val="001D5282"/>
    <w:rsid w:val="001D56AA"/>
    <w:rsid w:val="001D7184"/>
    <w:rsid w:val="001D7456"/>
    <w:rsid w:val="001E020E"/>
    <w:rsid w:val="001E0967"/>
    <w:rsid w:val="001E1ABA"/>
    <w:rsid w:val="001E5E5B"/>
    <w:rsid w:val="001E6104"/>
    <w:rsid w:val="001E630D"/>
    <w:rsid w:val="001F0A30"/>
    <w:rsid w:val="001F0C7E"/>
    <w:rsid w:val="001F204E"/>
    <w:rsid w:val="001F2D8A"/>
    <w:rsid w:val="001F3F75"/>
    <w:rsid w:val="001F42DD"/>
    <w:rsid w:val="001F436C"/>
    <w:rsid w:val="001F4A65"/>
    <w:rsid w:val="001F4D28"/>
    <w:rsid w:val="001F62AD"/>
    <w:rsid w:val="001F645C"/>
    <w:rsid w:val="001F6781"/>
    <w:rsid w:val="001F679C"/>
    <w:rsid w:val="002004F6"/>
    <w:rsid w:val="00200861"/>
    <w:rsid w:val="00200977"/>
    <w:rsid w:val="002013A5"/>
    <w:rsid w:val="00201DA5"/>
    <w:rsid w:val="00202510"/>
    <w:rsid w:val="00202E59"/>
    <w:rsid w:val="00203035"/>
    <w:rsid w:val="002033FF"/>
    <w:rsid w:val="00203961"/>
    <w:rsid w:val="0020466F"/>
    <w:rsid w:val="00205026"/>
    <w:rsid w:val="00206074"/>
    <w:rsid w:val="0020682B"/>
    <w:rsid w:val="002124CC"/>
    <w:rsid w:val="00213FEB"/>
    <w:rsid w:val="00214940"/>
    <w:rsid w:val="00215F39"/>
    <w:rsid w:val="00215FAA"/>
    <w:rsid w:val="00216F31"/>
    <w:rsid w:val="00221991"/>
    <w:rsid w:val="00222C79"/>
    <w:rsid w:val="00225A2F"/>
    <w:rsid w:val="00226F7B"/>
    <w:rsid w:val="002277EE"/>
    <w:rsid w:val="00230BA3"/>
    <w:rsid w:val="0023194E"/>
    <w:rsid w:val="00233559"/>
    <w:rsid w:val="0023473C"/>
    <w:rsid w:val="002351DC"/>
    <w:rsid w:val="00236A48"/>
    <w:rsid w:val="00240157"/>
    <w:rsid w:val="00241F61"/>
    <w:rsid w:val="00242BA1"/>
    <w:rsid w:val="00242D0D"/>
    <w:rsid w:val="00243AAF"/>
    <w:rsid w:val="00243BFE"/>
    <w:rsid w:val="002443D7"/>
    <w:rsid w:val="00244890"/>
    <w:rsid w:val="0024767C"/>
    <w:rsid w:val="00247D46"/>
    <w:rsid w:val="00252241"/>
    <w:rsid w:val="002526EC"/>
    <w:rsid w:val="002557C5"/>
    <w:rsid w:val="00255FF7"/>
    <w:rsid w:val="00256C7E"/>
    <w:rsid w:val="002574BC"/>
    <w:rsid w:val="0025781D"/>
    <w:rsid w:val="002611C0"/>
    <w:rsid w:val="00262B23"/>
    <w:rsid w:val="00263CE8"/>
    <w:rsid w:val="00264CA4"/>
    <w:rsid w:val="00265016"/>
    <w:rsid w:val="002664BC"/>
    <w:rsid w:val="00267D55"/>
    <w:rsid w:val="00272214"/>
    <w:rsid w:val="002724DC"/>
    <w:rsid w:val="00273B36"/>
    <w:rsid w:val="00273F9D"/>
    <w:rsid w:val="00274203"/>
    <w:rsid w:val="00274E52"/>
    <w:rsid w:val="00276C9E"/>
    <w:rsid w:val="00276E45"/>
    <w:rsid w:val="00277376"/>
    <w:rsid w:val="00280B5F"/>
    <w:rsid w:val="0028113D"/>
    <w:rsid w:val="002812FB"/>
    <w:rsid w:val="002828A8"/>
    <w:rsid w:val="00283C6E"/>
    <w:rsid w:val="00283F31"/>
    <w:rsid w:val="0028454F"/>
    <w:rsid w:val="00285091"/>
    <w:rsid w:val="002852B8"/>
    <w:rsid w:val="00285E5A"/>
    <w:rsid w:val="00291519"/>
    <w:rsid w:val="00292CE5"/>
    <w:rsid w:val="00294968"/>
    <w:rsid w:val="00294E01"/>
    <w:rsid w:val="00297C3B"/>
    <w:rsid w:val="002A0A23"/>
    <w:rsid w:val="002A1690"/>
    <w:rsid w:val="002A2EF3"/>
    <w:rsid w:val="002A2FF2"/>
    <w:rsid w:val="002A31CB"/>
    <w:rsid w:val="002A368D"/>
    <w:rsid w:val="002A421A"/>
    <w:rsid w:val="002A4877"/>
    <w:rsid w:val="002A68F4"/>
    <w:rsid w:val="002A7F24"/>
    <w:rsid w:val="002B0A79"/>
    <w:rsid w:val="002B3FD4"/>
    <w:rsid w:val="002B42D1"/>
    <w:rsid w:val="002B5C63"/>
    <w:rsid w:val="002B7E14"/>
    <w:rsid w:val="002C0726"/>
    <w:rsid w:val="002C14E5"/>
    <w:rsid w:val="002C1D7E"/>
    <w:rsid w:val="002C3B22"/>
    <w:rsid w:val="002C3BBC"/>
    <w:rsid w:val="002C41EE"/>
    <w:rsid w:val="002C4217"/>
    <w:rsid w:val="002C4E3D"/>
    <w:rsid w:val="002D0365"/>
    <w:rsid w:val="002D0885"/>
    <w:rsid w:val="002D17A9"/>
    <w:rsid w:val="002D5FF7"/>
    <w:rsid w:val="002D6459"/>
    <w:rsid w:val="002E02B5"/>
    <w:rsid w:val="002E0CC2"/>
    <w:rsid w:val="002E0EAA"/>
    <w:rsid w:val="002E34A7"/>
    <w:rsid w:val="002E35BA"/>
    <w:rsid w:val="002E4106"/>
    <w:rsid w:val="002E41B9"/>
    <w:rsid w:val="002E4E34"/>
    <w:rsid w:val="002E5D62"/>
    <w:rsid w:val="002E69F3"/>
    <w:rsid w:val="002E7907"/>
    <w:rsid w:val="002F00C7"/>
    <w:rsid w:val="002F0419"/>
    <w:rsid w:val="002F04DB"/>
    <w:rsid w:val="002F2AF5"/>
    <w:rsid w:val="002F2B1C"/>
    <w:rsid w:val="002F49E0"/>
    <w:rsid w:val="002F513F"/>
    <w:rsid w:val="002F5C7C"/>
    <w:rsid w:val="002F62F0"/>
    <w:rsid w:val="002F6620"/>
    <w:rsid w:val="002F75DC"/>
    <w:rsid w:val="002F79B0"/>
    <w:rsid w:val="00301D2B"/>
    <w:rsid w:val="0030233D"/>
    <w:rsid w:val="0030261C"/>
    <w:rsid w:val="003033A3"/>
    <w:rsid w:val="003039E0"/>
    <w:rsid w:val="00303EC2"/>
    <w:rsid w:val="00305492"/>
    <w:rsid w:val="00305911"/>
    <w:rsid w:val="00305DB3"/>
    <w:rsid w:val="003068A5"/>
    <w:rsid w:val="00307CB5"/>
    <w:rsid w:val="0031455A"/>
    <w:rsid w:val="00314A6A"/>
    <w:rsid w:val="00316FED"/>
    <w:rsid w:val="00320394"/>
    <w:rsid w:val="003203EA"/>
    <w:rsid w:val="00320C50"/>
    <w:rsid w:val="00321FBB"/>
    <w:rsid w:val="00322B3E"/>
    <w:rsid w:val="00322D2F"/>
    <w:rsid w:val="00322F7B"/>
    <w:rsid w:val="003266C9"/>
    <w:rsid w:val="00326E4D"/>
    <w:rsid w:val="003312E9"/>
    <w:rsid w:val="0033143F"/>
    <w:rsid w:val="00331730"/>
    <w:rsid w:val="003318BE"/>
    <w:rsid w:val="00332722"/>
    <w:rsid w:val="00333A44"/>
    <w:rsid w:val="0033497B"/>
    <w:rsid w:val="003360BD"/>
    <w:rsid w:val="00336532"/>
    <w:rsid w:val="003369EC"/>
    <w:rsid w:val="00337A8D"/>
    <w:rsid w:val="00337FB7"/>
    <w:rsid w:val="00340AE4"/>
    <w:rsid w:val="00342FD9"/>
    <w:rsid w:val="0034379C"/>
    <w:rsid w:val="003447B3"/>
    <w:rsid w:val="00345C4F"/>
    <w:rsid w:val="00347B87"/>
    <w:rsid w:val="00350D50"/>
    <w:rsid w:val="00350E4E"/>
    <w:rsid w:val="00351096"/>
    <w:rsid w:val="00351A68"/>
    <w:rsid w:val="0035551D"/>
    <w:rsid w:val="00356BD6"/>
    <w:rsid w:val="00362F06"/>
    <w:rsid w:val="00363D6D"/>
    <w:rsid w:val="00364926"/>
    <w:rsid w:val="00364C16"/>
    <w:rsid w:val="003653C8"/>
    <w:rsid w:val="00366966"/>
    <w:rsid w:val="003724BE"/>
    <w:rsid w:val="00374737"/>
    <w:rsid w:val="003755ED"/>
    <w:rsid w:val="00375EB9"/>
    <w:rsid w:val="00377E45"/>
    <w:rsid w:val="0038003D"/>
    <w:rsid w:val="00380FFC"/>
    <w:rsid w:val="0038141D"/>
    <w:rsid w:val="003828C9"/>
    <w:rsid w:val="00382D6D"/>
    <w:rsid w:val="003835E5"/>
    <w:rsid w:val="0038569C"/>
    <w:rsid w:val="00387240"/>
    <w:rsid w:val="0039102F"/>
    <w:rsid w:val="0039126E"/>
    <w:rsid w:val="0039337A"/>
    <w:rsid w:val="00394C92"/>
    <w:rsid w:val="00395AC1"/>
    <w:rsid w:val="003A07CA"/>
    <w:rsid w:val="003A1675"/>
    <w:rsid w:val="003A395A"/>
    <w:rsid w:val="003A4905"/>
    <w:rsid w:val="003A4D6E"/>
    <w:rsid w:val="003A628E"/>
    <w:rsid w:val="003A6FBC"/>
    <w:rsid w:val="003B09FD"/>
    <w:rsid w:val="003B2083"/>
    <w:rsid w:val="003B2BB8"/>
    <w:rsid w:val="003B3B0C"/>
    <w:rsid w:val="003B7B43"/>
    <w:rsid w:val="003B7C2A"/>
    <w:rsid w:val="003C0574"/>
    <w:rsid w:val="003C0CE9"/>
    <w:rsid w:val="003C4B76"/>
    <w:rsid w:val="003C62A2"/>
    <w:rsid w:val="003C62F8"/>
    <w:rsid w:val="003C7690"/>
    <w:rsid w:val="003D2C76"/>
    <w:rsid w:val="003D34FF"/>
    <w:rsid w:val="003D4BB0"/>
    <w:rsid w:val="003E00CA"/>
    <w:rsid w:val="003E0B63"/>
    <w:rsid w:val="003E4C25"/>
    <w:rsid w:val="003E595F"/>
    <w:rsid w:val="003E6D79"/>
    <w:rsid w:val="003F03C1"/>
    <w:rsid w:val="003F0B74"/>
    <w:rsid w:val="003F0C4E"/>
    <w:rsid w:val="003F144B"/>
    <w:rsid w:val="003F2245"/>
    <w:rsid w:val="003F2765"/>
    <w:rsid w:val="003F48FF"/>
    <w:rsid w:val="003F4A8B"/>
    <w:rsid w:val="003F776A"/>
    <w:rsid w:val="00403DA3"/>
    <w:rsid w:val="00405BC6"/>
    <w:rsid w:val="004068AF"/>
    <w:rsid w:val="00407D67"/>
    <w:rsid w:val="00411928"/>
    <w:rsid w:val="00412CBD"/>
    <w:rsid w:val="004135A3"/>
    <w:rsid w:val="004141DC"/>
    <w:rsid w:val="00416A0B"/>
    <w:rsid w:val="00417053"/>
    <w:rsid w:val="004171F0"/>
    <w:rsid w:val="004207EE"/>
    <w:rsid w:val="00420811"/>
    <w:rsid w:val="00420D2C"/>
    <w:rsid w:val="00423001"/>
    <w:rsid w:val="00423687"/>
    <w:rsid w:val="00423AC8"/>
    <w:rsid w:val="00424BD0"/>
    <w:rsid w:val="004260DA"/>
    <w:rsid w:val="00426147"/>
    <w:rsid w:val="004278B0"/>
    <w:rsid w:val="00430178"/>
    <w:rsid w:val="004315EC"/>
    <w:rsid w:val="00431FC8"/>
    <w:rsid w:val="00432864"/>
    <w:rsid w:val="00433D0D"/>
    <w:rsid w:val="00434658"/>
    <w:rsid w:val="00435758"/>
    <w:rsid w:val="00435DB4"/>
    <w:rsid w:val="0043615A"/>
    <w:rsid w:val="00436741"/>
    <w:rsid w:val="00437312"/>
    <w:rsid w:val="004375FE"/>
    <w:rsid w:val="00437C86"/>
    <w:rsid w:val="004403D5"/>
    <w:rsid w:val="004413B7"/>
    <w:rsid w:val="00441D00"/>
    <w:rsid w:val="0044462C"/>
    <w:rsid w:val="004447C0"/>
    <w:rsid w:val="004459CF"/>
    <w:rsid w:val="00445FFC"/>
    <w:rsid w:val="00447740"/>
    <w:rsid w:val="00447E30"/>
    <w:rsid w:val="00447EE4"/>
    <w:rsid w:val="00450F6D"/>
    <w:rsid w:val="0045276C"/>
    <w:rsid w:val="00452C60"/>
    <w:rsid w:val="00454873"/>
    <w:rsid w:val="00455DE7"/>
    <w:rsid w:val="004577A3"/>
    <w:rsid w:val="00461CEC"/>
    <w:rsid w:val="00464DE1"/>
    <w:rsid w:val="004658AC"/>
    <w:rsid w:val="00466101"/>
    <w:rsid w:val="004667A6"/>
    <w:rsid w:val="00466AB2"/>
    <w:rsid w:val="00470616"/>
    <w:rsid w:val="00471BDB"/>
    <w:rsid w:val="00473ED2"/>
    <w:rsid w:val="00475417"/>
    <w:rsid w:val="004766AC"/>
    <w:rsid w:val="00476CED"/>
    <w:rsid w:val="004815EC"/>
    <w:rsid w:val="00481EDA"/>
    <w:rsid w:val="0048255F"/>
    <w:rsid w:val="00482EF3"/>
    <w:rsid w:val="00483C57"/>
    <w:rsid w:val="00483E48"/>
    <w:rsid w:val="00484345"/>
    <w:rsid w:val="0048474F"/>
    <w:rsid w:val="004869F1"/>
    <w:rsid w:val="00486A23"/>
    <w:rsid w:val="00486E45"/>
    <w:rsid w:val="00486FB3"/>
    <w:rsid w:val="00487075"/>
    <w:rsid w:val="00487B43"/>
    <w:rsid w:val="00487D21"/>
    <w:rsid w:val="00487E52"/>
    <w:rsid w:val="00491A43"/>
    <w:rsid w:val="0049272C"/>
    <w:rsid w:val="00492788"/>
    <w:rsid w:val="00492E47"/>
    <w:rsid w:val="00493205"/>
    <w:rsid w:val="004949AD"/>
    <w:rsid w:val="00495156"/>
    <w:rsid w:val="00495FE1"/>
    <w:rsid w:val="004968F5"/>
    <w:rsid w:val="004A23BF"/>
    <w:rsid w:val="004A4256"/>
    <w:rsid w:val="004A425E"/>
    <w:rsid w:val="004A56CD"/>
    <w:rsid w:val="004A7D14"/>
    <w:rsid w:val="004B0183"/>
    <w:rsid w:val="004B0D73"/>
    <w:rsid w:val="004B0E1C"/>
    <w:rsid w:val="004B14B5"/>
    <w:rsid w:val="004B2125"/>
    <w:rsid w:val="004B2D39"/>
    <w:rsid w:val="004B2EAB"/>
    <w:rsid w:val="004B4252"/>
    <w:rsid w:val="004B42AB"/>
    <w:rsid w:val="004B4678"/>
    <w:rsid w:val="004B54CA"/>
    <w:rsid w:val="004B56D6"/>
    <w:rsid w:val="004B5850"/>
    <w:rsid w:val="004B622E"/>
    <w:rsid w:val="004C0702"/>
    <w:rsid w:val="004C13F9"/>
    <w:rsid w:val="004C2C56"/>
    <w:rsid w:val="004C3586"/>
    <w:rsid w:val="004C3D97"/>
    <w:rsid w:val="004C5628"/>
    <w:rsid w:val="004C6B67"/>
    <w:rsid w:val="004D2159"/>
    <w:rsid w:val="004D516A"/>
    <w:rsid w:val="004D51E7"/>
    <w:rsid w:val="004D6667"/>
    <w:rsid w:val="004E142C"/>
    <w:rsid w:val="004E23C8"/>
    <w:rsid w:val="004E5CBF"/>
    <w:rsid w:val="004E7349"/>
    <w:rsid w:val="004E7FAF"/>
    <w:rsid w:val="004F04DB"/>
    <w:rsid w:val="004F2727"/>
    <w:rsid w:val="004F2DAB"/>
    <w:rsid w:val="004F4574"/>
    <w:rsid w:val="004F7347"/>
    <w:rsid w:val="005020DF"/>
    <w:rsid w:val="00503A2A"/>
    <w:rsid w:val="0050458C"/>
    <w:rsid w:val="00505899"/>
    <w:rsid w:val="00505B45"/>
    <w:rsid w:val="00506756"/>
    <w:rsid w:val="00506CF4"/>
    <w:rsid w:val="005077A9"/>
    <w:rsid w:val="00507BA4"/>
    <w:rsid w:val="005125C5"/>
    <w:rsid w:val="00513729"/>
    <w:rsid w:val="005137B5"/>
    <w:rsid w:val="005138E3"/>
    <w:rsid w:val="00513C1F"/>
    <w:rsid w:val="00513C32"/>
    <w:rsid w:val="00513FEA"/>
    <w:rsid w:val="00515F36"/>
    <w:rsid w:val="00516710"/>
    <w:rsid w:val="00517741"/>
    <w:rsid w:val="00521D98"/>
    <w:rsid w:val="0052426C"/>
    <w:rsid w:val="00524F12"/>
    <w:rsid w:val="00525994"/>
    <w:rsid w:val="00526CBA"/>
    <w:rsid w:val="00527BCC"/>
    <w:rsid w:val="00532249"/>
    <w:rsid w:val="0053384A"/>
    <w:rsid w:val="005348F5"/>
    <w:rsid w:val="00535801"/>
    <w:rsid w:val="00535FD8"/>
    <w:rsid w:val="00535FE6"/>
    <w:rsid w:val="00536375"/>
    <w:rsid w:val="005367A5"/>
    <w:rsid w:val="00540412"/>
    <w:rsid w:val="00541455"/>
    <w:rsid w:val="00541C01"/>
    <w:rsid w:val="005422F1"/>
    <w:rsid w:val="005466DC"/>
    <w:rsid w:val="00546D47"/>
    <w:rsid w:val="0055008A"/>
    <w:rsid w:val="00550F8B"/>
    <w:rsid w:val="0055122F"/>
    <w:rsid w:val="005516C5"/>
    <w:rsid w:val="005523AE"/>
    <w:rsid w:val="00552948"/>
    <w:rsid w:val="00552D0B"/>
    <w:rsid w:val="00552F4D"/>
    <w:rsid w:val="00554837"/>
    <w:rsid w:val="00557CEF"/>
    <w:rsid w:val="005604E8"/>
    <w:rsid w:val="00561AEA"/>
    <w:rsid w:val="00562423"/>
    <w:rsid w:val="00563A3B"/>
    <w:rsid w:val="00564A5E"/>
    <w:rsid w:val="00565784"/>
    <w:rsid w:val="005657B4"/>
    <w:rsid w:val="005660CD"/>
    <w:rsid w:val="00567E75"/>
    <w:rsid w:val="005702D6"/>
    <w:rsid w:val="0057035C"/>
    <w:rsid w:val="005708D3"/>
    <w:rsid w:val="0057160C"/>
    <w:rsid w:val="005719D4"/>
    <w:rsid w:val="00571B89"/>
    <w:rsid w:val="00572665"/>
    <w:rsid w:val="00572E54"/>
    <w:rsid w:val="00574D3E"/>
    <w:rsid w:val="005755BF"/>
    <w:rsid w:val="00576EC5"/>
    <w:rsid w:val="005776FC"/>
    <w:rsid w:val="00585C5F"/>
    <w:rsid w:val="00586B9E"/>
    <w:rsid w:val="0059044A"/>
    <w:rsid w:val="00590679"/>
    <w:rsid w:val="00590DB1"/>
    <w:rsid w:val="0059201B"/>
    <w:rsid w:val="00592FA3"/>
    <w:rsid w:val="00595FB7"/>
    <w:rsid w:val="00596D84"/>
    <w:rsid w:val="00597BCE"/>
    <w:rsid w:val="005A0262"/>
    <w:rsid w:val="005A1838"/>
    <w:rsid w:val="005A1998"/>
    <w:rsid w:val="005A1C8C"/>
    <w:rsid w:val="005A3B55"/>
    <w:rsid w:val="005A5423"/>
    <w:rsid w:val="005A54D0"/>
    <w:rsid w:val="005A55F4"/>
    <w:rsid w:val="005A686B"/>
    <w:rsid w:val="005A6CB5"/>
    <w:rsid w:val="005A7154"/>
    <w:rsid w:val="005A73FB"/>
    <w:rsid w:val="005B027C"/>
    <w:rsid w:val="005B0DB2"/>
    <w:rsid w:val="005B1514"/>
    <w:rsid w:val="005B1549"/>
    <w:rsid w:val="005B339A"/>
    <w:rsid w:val="005B5C5D"/>
    <w:rsid w:val="005B6F6F"/>
    <w:rsid w:val="005B7D22"/>
    <w:rsid w:val="005C13F0"/>
    <w:rsid w:val="005C154D"/>
    <w:rsid w:val="005C23B9"/>
    <w:rsid w:val="005C33B4"/>
    <w:rsid w:val="005C3741"/>
    <w:rsid w:val="005C3A6F"/>
    <w:rsid w:val="005C3AA9"/>
    <w:rsid w:val="005C3B0B"/>
    <w:rsid w:val="005C3B4E"/>
    <w:rsid w:val="005C480A"/>
    <w:rsid w:val="005C486A"/>
    <w:rsid w:val="005C53EF"/>
    <w:rsid w:val="005C606B"/>
    <w:rsid w:val="005C74D3"/>
    <w:rsid w:val="005C792F"/>
    <w:rsid w:val="005D2312"/>
    <w:rsid w:val="005D2CBA"/>
    <w:rsid w:val="005D2D7D"/>
    <w:rsid w:val="005D6145"/>
    <w:rsid w:val="005D619D"/>
    <w:rsid w:val="005D66A6"/>
    <w:rsid w:val="005D7BF7"/>
    <w:rsid w:val="005E1EE8"/>
    <w:rsid w:val="005E1F07"/>
    <w:rsid w:val="005E318C"/>
    <w:rsid w:val="005E32FA"/>
    <w:rsid w:val="005E3684"/>
    <w:rsid w:val="005E6A39"/>
    <w:rsid w:val="005F0AB2"/>
    <w:rsid w:val="005F1027"/>
    <w:rsid w:val="005F1A49"/>
    <w:rsid w:val="005F1D69"/>
    <w:rsid w:val="005F242F"/>
    <w:rsid w:val="005F24BB"/>
    <w:rsid w:val="005F25B1"/>
    <w:rsid w:val="005F4FC6"/>
    <w:rsid w:val="005F7507"/>
    <w:rsid w:val="005F7B68"/>
    <w:rsid w:val="00600DEC"/>
    <w:rsid w:val="00600E2C"/>
    <w:rsid w:val="006017BF"/>
    <w:rsid w:val="00601871"/>
    <w:rsid w:val="00601C16"/>
    <w:rsid w:val="00601D1A"/>
    <w:rsid w:val="00602A5A"/>
    <w:rsid w:val="00604D5D"/>
    <w:rsid w:val="00604E5F"/>
    <w:rsid w:val="006052ED"/>
    <w:rsid w:val="00605C41"/>
    <w:rsid w:val="00607EC3"/>
    <w:rsid w:val="00610831"/>
    <w:rsid w:val="00611EED"/>
    <w:rsid w:val="006130D3"/>
    <w:rsid w:val="006163B3"/>
    <w:rsid w:val="006164EB"/>
    <w:rsid w:val="0061679F"/>
    <w:rsid w:val="00617695"/>
    <w:rsid w:val="0061782F"/>
    <w:rsid w:val="00620D31"/>
    <w:rsid w:val="00620FD4"/>
    <w:rsid w:val="00621CA1"/>
    <w:rsid w:val="00622459"/>
    <w:rsid w:val="006226D0"/>
    <w:rsid w:val="0062511F"/>
    <w:rsid w:val="0062556F"/>
    <w:rsid w:val="006267CF"/>
    <w:rsid w:val="00626B1A"/>
    <w:rsid w:val="00626D82"/>
    <w:rsid w:val="0062717C"/>
    <w:rsid w:val="0063003E"/>
    <w:rsid w:val="00630A24"/>
    <w:rsid w:val="006316D6"/>
    <w:rsid w:val="00632CF7"/>
    <w:rsid w:val="00633544"/>
    <w:rsid w:val="00633714"/>
    <w:rsid w:val="0063543A"/>
    <w:rsid w:val="00636235"/>
    <w:rsid w:val="00636993"/>
    <w:rsid w:val="00641A20"/>
    <w:rsid w:val="00644E69"/>
    <w:rsid w:val="006451D9"/>
    <w:rsid w:val="006464EB"/>
    <w:rsid w:val="00646C1E"/>
    <w:rsid w:val="00647681"/>
    <w:rsid w:val="0064769D"/>
    <w:rsid w:val="006477AF"/>
    <w:rsid w:val="00651ADE"/>
    <w:rsid w:val="00651BBE"/>
    <w:rsid w:val="006533DC"/>
    <w:rsid w:val="0065516D"/>
    <w:rsid w:val="0065546F"/>
    <w:rsid w:val="006563D7"/>
    <w:rsid w:val="00657B01"/>
    <w:rsid w:val="00657B59"/>
    <w:rsid w:val="00657F6B"/>
    <w:rsid w:val="006606ED"/>
    <w:rsid w:val="00660F76"/>
    <w:rsid w:val="00662768"/>
    <w:rsid w:val="006630C2"/>
    <w:rsid w:val="00664C07"/>
    <w:rsid w:val="006665EA"/>
    <w:rsid w:val="00666B2F"/>
    <w:rsid w:val="00666F8C"/>
    <w:rsid w:val="0066719E"/>
    <w:rsid w:val="006700ED"/>
    <w:rsid w:val="00670532"/>
    <w:rsid w:val="0067131B"/>
    <w:rsid w:val="00674361"/>
    <w:rsid w:val="00674E3F"/>
    <w:rsid w:val="0067534D"/>
    <w:rsid w:val="00676AF7"/>
    <w:rsid w:val="00676E70"/>
    <w:rsid w:val="00676FDE"/>
    <w:rsid w:val="00681DD8"/>
    <w:rsid w:val="00683798"/>
    <w:rsid w:val="00687D30"/>
    <w:rsid w:val="00687DA6"/>
    <w:rsid w:val="00687FB1"/>
    <w:rsid w:val="006902F8"/>
    <w:rsid w:val="0069098F"/>
    <w:rsid w:val="00691FBF"/>
    <w:rsid w:val="006935D4"/>
    <w:rsid w:val="006945DB"/>
    <w:rsid w:val="006948F9"/>
    <w:rsid w:val="00696C3B"/>
    <w:rsid w:val="00696DEF"/>
    <w:rsid w:val="00697B11"/>
    <w:rsid w:val="006A1B71"/>
    <w:rsid w:val="006A28E0"/>
    <w:rsid w:val="006A3822"/>
    <w:rsid w:val="006A4CE7"/>
    <w:rsid w:val="006A604B"/>
    <w:rsid w:val="006A6930"/>
    <w:rsid w:val="006B056C"/>
    <w:rsid w:val="006B0609"/>
    <w:rsid w:val="006B360B"/>
    <w:rsid w:val="006B3AA9"/>
    <w:rsid w:val="006B4E74"/>
    <w:rsid w:val="006B5C51"/>
    <w:rsid w:val="006C07EA"/>
    <w:rsid w:val="006C0B75"/>
    <w:rsid w:val="006C1C53"/>
    <w:rsid w:val="006C3D04"/>
    <w:rsid w:val="006C40F2"/>
    <w:rsid w:val="006C41B8"/>
    <w:rsid w:val="006C4979"/>
    <w:rsid w:val="006D14CB"/>
    <w:rsid w:val="006D14FE"/>
    <w:rsid w:val="006D16C2"/>
    <w:rsid w:val="006D2952"/>
    <w:rsid w:val="006D3026"/>
    <w:rsid w:val="006D34EE"/>
    <w:rsid w:val="006D439D"/>
    <w:rsid w:val="006D4679"/>
    <w:rsid w:val="006D4860"/>
    <w:rsid w:val="006D4B55"/>
    <w:rsid w:val="006D77D0"/>
    <w:rsid w:val="006D7868"/>
    <w:rsid w:val="006D7AF1"/>
    <w:rsid w:val="006E228E"/>
    <w:rsid w:val="006E2962"/>
    <w:rsid w:val="006E38BE"/>
    <w:rsid w:val="006E6202"/>
    <w:rsid w:val="006E6C7E"/>
    <w:rsid w:val="006E74B9"/>
    <w:rsid w:val="006E7613"/>
    <w:rsid w:val="006E7852"/>
    <w:rsid w:val="006F068E"/>
    <w:rsid w:val="006F08A5"/>
    <w:rsid w:val="006F23DB"/>
    <w:rsid w:val="006F48DD"/>
    <w:rsid w:val="006F639C"/>
    <w:rsid w:val="006F70F7"/>
    <w:rsid w:val="006F7FE5"/>
    <w:rsid w:val="00701580"/>
    <w:rsid w:val="0070253F"/>
    <w:rsid w:val="00702E18"/>
    <w:rsid w:val="007036EA"/>
    <w:rsid w:val="0070681D"/>
    <w:rsid w:val="00707716"/>
    <w:rsid w:val="007077ED"/>
    <w:rsid w:val="0070788C"/>
    <w:rsid w:val="00711278"/>
    <w:rsid w:val="0071285E"/>
    <w:rsid w:val="00712D6C"/>
    <w:rsid w:val="007132EA"/>
    <w:rsid w:val="00713B60"/>
    <w:rsid w:val="00715092"/>
    <w:rsid w:val="007170FD"/>
    <w:rsid w:val="00717114"/>
    <w:rsid w:val="0072017A"/>
    <w:rsid w:val="00720C99"/>
    <w:rsid w:val="00722358"/>
    <w:rsid w:val="00723502"/>
    <w:rsid w:val="0072427B"/>
    <w:rsid w:val="007244C8"/>
    <w:rsid w:val="007257F9"/>
    <w:rsid w:val="00725CC3"/>
    <w:rsid w:val="007261C0"/>
    <w:rsid w:val="0072799C"/>
    <w:rsid w:val="00730541"/>
    <w:rsid w:val="007355CB"/>
    <w:rsid w:val="00735793"/>
    <w:rsid w:val="00736D1C"/>
    <w:rsid w:val="00741B4A"/>
    <w:rsid w:val="00743278"/>
    <w:rsid w:val="00745015"/>
    <w:rsid w:val="00745071"/>
    <w:rsid w:val="00745575"/>
    <w:rsid w:val="00745C2F"/>
    <w:rsid w:val="00745D24"/>
    <w:rsid w:val="00746822"/>
    <w:rsid w:val="00746C5B"/>
    <w:rsid w:val="00747A84"/>
    <w:rsid w:val="00747D41"/>
    <w:rsid w:val="00751100"/>
    <w:rsid w:val="00751FC0"/>
    <w:rsid w:val="0075352C"/>
    <w:rsid w:val="00753FA1"/>
    <w:rsid w:val="00754144"/>
    <w:rsid w:val="0075541E"/>
    <w:rsid w:val="0075619A"/>
    <w:rsid w:val="00761279"/>
    <w:rsid w:val="0076183A"/>
    <w:rsid w:val="00761E0B"/>
    <w:rsid w:val="00763EE0"/>
    <w:rsid w:val="007641A9"/>
    <w:rsid w:val="00764EDD"/>
    <w:rsid w:val="00765CF5"/>
    <w:rsid w:val="00766034"/>
    <w:rsid w:val="0076617E"/>
    <w:rsid w:val="00767DC7"/>
    <w:rsid w:val="007701F0"/>
    <w:rsid w:val="00770871"/>
    <w:rsid w:val="00770BB4"/>
    <w:rsid w:val="00771147"/>
    <w:rsid w:val="00771432"/>
    <w:rsid w:val="0077185A"/>
    <w:rsid w:val="00771914"/>
    <w:rsid w:val="00772205"/>
    <w:rsid w:val="007730BB"/>
    <w:rsid w:val="00773788"/>
    <w:rsid w:val="007746C0"/>
    <w:rsid w:val="007753B7"/>
    <w:rsid w:val="00775DDA"/>
    <w:rsid w:val="007806C5"/>
    <w:rsid w:val="00782366"/>
    <w:rsid w:val="00782C36"/>
    <w:rsid w:val="0078408D"/>
    <w:rsid w:val="00785261"/>
    <w:rsid w:val="00785F3D"/>
    <w:rsid w:val="007862B8"/>
    <w:rsid w:val="00786B74"/>
    <w:rsid w:val="00792F65"/>
    <w:rsid w:val="00793466"/>
    <w:rsid w:val="00793925"/>
    <w:rsid w:val="00794140"/>
    <w:rsid w:val="00794829"/>
    <w:rsid w:val="00797E06"/>
    <w:rsid w:val="007A18AE"/>
    <w:rsid w:val="007A1AD5"/>
    <w:rsid w:val="007A487B"/>
    <w:rsid w:val="007A4D19"/>
    <w:rsid w:val="007A5339"/>
    <w:rsid w:val="007B0256"/>
    <w:rsid w:val="007B067F"/>
    <w:rsid w:val="007B52BE"/>
    <w:rsid w:val="007B768E"/>
    <w:rsid w:val="007B7A52"/>
    <w:rsid w:val="007C00DC"/>
    <w:rsid w:val="007C01F7"/>
    <w:rsid w:val="007C0A06"/>
    <w:rsid w:val="007C192E"/>
    <w:rsid w:val="007C1B4C"/>
    <w:rsid w:val="007C292B"/>
    <w:rsid w:val="007C340C"/>
    <w:rsid w:val="007C3E03"/>
    <w:rsid w:val="007C4A18"/>
    <w:rsid w:val="007C513C"/>
    <w:rsid w:val="007C5CE7"/>
    <w:rsid w:val="007C7FE6"/>
    <w:rsid w:val="007D0476"/>
    <w:rsid w:val="007D12CC"/>
    <w:rsid w:val="007D1719"/>
    <w:rsid w:val="007D3D71"/>
    <w:rsid w:val="007D5336"/>
    <w:rsid w:val="007D7084"/>
    <w:rsid w:val="007E076C"/>
    <w:rsid w:val="007E2EB9"/>
    <w:rsid w:val="007E69EE"/>
    <w:rsid w:val="007F057A"/>
    <w:rsid w:val="007F0A4B"/>
    <w:rsid w:val="007F13C5"/>
    <w:rsid w:val="007F22A6"/>
    <w:rsid w:val="007F40DB"/>
    <w:rsid w:val="007F4B2F"/>
    <w:rsid w:val="007F63D1"/>
    <w:rsid w:val="007F7AA1"/>
    <w:rsid w:val="00800B0E"/>
    <w:rsid w:val="008023A1"/>
    <w:rsid w:val="008024C0"/>
    <w:rsid w:val="0080280D"/>
    <w:rsid w:val="0080309D"/>
    <w:rsid w:val="008044D2"/>
    <w:rsid w:val="0080512E"/>
    <w:rsid w:val="008054D8"/>
    <w:rsid w:val="00807E56"/>
    <w:rsid w:val="008111E1"/>
    <w:rsid w:val="008145D9"/>
    <w:rsid w:val="00814A1B"/>
    <w:rsid w:val="008158B3"/>
    <w:rsid w:val="00815DAB"/>
    <w:rsid w:val="00815E88"/>
    <w:rsid w:val="008160A9"/>
    <w:rsid w:val="00820A49"/>
    <w:rsid w:val="00822386"/>
    <w:rsid w:val="00823DDD"/>
    <w:rsid w:val="00826679"/>
    <w:rsid w:val="008308E5"/>
    <w:rsid w:val="00834B3D"/>
    <w:rsid w:val="00834DED"/>
    <w:rsid w:val="00837D33"/>
    <w:rsid w:val="008401CD"/>
    <w:rsid w:val="00840234"/>
    <w:rsid w:val="00840B9E"/>
    <w:rsid w:val="00840BD6"/>
    <w:rsid w:val="00842299"/>
    <w:rsid w:val="0084290F"/>
    <w:rsid w:val="0084492B"/>
    <w:rsid w:val="00844E42"/>
    <w:rsid w:val="00844FFC"/>
    <w:rsid w:val="00846056"/>
    <w:rsid w:val="00847462"/>
    <w:rsid w:val="00850195"/>
    <w:rsid w:val="00850738"/>
    <w:rsid w:val="00850917"/>
    <w:rsid w:val="008509D7"/>
    <w:rsid w:val="0085193E"/>
    <w:rsid w:val="00854680"/>
    <w:rsid w:val="00857DC5"/>
    <w:rsid w:val="0086267F"/>
    <w:rsid w:val="008639EA"/>
    <w:rsid w:val="00863E74"/>
    <w:rsid w:val="0086425B"/>
    <w:rsid w:val="00865275"/>
    <w:rsid w:val="008664E0"/>
    <w:rsid w:val="00866B31"/>
    <w:rsid w:val="00871276"/>
    <w:rsid w:val="00872235"/>
    <w:rsid w:val="0087227E"/>
    <w:rsid w:val="008728F4"/>
    <w:rsid w:val="00872913"/>
    <w:rsid w:val="00872C8D"/>
    <w:rsid w:val="008731B4"/>
    <w:rsid w:val="008758F6"/>
    <w:rsid w:val="00877654"/>
    <w:rsid w:val="00880142"/>
    <w:rsid w:val="008818F2"/>
    <w:rsid w:val="00882A47"/>
    <w:rsid w:val="00882FD7"/>
    <w:rsid w:val="00883C95"/>
    <w:rsid w:val="00884AA7"/>
    <w:rsid w:val="00884BF6"/>
    <w:rsid w:val="0088691B"/>
    <w:rsid w:val="00887101"/>
    <w:rsid w:val="00891B66"/>
    <w:rsid w:val="0089426A"/>
    <w:rsid w:val="00894852"/>
    <w:rsid w:val="0089495D"/>
    <w:rsid w:val="00894DC1"/>
    <w:rsid w:val="0089551A"/>
    <w:rsid w:val="0089769F"/>
    <w:rsid w:val="008A040C"/>
    <w:rsid w:val="008A0EA5"/>
    <w:rsid w:val="008A18AF"/>
    <w:rsid w:val="008A1A60"/>
    <w:rsid w:val="008A1B70"/>
    <w:rsid w:val="008A2099"/>
    <w:rsid w:val="008A52C4"/>
    <w:rsid w:val="008A5C41"/>
    <w:rsid w:val="008A6C9F"/>
    <w:rsid w:val="008A6CEE"/>
    <w:rsid w:val="008A7C15"/>
    <w:rsid w:val="008B1C0E"/>
    <w:rsid w:val="008B29FD"/>
    <w:rsid w:val="008B3F94"/>
    <w:rsid w:val="008B494E"/>
    <w:rsid w:val="008B7995"/>
    <w:rsid w:val="008B7BB7"/>
    <w:rsid w:val="008C1474"/>
    <w:rsid w:val="008C14C6"/>
    <w:rsid w:val="008C2BE2"/>
    <w:rsid w:val="008C4B5B"/>
    <w:rsid w:val="008C50A9"/>
    <w:rsid w:val="008C6285"/>
    <w:rsid w:val="008C6960"/>
    <w:rsid w:val="008C6B9C"/>
    <w:rsid w:val="008C7103"/>
    <w:rsid w:val="008C793F"/>
    <w:rsid w:val="008C7FC7"/>
    <w:rsid w:val="008D0686"/>
    <w:rsid w:val="008D0CCC"/>
    <w:rsid w:val="008D0EA2"/>
    <w:rsid w:val="008D0FDC"/>
    <w:rsid w:val="008D219D"/>
    <w:rsid w:val="008D241F"/>
    <w:rsid w:val="008D323D"/>
    <w:rsid w:val="008D37C3"/>
    <w:rsid w:val="008D6249"/>
    <w:rsid w:val="008D66F5"/>
    <w:rsid w:val="008E1032"/>
    <w:rsid w:val="008E18B6"/>
    <w:rsid w:val="008E296E"/>
    <w:rsid w:val="008E2DEF"/>
    <w:rsid w:val="008E2F96"/>
    <w:rsid w:val="008E329F"/>
    <w:rsid w:val="008E395C"/>
    <w:rsid w:val="008E437B"/>
    <w:rsid w:val="008E5C0E"/>
    <w:rsid w:val="008E5D95"/>
    <w:rsid w:val="008E73AF"/>
    <w:rsid w:val="008E7469"/>
    <w:rsid w:val="008E7638"/>
    <w:rsid w:val="008E7E3D"/>
    <w:rsid w:val="008F0E48"/>
    <w:rsid w:val="008F1464"/>
    <w:rsid w:val="008F1829"/>
    <w:rsid w:val="008F46D2"/>
    <w:rsid w:val="008F63CF"/>
    <w:rsid w:val="008F7AD9"/>
    <w:rsid w:val="008F7AFD"/>
    <w:rsid w:val="008F7B2A"/>
    <w:rsid w:val="00900C00"/>
    <w:rsid w:val="00901A6E"/>
    <w:rsid w:val="009037D0"/>
    <w:rsid w:val="00903BBC"/>
    <w:rsid w:val="0090401B"/>
    <w:rsid w:val="00904559"/>
    <w:rsid w:val="00904604"/>
    <w:rsid w:val="0090486C"/>
    <w:rsid w:val="00904D35"/>
    <w:rsid w:val="00905BD3"/>
    <w:rsid w:val="00905F95"/>
    <w:rsid w:val="009062FE"/>
    <w:rsid w:val="0090641A"/>
    <w:rsid w:val="00906800"/>
    <w:rsid w:val="0091086D"/>
    <w:rsid w:val="009108F8"/>
    <w:rsid w:val="00910B8B"/>
    <w:rsid w:val="0091156D"/>
    <w:rsid w:val="00911EEA"/>
    <w:rsid w:val="00913034"/>
    <w:rsid w:val="00913A08"/>
    <w:rsid w:val="009145DA"/>
    <w:rsid w:val="00914CD6"/>
    <w:rsid w:val="00915269"/>
    <w:rsid w:val="00915583"/>
    <w:rsid w:val="0091576B"/>
    <w:rsid w:val="009166B2"/>
    <w:rsid w:val="009172F7"/>
    <w:rsid w:val="00917FE8"/>
    <w:rsid w:val="009206BC"/>
    <w:rsid w:val="009225F0"/>
    <w:rsid w:val="0092286D"/>
    <w:rsid w:val="00924331"/>
    <w:rsid w:val="009261E4"/>
    <w:rsid w:val="00926D74"/>
    <w:rsid w:val="00926E52"/>
    <w:rsid w:val="00927816"/>
    <w:rsid w:val="00927C3C"/>
    <w:rsid w:val="00927F5D"/>
    <w:rsid w:val="00930774"/>
    <w:rsid w:val="00932AD1"/>
    <w:rsid w:val="009334E4"/>
    <w:rsid w:val="00935AAB"/>
    <w:rsid w:val="00936447"/>
    <w:rsid w:val="009371FF"/>
    <w:rsid w:val="00937804"/>
    <w:rsid w:val="00937D79"/>
    <w:rsid w:val="009412D5"/>
    <w:rsid w:val="00942A8D"/>
    <w:rsid w:val="009461AD"/>
    <w:rsid w:val="0094757E"/>
    <w:rsid w:val="009504E7"/>
    <w:rsid w:val="0095075D"/>
    <w:rsid w:val="00950AB2"/>
    <w:rsid w:val="00950B48"/>
    <w:rsid w:val="00951307"/>
    <w:rsid w:val="0095183C"/>
    <w:rsid w:val="0095471D"/>
    <w:rsid w:val="00954EA0"/>
    <w:rsid w:val="00954FE9"/>
    <w:rsid w:val="009564A9"/>
    <w:rsid w:val="009571BE"/>
    <w:rsid w:val="00957AA0"/>
    <w:rsid w:val="00957B83"/>
    <w:rsid w:val="00957FFA"/>
    <w:rsid w:val="0096192C"/>
    <w:rsid w:val="009619CA"/>
    <w:rsid w:val="00961A8F"/>
    <w:rsid w:val="00961D8B"/>
    <w:rsid w:val="00962FA4"/>
    <w:rsid w:val="009673FE"/>
    <w:rsid w:val="009719DE"/>
    <w:rsid w:val="00975AB7"/>
    <w:rsid w:val="00977180"/>
    <w:rsid w:val="009778B1"/>
    <w:rsid w:val="00981749"/>
    <w:rsid w:val="00982485"/>
    <w:rsid w:val="0098334D"/>
    <w:rsid w:val="00985927"/>
    <w:rsid w:val="0098727B"/>
    <w:rsid w:val="00987753"/>
    <w:rsid w:val="00994940"/>
    <w:rsid w:val="00995854"/>
    <w:rsid w:val="0099706C"/>
    <w:rsid w:val="00997421"/>
    <w:rsid w:val="009A23E8"/>
    <w:rsid w:val="009A3031"/>
    <w:rsid w:val="009A3639"/>
    <w:rsid w:val="009A4ADF"/>
    <w:rsid w:val="009A51BC"/>
    <w:rsid w:val="009A53AB"/>
    <w:rsid w:val="009A6A18"/>
    <w:rsid w:val="009A7CFB"/>
    <w:rsid w:val="009B3EF5"/>
    <w:rsid w:val="009B47AD"/>
    <w:rsid w:val="009B4B2E"/>
    <w:rsid w:val="009B4C47"/>
    <w:rsid w:val="009B4C84"/>
    <w:rsid w:val="009B588C"/>
    <w:rsid w:val="009B7B75"/>
    <w:rsid w:val="009B7CDA"/>
    <w:rsid w:val="009C0962"/>
    <w:rsid w:val="009C2199"/>
    <w:rsid w:val="009C711F"/>
    <w:rsid w:val="009C749A"/>
    <w:rsid w:val="009D2A2B"/>
    <w:rsid w:val="009D2B3A"/>
    <w:rsid w:val="009D3C53"/>
    <w:rsid w:val="009D3CA4"/>
    <w:rsid w:val="009D3EC4"/>
    <w:rsid w:val="009D3FE5"/>
    <w:rsid w:val="009D56B1"/>
    <w:rsid w:val="009D5DDC"/>
    <w:rsid w:val="009D5EFE"/>
    <w:rsid w:val="009D7055"/>
    <w:rsid w:val="009E214C"/>
    <w:rsid w:val="009E258C"/>
    <w:rsid w:val="009E408B"/>
    <w:rsid w:val="009E4CD2"/>
    <w:rsid w:val="009E6335"/>
    <w:rsid w:val="009E789D"/>
    <w:rsid w:val="009F05E1"/>
    <w:rsid w:val="009F316C"/>
    <w:rsid w:val="009F44D6"/>
    <w:rsid w:val="009F680B"/>
    <w:rsid w:val="009F79A6"/>
    <w:rsid w:val="009F7DC7"/>
    <w:rsid w:val="009F7F74"/>
    <w:rsid w:val="00A00853"/>
    <w:rsid w:val="00A034F4"/>
    <w:rsid w:val="00A0373C"/>
    <w:rsid w:val="00A03D9F"/>
    <w:rsid w:val="00A07D65"/>
    <w:rsid w:val="00A07F47"/>
    <w:rsid w:val="00A105E8"/>
    <w:rsid w:val="00A10953"/>
    <w:rsid w:val="00A128F4"/>
    <w:rsid w:val="00A12CF3"/>
    <w:rsid w:val="00A135CA"/>
    <w:rsid w:val="00A1419E"/>
    <w:rsid w:val="00A14E8E"/>
    <w:rsid w:val="00A157AD"/>
    <w:rsid w:val="00A157CA"/>
    <w:rsid w:val="00A16525"/>
    <w:rsid w:val="00A17101"/>
    <w:rsid w:val="00A17765"/>
    <w:rsid w:val="00A22F96"/>
    <w:rsid w:val="00A23CB5"/>
    <w:rsid w:val="00A25C1B"/>
    <w:rsid w:val="00A25E6B"/>
    <w:rsid w:val="00A2771D"/>
    <w:rsid w:val="00A2777A"/>
    <w:rsid w:val="00A30284"/>
    <w:rsid w:val="00A31543"/>
    <w:rsid w:val="00A320A4"/>
    <w:rsid w:val="00A32A98"/>
    <w:rsid w:val="00A341BC"/>
    <w:rsid w:val="00A342B8"/>
    <w:rsid w:val="00A34332"/>
    <w:rsid w:val="00A3466B"/>
    <w:rsid w:val="00A36522"/>
    <w:rsid w:val="00A36929"/>
    <w:rsid w:val="00A37D3A"/>
    <w:rsid w:val="00A40E4A"/>
    <w:rsid w:val="00A40F42"/>
    <w:rsid w:val="00A411B2"/>
    <w:rsid w:val="00A41933"/>
    <w:rsid w:val="00A434E9"/>
    <w:rsid w:val="00A43D5E"/>
    <w:rsid w:val="00A446CB"/>
    <w:rsid w:val="00A4568C"/>
    <w:rsid w:val="00A474AF"/>
    <w:rsid w:val="00A51382"/>
    <w:rsid w:val="00A54636"/>
    <w:rsid w:val="00A553D0"/>
    <w:rsid w:val="00A56F1C"/>
    <w:rsid w:val="00A57944"/>
    <w:rsid w:val="00A60ACF"/>
    <w:rsid w:val="00A61AC7"/>
    <w:rsid w:val="00A61C5F"/>
    <w:rsid w:val="00A623F4"/>
    <w:rsid w:val="00A624E7"/>
    <w:rsid w:val="00A64E13"/>
    <w:rsid w:val="00A6636D"/>
    <w:rsid w:val="00A668C6"/>
    <w:rsid w:val="00A673EA"/>
    <w:rsid w:val="00A728E4"/>
    <w:rsid w:val="00A775A5"/>
    <w:rsid w:val="00A80A4E"/>
    <w:rsid w:val="00A80CF5"/>
    <w:rsid w:val="00A81105"/>
    <w:rsid w:val="00A81A2A"/>
    <w:rsid w:val="00A827FE"/>
    <w:rsid w:val="00A82FF8"/>
    <w:rsid w:val="00A836C1"/>
    <w:rsid w:val="00A83B62"/>
    <w:rsid w:val="00A84C59"/>
    <w:rsid w:val="00A85D91"/>
    <w:rsid w:val="00A865A7"/>
    <w:rsid w:val="00A870F0"/>
    <w:rsid w:val="00A91028"/>
    <w:rsid w:val="00A918C9"/>
    <w:rsid w:val="00A93E06"/>
    <w:rsid w:val="00A948D2"/>
    <w:rsid w:val="00A94BB9"/>
    <w:rsid w:val="00A957E2"/>
    <w:rsid w:val="00A959EA"/>
    <w:rsid w:val="00A97615"/>
    <w:rsid w:val="00A97C86"/>
    <w:rsid w:val="00AA0750"/>
    <w:rsid w:val="00AA243E"/>
    <w:rsid w:val="00AA26BF"/>
    <w:rsid w:val="00AA4C58"/>
    <w:rsid w:val="00AA510F"/>
    <w:rsid w:val="00AA6070"/>
    <w:rsid w:val="00AA660A"/>
    <w:rsid w:val="00AA6AB2"/>
    <w:rsid w:val="00AA6DDE"/>
    <w:rsid w:val="00AA744A"/>
    <w:rsid w:val="00AA7464"/>
    <w:rsid w:val="00AB1215"/>
    <w:rsid w:val="00AB178B"/>
    <w:rsid w:val="00AB1CBB"/>
    <w:rsid w:val="00AB2455"/>
    <w:rsid w:val="00AB3291"/>
    <w:rsid w:val="00AB3484"/>
    <w:rsid w:val="00AB45B5"/>
    <w:rsid w:val="00AB4D10"/>
    <w:rsid w:val="00AB50BB"/>
    <w:rsid w:val="00AB5698"/>
    <w:rsid w:val="00AB5BFF"/>
    <w:rsid w:val="00AB6737"/>
    <w:rsid w:val="00AB6A20"/>
    <w:rsid w:val="00AB6EE3"/>
    <w:rsid w:val="00AB7B2A"/>
    <w:rsid w:val="00AC0012"/>
    <w:rsid w:val="00AC07CF"/>
    <w:rsid w:val="00AC1916"/>
    <w:rsid w:val="00AC21F0"/>
    <w:rsid w:val="00AC317A"/>
    <w:rsid w:val="00AC3C40"/>
    <w:rsid w:val="00AC48CB"/>
    <w:rsid w:val="00AC5665"/>
    <w:rsid w:val="00AC66D8"/>
    <w:rsid w:val="00AC6A2D"/>
    <w:rsid w:val="00AC6E65"/>
    <w:rsid w:val="00AD1160"/>
    <w:rsid w:val="00AD1BB6"/>
    <w:rsid w:val="00AD28EF"/>
    <w:rsid w:val="00AD38A5"/>
    <w:rsid w:val="00AD3B36"/>
    <w:rsid w:val="00AD4183"/>
    <w:rsid w:val="00AD495A"/>
    <w:rsid w:val="00AE1E3E"/>
    <w:rsid w:val="00AE2A40"/>
    <w:rsid w:val="00AE3C8E"/>
    <w:rsid w:val="00AE4B54"/>
    <w:rsid w:val="00AE501E"/>
    <w:rsid w:val="00AE5CC0"/>
    <w:rsid w:val="00AE7A67"/>
    <w:rsid w:val="00AF0D23"/>
    <w:rsid w:val="00AF1363"/>
    <w:rsid w:val="00AF141C"/>
    <w:rsid w:val="00AF1BDD"/>
    <w:rsid w:val="00AF21E9"/>
    <w:rsid w:val="00AF2770"/>
    <w:rsid w:val="00AF3492"/>
    <w:rsid w:val="00AF3F6B"/>
    <w:rsid w:val="00AF5A7B"/>
    <w:rsid w:val="00AF6220"/>
    <w:rsid w:val="00AF6C4D"/>
    <w:rsid w:val="00AF6D46"/>
    <w:rsid w:val="00B002F2"/>
    <w:rsid w:val="00B04302"/>
    <w:rsid w:val="00B04FC0"/>
    <w:rsid w:val="00B067FF"/>
    <w:rsid w:val="00B06E5B"/>
    <w:rsid w:val="00B079F1"/>
    <w:rsid w:val="00B07FD0"/>
    <w:rsid w:val="00B1061E"/>
    <w:rsid w:val="00B10953"/>
    <w:rsid w:val="00B10A58"/>
    <w:rsid w:val="00B11C9B"/>
    <w:rsid w:val="00B11F1F"/>
    <w:rsid w:val="00B1394A"/>
    <w:rsid w:val="00B148A8"/>
    <w:rsid w:val="00B159D3"/>
    <w:rsid w:val="00B15CA9"/>
    <w:rsid w:val="00B172C8"/>
    <w:rsid w:val="00B175FD"/>
    <w:rsid w:val="00B201F8"/>
    <w:rsid w:val="00B206AA"/>
    <w:rsid w:val="00B222B5"/>
    <w:rsid w:val="00B2297B"/>
    <w:rsid w:val="00B23BD1"/>
    <w:rsid w:val="00B241C8"/>
    <w:rsid w:val="00B243A5"/>
    <w:rsid w:val="00B243E8"/>
    <w:rsid w:val="00B24599"/>
    <w:rsid w:val="00B25F0C"/>
    <w:rsid w:val="00B2636C"/>
    <w:rsid w:val="00B2764C"/>
    <w:rsid w:val="00B30EBA"/>
    <w:rsid w:val="00B31736"/>
    <w:rsid w:val="00B319B7"/>
    <w:rsid w:val="00B323F1"/>
    <w:rsid w:val="00B32AED"/>
    <w:rsid w:val="00B340A2"/>
    <w:rsid w:val="00B342A0"/>
    <w:rsid w:val="00B348A4"/>
    <w:rsid w:val="00B34D4C"/>
    <w:rsid w:val="00B40D01"/>
    <w:rsid w:val="00B410D5"/>
    <w:rsid w:val="00B41FB0"/>
    <w:rsid w:val="00B42C12"/>
    <w:rsid w:val="00B45AC8"/>
    <w:rsid w:val="00B45AF7"/>
    <w:rsid w:val="00B46007"/>
    <w:rsid w:val="00B46218"/>
    <w:rsid w:val="00B46611"/>
    <w:rsid w:val="00B46AFD"/>
    <w:rsid w:val="00B47F53"/>
    <w:rsid w:val="00B5018D"/>
    <w:rsid w:val="00B50C2F"/>
    <w:rsid w:val="00B512EF"/>
    <w:rsid w:val="00B55B93"/>
    <w:rsid w:val="00B562F6"/>
    <w:rsid w:val="00B5719F"/>
    <w:rsid w:val="00B61B0A"/>
    <w:rsid w:val="00B620A7"/>
    <w:rsid w:val="00B64143"/>
    <w:rsid w:val="00B64789"/>
    <w:rsid w:val="00B6570C"/>
    <w:rsid w:val="00B6778A"/>
    <w:rsid w:val="00B727DB"/>
    <w:rsid w:val="00B7556A"/>
    <w:rsid w:val="00B75CC0"/>
    <w:rsid w:val="00B76713"/>
    <w:rsid w:val="00B77417"/>
    <w:rsid w:val="00B80519"/>
    <w:rsid w:val="00B81430"/>
    <w:rsid w:val="00B81DA8"/>
    <w:rsid w:val="00B82D1E"/>
    <w:rsid w:val="00B83385"/>
    <w:rsid w:val="00B84966"/>
    <w:rsid w:val="00B84C15"/>
    <w:rsid w:val="00B84D82"/>
    <w:rsid w:val="00B86DC5"/>
    <w:rsid w:val="00B900BB"/>
    <w:rsid w:val="00B90C61"/>
    <w:rsid w:val="00B90DEA"/>
    <w:rsid w:val="00B916FC"/>
    <w:rsid w:val="00B91836"/>
    <w:rsid w:val="00B92848"/>
    <w:rsid w:val="00B92BDA"/>
    <w:rsid w:val="00B92EFD"/>
    <w:rsid w:val="00B93D82"/>
    <w:rsid w:val="00B963FB"/>
    <w:rsid w:val="00B96B1F"/>
    <w:rsid w:val="00B97F7D"/>
    <w:rsid w:val="00BA2531"/>
    <w:rsid w:val="00BA2DB9"/>
    <w:rsid w:val="00BA6350"/>
    <w:rsid w:val="00BA6AF2"/>
    <w:rsid w:val="00BA7221"/>
    <w:rsid w:val="00BB35E4"/>
    <w:rsid w:val="00BB5883"/>
    <w:rsid w:val="00BB60BA"/>
    <w:rsid w:val="00BB6672"/>
    <w:rsid w:val="00BC12CF"/>
    <w:rsid w:val="00BC16EA"/>
    <w:rsid w:val="00BC2662"/>
    <w:rsid w:val="00BC4062"/>
    <w:rsid w:val="00BC4A9D"/>
    <w:rsid w:val="00BC564D"/>
    <w:rsid w:val="00BC5A92"/>
    <w:rsid w:val="00BC778B"/>
    <w:rsid w:val="00BD0AA6"/>
    <w:rsid w:val="00BD3916"/>
    <w:rsid w:val="00BD495A"/>
    <w:rsid w:val="00BD4F5E"/>
    <w:rsid w:val="00BD515F"/>
    <w:rsid w:val="00BD5F58"/>
    <w:rsid w:val="00BD6048"/>
    <w:rsid w:val="00BD606F"/>
    <w:rsid w:val="00BD6618"/>
    <w:rsid w:val="00BD77BF"/>
    <w:rsid w:val="00BE02E7"/>
    <w:rsid w:val="00BE0765"/>
    <w:rsid w:val="00BE26C7"/>
    <w:rsid w:val="00BE2CE7"/>
    <w:rsid w:val="00BE5CAF"/>
    <w:rsid w:val="00BE6021"/>
    <w:rsid w:val="00BE6538"/>
    <w:rsid w:val="00BE6ADB"/>
    <w:rsid w:val="00BE6CEA"/>
    <w:rsid w:val="00BE7148"/>
    <w:rsid w:val="00BF11FD"/>
    <w:rsid w:val="00BF1437"/>
    <w:rsid w:val="00BF3F8C"/>
    <w:rsid w:val="00BF56BA"/>
    <w:rsid w:val="00C01810"/>
    <w:rsid w:val="00C01F35"/>
    <w:rsid w:val="00C02DBB"/>
    <w:rsid w:val="00C03C41"/>
    <w:rsid w:val="00C04D23"/>
    <w:rsid w:val="00C05689"/>
    <w:rsid w:val="00C05B56"/>
    <w:rsid w:val="00C06A5B"/>
    <w:rsid w:val="00C1196D"/>
    <w:rsid w:val="00C128CC"/>
    <w:rsid w:val="00C13837"/>
    <w:rsid w:val="00C13974"/>
    <w:rsid w:val="00C17022"/>
    <w:rsid w:val="00C2235C"/>
    <w:rsid w:val="00C258F5"/>
    <w:rsid w:val="00C314C1"/>
    <w:rsid w:val="00C319B1"/>
    <w:rsid w:val="00C32DFD"/>
    <w:rsid w:val="00C33723"/>
    <w:rsid w:val="00C34011"/>
    <w:rsid w:val="00C34FCF"/>
    <w:rsid w:val="00C35ECE"/>
    <w:rsid w:val="00C36C78"/>
    <w:rsid w:val="00C370BB"/>
    <w:rsid w:val="00C37AEA"/>
    <w:rsid w:val="00C40EAD"/>
    <w:rsid w:val="00C42510"/>
    <w:rsid w:val="00C4273B"/>
    <w:rsid w:val="00C44461"/>
    <w:rsid w:val="00C457A0"/>
    <w:rsid w:val="00C47B9D"/>
    <w:rsid w:val="00C51B81"/>
    <w:rsid w:val="00C52A2B"/>
    <w:rsid w:val="00C53572"/>
    <w:rsid w:val="00C5364C"/>
    <w:rsid w:val="00C54897"/>
    <w:rsid w:val="00C54B53"/>
    <w:rsid w:val="00C55369"/>
    <w:rsid w:val="00C5597E"/>
    <w:rsid w:val="00C560BD"/>
    <w:rsid w:val="00C57BB3"/>
    <w:rsid w:val="00C6376A"/>
    <w:rsid w:val="00C63870"/>
    <w:rsid w:val="00C63FB4"/>
    <w:rsid w:val="00C6585E"/>
    <w:rsid w:val="00C66C6F"/>
    <w:rsid w:val="00C66DD4"/>
    <w:rsid w:val="00C66EA8"/>
    <w:rsid w:val="00C66F86"/>
    <w:rsid w:val="00C670DA"/>
    <w:rsid w:val="00C67FFC"/>
    <w:rsid w:val="00C70618"/>
    <w:rsid w:val="00C76499"/>
    <w:rsid w:val="00C7721F"/>
    <w:rsid w:val="00C777CF"/>
    <w:rsid w:val="00C83E2D"/>
    <w:rsid w:val="00C841EE"/>
    <w:rsid w:val="00C85257"/>
    <w:rsid w:val="00C85579"/>
    <w:rsid w:val="00C900A9"/>
    <w:rsid w:val="00C918CA"/>
    <w:rsid w:val="00C91CD4"/>
    <w:rsid w:val="00C92294"/>
    <w:rsid w:val="00C93A40"/>
    <w:rsid w:val="00C94709"/>
    <w:rsid w:val="00C96BDE"/>
    <w:rsid w:val="00CA03D7"/>
    <w:rsid w:val="00CA23D5"/>
    <w:rsid w:val="00CA3ECD"/>
    <w:rsid w:val="00CA4407"/>
    <w:rsid w:val="00CA4443"/>
    <w:rsid w:val="00CA7695"/>
    <w:rsid w:val="00CB1783"/>
    <w:rsid w:val="00CB18B3"/>
    <w:rsid w:val="00CB266B"/>
    <w:rsid w:val="00CB3239"/>
    <w:rsid w:val="00CB4B7E"/>
    <w:rsid w:val="00CB569E"/>
    <w:rsid w:val="00CB77EB"/>
    <w:rsid w:val="00CC08C8"/>
    <w:rsid w:val="00CC0CBA"/>
    <w:rsid w:val="00CC107D"/>
    <w:rsid w:val="00CC1557"/>
    <w:rsid w:val="00CC306D"/>
    <w:rsid w:val="00CC3DEB"/>
    <w:rsid w:val="00CC52D4"/>
    <w:rsid w:val="00CC563E"/>
    <w:rsid w:val="00CC5EE9"/>
    <w:rsid w:val="00CC5FF2"/>
    <w:rsid w:val="00CD1359"/>
    <w:rsid w:val="00CD2541"/>
    <w:rsid w:val="00CD4747"/>
    <w:rsid w:val="00CD4978"/>
    <w:rsid w:val="00CD4CFE"/>
    <w:rsid w:val="00CD4DB2"/>
    <w:rsid w:val="00CD5709"/>
    <w:rsid w:val="00CD5FC7"/>
    <w:rsid w:val="00CD610A"/>
    <w:rsid w:val="00CE0BBC"/>
    <w:rsid w:val="00CE1532"/>
    <w:rsid w:val="00CE2E96"/>
    <w:rsid w:val="00CE345C"/>
    <w:rsid w:val="00CE35DA"/>
    <w:rsid w:val="00CE61E2"/>
    <w:rsid w:val="00CE702F"/>
    <w:rsid w:val="00CE7219"/>
    <w:rsid w:val="00CE74B5"/>
    <w:rsid w:val="00CF02E9"/>
    <w:rsid w:val="00CF1183"/>
    <w:rsid w:val="00CF138E"/>
    <w:rsid w:val="00CF1869"/>
    <w:rsid w:val="00CF3A4A"/>
    <w:rsid w:val="00CF41DC"/>
    <w:rsid w:val="00CF49DC"/>
    <w:rsid w:val="00CF57E2"/>
    <w:rsid w:val="00CF6584"/>
    <w:rsid w:val="00D01C22"/>
    <w:rsid w:val="00D02690"/>
    <w:rsid w:val="00D0298F"/>
    <w:rsid w:val="00D048AF"/>
    <w:rsid w:val="00D04DC5"/>
    <w:rsid w:val="00D0684B"/>
    <w:rsid w:val="00D112BE"/>
    <w:rsid w:val="00D1225B"/>
    <w:rsid w:val="00D129D6"/>
    <w:rsid w:val="00D12D5C"/>
    <w:rsid w:val="00D15DF0"/>
    <w:rsid w:val="00D16DE3"/>
    <w:rsid w:val="00D20219"/>
    <w:rsid w:val="00D21261"/>
    <w:rsid w:val="00D21DD9"/>
    <w:rsid w:val="00D21F05"/>
    <w:rsid w:val="00D2212D"/>
    <w:rsid w:val="00D24E54"/>
    <w:rsid w:val="00D2519E"/>
    <w:rsid w:val="00D27770"/>
    <w:rsid w:val="00D279B9"/>
    <w:rsid w:val="00D31466"/>
    <w:rsid w:val="00D33EA3"/>
    <w:rsid w:val="00D35672"/>
    <w:rsid w:val="00D35C18"/>
    <w:rsid w:val="00D4074E"/>
    <w:rsid w:val="00D40EE3"/>
    <w:rsid w:val="00D413FF"/>
    <w:rsid w:val="00D42778"/>
    <w:rsid w:val="00D42858"/>
    <w:rsid w:val="00D46BB7"/>
    <w:rsid w:val="00D47495"/>
    <w:rsid w:val="00D52410"/>
    <w:rsid w:val="00D53B02"/>
    <w:rsid w:val="00D543AA"/>
    <w:rsid w:val="00D56E4B"/>
    <w:rsid w:val="00D575E8"/>
    <w:rsid w:val="00D57993"/>
    <w:rsid w:val="00D57E76"/>
    <w:rsid w:val="00D61836"/>
    <w:rsid w:val="00D620DD"/>
    <w:rsid w:val="00D64A27"/>
    <w:rsid w:val="00D65086"/>
    <w:rsid w:val="00D65332"/>
    <w:rsid w:val="00D6630E"/>
    <w:rsid w:val="00D668AC"/>
    <w:rsid w:val="00D66DCA"/>
    <w:rsid w:val="00D6789D"/>
    <w:rsid w:val="00D700C8"/>
    <w:rsid w:val="00D70CC0"/>
    <w:rsid w:val="00D71713"/>
    <w:rsid w:val="00D723A4"/>
    <w:rsid w:val="00D7286E"/>
    <w:rsid w:val="00D73272"/>
    <w:rsid w:val="00D74F99"/>
    <w:rsid w:val="00D750FE"/>
    <w:rsid w:val="00D76C44"/>
    <w:rsid w:val="00D839A4"/>
    <w:rsid w:val="00D85F4F"/>
    <w:rsid w:val="00D86E0B"/>
    <w:rsid w:val="00D86F02"/>
    <w:rsid w:val="00D90386"/>
    <w:rsid w:val="00D93F8D"/>
    <w:rsid w:val="00D964C3"/>
    <w:rsid w:val="00D96671"/>
    <w:rsid w:val="00D96B16"/>
    <w:rsid w:val="00DA288E"/>
    <w:rsid w:val="00DA3272"/>
    <w:rsid w:val="00DA75B8"/>
    <w:rsid w:val="00DB08F6"/>
    <w:rsid w:val="00DB0C43"/>
    <w:rsid w:val="00DB137C"/>
    <w:rsid w:val="00DB1523"/>
    <w:rsid w:val="00DB307A"/>
    <w:rsid w:val="00DB6814"/>
    <w:rsid w:val="00DB7F45"/>
    <w:rsid w:val="00DC07CC"/>
    <w:rsid w:val="00DC1670"/>
    <w:rsid w:val="00DC1F78"/>
    <w:rsid w:val="00DC24A9"/>
    <w:rsid w:val="00DC3D5F"/>
    <w:rsid w:val="00DC4314"/>
    <w:rsid w:val="00DC6C13"/>
    <w:rsid w:val="00DC6CE7"/>
    <w:rsid w:val="00DC766F"/>
    <w:rsid w:val="00DD1688"/>
    <w:rsid w:val="00DD1EB8"/>
    <w:rsid w:val="00DD5E87"/>
    <w:rsid w:val="00DD6146"/>
    <w:rsid w:val="00DD7C70"/>
    <w:rsid w:val="00DE0A26"/>
    <w:rsid w:val="00DE3795"/>
    <w:rsid w:val="00DE550C"/>
    <w:rsid w:val="00DE5A46"/>
    <w:rsid w:val="00DE5CFF"/>
    <w:rsid w:val="00DE681B"/>
    <w:rsid w:val="00DF22C1"/>
    <w:rsid w:val="00DF239B"/>
    <w:rsid w:val="00DF2A29"/>
    <w:rsid w:val="00DF2AEC"/>
    <w:rsid w:val="00DF600E"/>
    <w:rsid w:val="00DF7118"/>
    <w:rsid w:val="00DF7ADB"/>
    <w:rsid w:val="00DF7BAF"/>
    <w:rsid w:val="00E0072C"/>
    <w:rsid w:val="00E01844"/>
    <w:rsid w:val="00E01AEE"/>
    <w:rsid w:val="00E03174"/>
    <w:rsid w:val="00E0318B"/>
    <w:rsid w:val="00E04058"/>
    <w:rsid w:val="00E04763"/>
    <w:rsid w:val="00E0538D"/>
    <w:rsid w:val="00E06113"/>
    <w:rsid w:val="00E06B8A"/>
    <w:rsid w:val="00E11369"/>
    <w:rsid w:val="00E12549"/>
    <w:rsid w:val="00E1456C"/>
    <w:rsid w:val="00E148C0"/>
    <w:rsid w:val="00E1496F"/>
    <w:rsid w:val="00E16727"/>
    <w:rsid w:val="00E17E39"/>
    <w:rsid w:val="00E21A48"/>
    <w:rsid w:val="00E2308E"/>
    <w:rsid w:val="00E318BE"/>
    <w:rsid w:val="00E32A0C"/>
    <w:rsid w:val="00E33C5E"/>
    <w:rsid w:val="00E34275"/>
    <w:rsid w:val="00E346B4"/>
    <w:rsid w:val="00E34DE2"/>
    <w:rsid w:val="00E358E4"/>
    <w:rsid w:val="00E35B9C"/>
    <w:rsid w:val="00E37B9B"/>
    <w:rsid w:val="00E41502"/>
    <w:rsid w:val="00E4199D"/>
    <w:rsid w:val="00E41B3D"/>
    <w:rsid w:val="00E42071"/>
    <w:rsid w:val="00E423A1"/>
    <w:rsid w:val="00E427C3"/>
    <w:rsid w:val="00E42B5B"/>
    <w:rsid w:val="00E42E84"/>
    <w:rsid w:val="00E43520"/>
    <w:rsid w:val="00E437E8"/>
    <w:rsid w:val="00E43C05"/>
    <w:rsid w:val="00E43EE4"/>
    <w:rsid w:val="00E44D68"/>
    <w:rsid w:val="00E45D7D"/>
    <w:rsid w:val="00E4626E"/>
    <w:rsid w:val="00E46940"/>
    <w:rsid w:val="00E4701A"/>
    <w:rsid w:val="00E51A68"/>
    <w:rsid w:val="00E53A57"/>
    <w:rsid w:val="00E550E1"/>
    <w:rsid w:val="00E5517F"/>
    <w:rsid w:val="00E551C9"/>
    <w:rsid w:val="00E60E10"/>
    <w:rsid w:val="00E610C4"/>
    <w:rsid w:val="00E611B9"/>
    <w:rsid w:val="00E61772"/>
    <w:rsid w:val="00E61ACA"/>
    <w:rsid w:val="00E63E3F"/>
    <w:rsid w:val="00E63F68"/>
    <w:rsid w:val="00E65D13"/>
    <w:rsid w:val="00E66A14"/>
    <w:rsid w:val="00E70394"/>
    <w:rsid w:val="00E712B7"/>
    <w:rsid w:val="00E7351A"/>
    <w:rsid w:val="00E73756"/>
    <w:rsid w:val="00E74D64"/>
    <w:rsid w:val="00E758A9"/>
    <w:rsid w:val="00E762E1"/>
    <w:rsid w:val="00E767A6"/>
    <w:rsid w:val="00E76A90"/>
    <w:rsid w:val="00E801E7"/>
    <w:rsid w:val="00E8187E"/>
    <w:rsid w:val="00E830A2"/>
    <w:rsid w:val="00E84573"/>
    <w:rsid w:val="00E84E7B"/>
    <w:rsid w:val="00E85484"/>
    <w:rsid w:val="00E85489"/>
    <w:rsid w:val="00E85AFA"/>
    <w:rsid w:val="00E86AAA"/>
    <w:rsid w:val="00E87F36"/>
    <w:rsid w:val="00E92BF9"/>
    <w:rsid w:val="00E93C64"/>
    <w:rsid w:val="00E94EFB"/>
    <w:rsid w:val="00E953BE"/>
    <w:rsid w:val="00E955F8"/>
    <w:rsid w:val="00E95F7F"/>
    <w:rsid w:val="00E966EE"/>
    <w:rsid w:val="00EA1B39"/>
    <w:rsid w:val="00EA1E09"/>
    <w:rsid w:val="00EA44F5"/>
    <w:rsid w:val="00EA59E6"/>
    <w:rsid w:val="00EA5B9E"/>
    <w:rsid w:val="00EA6088"/>
    <w:rsid w:val="00EA6707"/>
    <w:rsid w:val="00EA6BE3"/>
    <w:rsid w:val="00EA7C84"/>
    <w:rsid w:val="00EB1EF3"/>
    <w:rsid w:val="00EB23AD"/>
    <w:rsid w:val="00EB3A52"/>
    <w:rsid w:val="00EB5CBD"/>
    <w:rsid w:val="00EC1CE7"/>
    <w:rsid w:val="00EC1EE8"/>
    <w:rsid w:val="00EC221C"/>
    <w:rsid w:val="00EC2A7C"/>
    <w:rsid w:val="00EC3CFC"/>
    <w:rsid w:val="00EC4316"/>
    <w:rsid w:val="00EC5D3D"/>
    <w:rsid w:val="00EC5EBB"/>
    <w:rsid w:val="00EC64BE"/>
    <w:rsid w:val="00EC68A1"/>
    <w:rsid w:val="00EC73EB"/>
    <w:rsid w:val="00ED0958"/>
    <w:rsid w:val="00ED098E"/>
    <w:rsid w:val="00ED0994"/>
    <w:rsid w:val="00ED12AA"/>
    <w:rsid w:val="00ED1386"/>
    <w:rsid w:val="00ED1B23"/>
    <w:rsid w:val="00ED2233"/>
    <w:rsid w:val="00ED67FF"/>
    <w:rsid w:val="00ED6D9D"/>
    <w:rsid w:val="00ED772C"/>
    <w:rsid w:val="00EE05C7"/>
    <w:rsid w:val="00EE0794"/>
    <w:rsid w:val="00EE07A5"/>
    <w:rsid w:val="00EE0E50"/>
    <w:rsid w:val="00EE1202"/>
    <w:rsid w:val="00EE1F1E"/>
    <w:rsid w:val="00EE373B"/>
    <w:rsid w:val="00EE51E0"/>
    <w:rsid w:val="00EE73A0"/>
    <w:rsid w:val="00EE7537"/>
    <w:rsid w:val="00EF077B"/>
    <w:rsid w:val="00EF264B"/>
    <w:rsid w:val="00EF3122"/>
    <w:rsid w:val="00EF45B9"/>
    <w:rsid w:val="00EF4AA9"/>
    <w:rsid w:val="00EF4D1A"/>
    <w:rsid w:val="00EF71D0"/>
    <w:rsid w:val="00EF722F"/>
    <w:rsid w:val="00EF7990"/>
    <w:rsid w:val="00F00DEA"/>
    <w:rsid w:val="00F01021"/>
    <w:rsid w:val="00F0302A"/>
    <w:rsid w:val="00F04C85"/>
    <w:rsid w:val="00F10012"/>
    <w:rsid w:val="00F119F5"/>
    <w:rsid w:val="00F12490"/>
    <w:rsid w:val="00F13692"/>
    <w:rsid w:val="00F13E26"/>
    <w:rsid w:val="00F147AF"/>
    <w:rsid w:val="00F15DB6"/>
    <w:rsid w:val="00F16FAE"/>
    <w:rsid w:val="00F21B72"/>
    <w:rsid w:val="00F22B89"/>
    <w:rsid w:val="00F23BDB"/>
    <w:rsid w:val="00F24178"/>
    <w:rsid w:val="00F24218"/>
    <w:rsid w:val="00F242B2"/>
    <w:rsid w:val="00F2495C"/>
    <w:rsid w:val="00F25979"/>
    <w:rsid w:val="00F25B3A"/>
    <w:rsid w:val="00F25E9F"/>
    <w:rsid w:val="00F26553"/>
    <w:rsid w:val="00F26633"/>
    <w:rsid w:val="00F26783"/>
    <w:rsid w:val="00F26DD8"/>
    <w:rsid w:val="00F26F66"/>
    <w:rsid w:val="00F2711E"/>
    <w:rsid w:val="00F279D1"/>
    <w:rsid w:val="00F27D5E"/>
    <w:rsid w:val="00F3065F"/>
    <w:rsid w:val="00F30FAF"/>
    <w:rsid w:val="00F32C9B"/>
    <w:rsid w:val="00F32E28"/>
    <w:rsid w:val="00F33EA9"/>
    <w:rsid w:val="00F34239"/>
    <w:rsid w:val="00F3457D"/>
    <w:rsid w:val="00F36A51"/>
    <w:rsid w:val="00F37ED3"/>
    <w:rsid w:val="00F41793"/>
    <w:rsid w:val="00F42434"/>
    <w:rsid w:val="00F424E6"/>
    <w:rsid w:val="00F42A72"/>
    <w:rsid w:val="00F44B56"/>
    <w:rsid w:val="00F45B39"/>
    <w:rsid w:val="00F46053"/>
    <w:rsid w:val="00F51E91"/>
    <w:rsid w:val="00F55973"/>
    <w:rsid w:val="00F56C8F"/>
    <w:rsid w:val="00F610B0"/>
    <w:rsid w:val="00F615F9"/>
    <w:rsid w:val="00F61C2B"/>
    <w:rsid w:val="00F62D27"/>
    <w:rsid w:val="00F656CA"/>
    <w:rsid w:val="00F66FAB"/>
    <w:rsid w:val="00F7033D"/>
    <w:rsid w:val="00F7120C"/>
    <w:rsid w:val="00F71FF1"/>
    <w:rsid w:val="00F73460"/>
    <w:rsid w:val="00F737FC"/>
    <w:rsid w:val="00F73956"/>
    <w:rsid w:val="00F767AD"/>
    <w:rsid w:val="00F823F7"/>
    <w:rsid w:val="00F834D8"/>
    <w:rsid w:val="00F839C3"/>
    <w:rsid w:val="00F86D5F"/>
    <w:rsid w:val="00F87E5A"/>
    <w:rsid w:val="00F9159F"/>
    <w:rsid w:val="00F91776"/>
    <w:rsid w:val="00F937DC"/>
    <w:rsid w:val="00F940D1"/>
    <w:rsid w:val="00FA13A3"/>
    <w:rsid w:val="00FA379D"/>
    <w:rsid w:val="00FA3C85"/>
    <w:rsid w:val="00FA40D1"/>
    <w:rsid w:val="00FA4E1E"/>
    <w:rsid w:val="00FA70C2"/>
    <w:rsid w:val="00FB09D8"/>
    <w:rsid w:val="00FB1CAC"/>
    <w:rsid w:val="00FB1FF4"/>
    <w:rsid w:val="00FB216C"/>
    <w:rsid w:val="00FB2316"/>
    <w:rsid w:val="00FB2333"/>
    <w:rsid w:val="00FB3715"/>
    <w:rsid w:val="00FB38EB"/>
    <w:rsid w:val="00FB56DA"/>
    <w:rsid w:val="00FC047A"/>
    <w:rsid w:val="00FC135A"/>
    <w:rsid w:val="00FC2B9E"/>
    <w:rsid w:val="00FC2BBC"/>
    <w:rsid w:val="00FC40B4"/>
    <w:rsid w:val="00FC4E46"/>
    <w:rsid w:val="00FC5721"/>
    <w:rsid w:val="00FC601E"/>
    <w:rsid w:val="00FC717C"/>
    <w:rsid w:val="00FC7AA3"/>
    <w:rsid w:val="00FD0869"/>
    <w:rsid w:val="00FD12AB"/>
    <w:rsid w:val="00FD1FAE"/>
    <w:rsid w:val="00FD272C"/>
    <w:rsid w:val="00FD28BD"/>
    <w:rsid w:val="00FD2C49"/>
    <w:rsid w:val="00FD2E3C"/>
    <w:rsid w:val="00FD3B66"/>
    <w:rsid w:val="00FD4440"/>
    <w:rsid w:val="00FD485D"/>
    <w:rsid w:val="00FD49E6"/>
    <w:rsid w:val="00FD57C2"/>
    <w:rsid w:val="00FD65F3"/>
    <w:rsid w:val="00FE0201"/>
    <w:rsid w:val="00FE2784"/>
    <w:rsid w:val="00FE5FAA"/>
    <w:rsid w:val="00FE6540"/>
    <w:rsid w:val="00FE6E6F"/>
    <w:rsid w:val="00FE7017"/>
    <w:rsid w:val="00FE77D7"/>
    <w:rsid w:val="00FF0416"/>
    <w:rsid w:val="00FF0EF9"/>
    <w:rsid w:val="00FF35AB"/>
    <w:rsid w:val="00FF3E64"/>
    <w:rsid w:val="00FF3EBB"/>
    <w:rsid w:val="00FF40E7"/>
    <w:rsid w:val="00FF4B6C"/>
    <w:rsid w:val="00FF558D"/>
    <w:rsid w:val="01188FFE"/>
    <w:rsid w:val="020147BC"/>
    <w:rsid w:val="02316866"/>
    <w:rsid w:val="02396009"/>
    <w:rsid w:val="023D6B17"/>
    <w:rsid w:val="02456943"/>
    <w:rsid w:val="02456D00"/>
    <w:rsid w:val="02B9FEF0"/>
    <w:rsid w:val="02C0B45D"/>
    <w:rsid w:val="02D035B4"/>
    <w:rsid w:val="02DDB18E"/>
    <w:rsid w:val="0314AF6B"/>
    <w:rsid w:val="0338148D"/>
    <w:rsid w:val="035646D9"/>
    <w:rsid w:val="0370EBE6"/>
    <w:rsid w:val="03838140"/>
    <w:rsid w:val="04213059"/>
    <w:rsid w:val="043AB2C4"/>
    <w:rsid w:val="04458F65"/>
    <w:rsid w:val="04ADECAF"/>
    <w:rsid w:val="04CB89A6"/>
    <w:rsid w:val="04DF59D9"/>
    <w:rsid w:val="0538B323"/>
    <w:rsid w:val="0545FEA8"/>
    <w:rsid w:val="0581ED74"/>
    <w:rsid w:val="0588EC7A"/>
    <w:rsid w:val="058C9695"/>
    <w:rsid w:val="05E8CEC8"/>
    <w:rsid w:val="05FB0199"/>
    <w:rsid w:val="062B5166"/>
    <w:rsid w:val="0634E5D2"/>
    <w:rsid w:val="0692080B"/>
    <w:rsid w:val="06B76274"/>
    <w:rsid w:val="06F6B5C6"/>
    <w:rsid w:val="071EFE66"/>
    <w:rsid w:val="07378FEE"/>
    <w:rsid w:val="073964C6"/>
    <w:rsid w:val="074F84B1"/>
    <w:rsid w:val="07515198"/>
    <w:rsid w:val="07786CB3"/>
    <w:rsid w:val="08096B02"/>
    <w:rsid w:val="081C4837"/>
    <w:rsid w:val="084008FA"/>
    <w:rsid w:val="091EFD40"/>
    <w:rsid w:val="09FC7194"/>
    <w:rsid w:val="0A13A171"/>
    <w:rsid w:val="0A9F79A8"/>
    <w:rsid w:val="0BDE1584"/>
    <w:rsid w:val="0C00AE91"/>
    <w:rsid w:val="0C5F108A"/>
    <w:rsid w:val="0C7E41E8"/>
    <w:rsid w:val="0CDD37CC"/>
    <w:rsid w:val="0DCC7104"/>
    <w:rsid w:val="0E0ED1E1"/>
    <w:rsid w:val="0E575A0E"/>
    <w:rsid w:val="0E87AC6D"/>
    <w:rsid w:val="0EB3B8F6"/>
    <w:rsid w:val="0EC8D53E"/>
    <w:rsid w:val="0F0657D5"/>
    <w:rsid w:val="0F1872AE"/>
    <w:rsid w:val="0F2B2C61"/>
    <w:rsid w:val="0F303DE8"/>
    <w:rsid w:val="0F327641"/>
    <w:rsid w:val="0F35C081"/>
    <w:rsid w:val="0F88B3F3"/>
    <w:rsid w:val="0F911C68"/>
    <w:rsid w:val="1001ED9D"/>
    <w:rsid w:val="10458B8D"/>
    <w:rsid w:val="107F1EAD"/>
    <w:rsid w:val="1084A779"/>
    <w:rsid w:val="10E131D0"/>
    <w:rsid w:val="1114B4D0"/>
    <w:rsid w:val="11453A58"/>
    <w:rsid w:val="11500220"/>
    <w:rsid w:val="11F05ECF"/>
    <w:rsid w:val="12123A6B"/>
    <w:rsid w:val="12526661"/>
    <w:rsid w:val="1285BB1C"/>
    <w:rsid w:val="12E13FED"/>
    <w:rsid w:val="12EC92E9"/>
    <w:rsid w:val="1300B288"/>
    <w:rsid w:val="132F2574"/>
    <w:rsid w:val="137F9EE1"/>
    <w:rsid w:val="13919DF3"/>
    <w:rsid w:val="13E3D8E4"/>
    <w:rsid w:val="14A0AEF9"/>
    <w:rsid w:val="14DC0E09"/>
    <w:rsid w:val="14E8190C"/>
    <w:rsid w:val="15B26183"/>
    <w:rsid w:val="16FE0512"/>
    <w:rsid w:val="175D30A8"/>
    <w:rsid w:val="176134BE"/>
    <w:rsid w:val="17E6F6AE"/>
    <w:rsid w:val="1824E1B2"/>
    <w:rsid w:val="18B047A8"/>
    <w:rsid w:val="18D0C3A3"/>
    <w:rsid w:val="19307A1D"/>
    <w:rsid w:val="1983F1FC"/>
    <w:rsid w:val="199D955D"/>
    <w:rsid w:val="1A02243A"/>
    <w:rsid w:val="1A2F9532"/>
    <w:rsid w:val="1A508580"/>
    <w:rsid w:val="1ACFFA23"/>
    <w:rsid w:val="1B20EE5E"/>
    <w:rsid w:val="1B579DCE"/>
    <w:rsid w:val="1B74CF4D"/>
    <w:rsid w:val="1C082A4D"/>
    <w:rsid w:val="1C0BAD3A"/>
    <w:rsid w:val="1C5EBD4F"/>
    <w:rsid w:val="1C92872B"/>
    <w:rsid w:val="1CE8F876"/>
    <w:rsid w:val="1CFAF14A"/>
    <w:rsid w:val="1D5566FA"/>
    <w:rsid w:val="1D90C129"/>
    <w:rsid w:val="1DA2C08B"/>
    <w:rsid w:val="1DBDDEFC"/>
    <w:rsid w:val="1E3348C0"/>
    <w:rsid w:val="1E625E4E"/>
    <w:rsid w:val="1E90D9CA"/>
    <w:rsid w:val="1EC77A8F"/>
    <w:rsid w:val="1F14B31E"/>
    <w:rsid w:val="1FE04CD9"/>
    <w:rsid w:val="203E252F"/>
    <w:rsid w:val="20CADCB7"/>
    <w:rsid w:val="2143FAC5"/>
    <w:rsid w:val="230CE90F"/>
    <w:rsid w:val="2335D276"/>
    <w:rsid w:val="237FA0BE"/>
    <w:rsid w:val="239D47C3"/>
    <w:rsid w:val="23CCADAB"/>
    <w:rsid w:val="23CFF05B"/>
    <w:rsid w:val="24D18DA5"/>
    <w:rsid w:val="24E187EA"/>
    <w:rsid w:val="24F23912"/>
    <w:rsid w:val="2532180D"/>
    <w:rsid w:val="25691812"/>
    <w:rsid w:val="257ECA16"/>
    <w:rsid w:val="258E4C4A"/>
    <w:rsid w:val="25BBED1D"/>
    <w:rsid w:val="2651DF85"/>
    <w:rsid w:val="26B48701"/>
    <w:rsid w:val="27228BF6"/>
    <w:rsid w:val="277F9C94"/>
    <w:rsid w:val="27A68102"/>
    <w:rsid w:val="2838A77D"/>
    <w:rsid w:val="283F3CFF"/>
    <w:rsid w:val="2840A3A5"/>
    <w:rsid w:val="28637838"/>
    <w:rsid w:val="2898261C"/>
    <w:rsid w:val="28D7D8C2"/>
    <w:rsid w:val="2933F15F"/>
    <w:rsid w:val="2956E089"/>
    <w:rsid w:val="296F401A"/>
    <w:rsid w:val="29A38601"/>
    <w:rsid w:val="29B0DBD6"/>
    <w:rsid w:val="29FF9133"/>
    <w:rsid w:val="2A052F21"/>
    <w:rsid w:val="2A4FC3B3"/>
    <w:rsid w:val="2B3ADA9B"/>
    <w:rsid w:val="2BAEC0E3"/>
    <w:rsid w:val="2BEF2DC1"/>
    <w:rsid w:val="2C43E614"/>
    <w:rsid w:val="2C5C143A"/>
    <w:rsid w:val="2D13C752"/>
    <w:rsid w:val="2D2F280F"/>
    <w:rsid w:val="2D4FDDF1"/>
    <w:rsid w:val="2E3040DD"/>
    <w:rsid w:val="2E4D2D4F"/>
    <w:rsid w:val="2FB01748"/>
    <w:rsid w:val="3073A941"/>
    <w:rsid w:val="30DD74A2"/>
    <w:rsid w:val="312364F7"/>
    <w:rsid w:val="313DA412"/>
    <w:rsid w:val="31D2BC1C"/>
    <w:rsid w:val="32355C77"/>
    <w:rsid w:val="3235C1C7"/>
    <w:rsid w:val="324D7D6A"/>
    <w:rsid w:val="325510F7"/>
    <w:rsid w:val="33383E0C"/>
    <w:rsid w:val="335486AF"/>
    <w:rsid w:val="33DCC8EA"/>
    <w:rsid w:val="33E4DD82"/>
    <w:rsid w:val="345816A5"/>
    <w:rsid w:val="34B61ADB"/>
    <w:rsid w:val="34B82120"/>
    <w:rsid w:val="353AC3B7"/>
    <w:rsid w:val="354300FA"/>
    <w:rsid w:val="35F24904"/>
    <w:rsid w:val="36321771"/>
    <w:rsid w:val="3645F75E"/>
    <w:rsid w:val="37010C5D"/>
    <w:rsid w:val="3718F7C3"/>
    <w:rsid w:val="3749191B"/>
    <w:rsid w:val="383F482C"/>
    <w:rsid w:val="39611748"/>
    <w:rsid w:val="3983CF53"/>
    <w:rsid w:val="39BD25A8"/>
    <w:rsid w:val="39DF1A53"/>
    <w:rsid w:val="3A653665"/>
    <w:rsid w:val="3AA22D50"/>
    <w:rsid w:val="3AAC167D"/>
    <w:rsid w:val="3AE0EF63"/>
    <w:rsid w:val="3AECFE59"/>
    <w:rsid w:val="3B14917C"/>
    <w:rsid w:val="3B52F186"/>
    <w:rsid w:val="3BC02E69"/>
    <w:rsid w:val="3C997CA2"/>
    <w:rsid w:val="3CA02210"/>
    <w:rsid w:val="3D2A62F9"/>
    <w:rsid w:val="3DB27EEE"/>
    <w:rsid w:val="3DF2198B"/>
    <w:rsid w:val="3E08D4F6"/>
    <w:rsid w:val="3E2F0AB6"/>
    <w:rsid w:val="3EB2AD2E"/>
    <w:rsid w:val="3EE49CBA"/>
    <w:rsid w:val="3EF88BD5"/>
    <w:rsid w:val="3F3553DA"/>
    <w:rsid w:val="3F6001F4"/>
    <w:rsid w:val="3FBB3544"/>
    <w:rsid w:val="3FC11BE7"/>
    <w:rsid w:val="3FCFC818"/>
    <w:rsid w:val="401D92B4"/>
    <w:rsid w:val="4045C3B9"/>
    <w:rsid w:val="405A8890"/>
    <w:rsid w:val="407DF71D"/>
    <w:rsid w:val="40B77342"/>
    <w:rsid w:val="40BC4485"/>
    <w:rsid w:val="41203D33"/>
    <w:rsid w:val="41585A31"/>
    <w:rsid w:val="4174DB19"/>
    <w:rsid w:val="4190E2ED"/>
    <w:rsid w:val="41A4EBF9"/>
    <w:rsid w:val="422AA6FB"/>
    <w:rsid w:val="426B2B07"/>
    <w:rsid w:val="42BEDEE8"/>
    <w:rsid w:val="43092441"/>
    <w:rsid w:val="43617935"/>
    <w:rsid w:val="43F7F5D2"/>
    <w:rsid w:val="4406135C"/>
    <w:rsid w:val="446ACA87"/>
    <w:rsid w:val="448D0392"/>
    <w:rsid w:val="452A22C9"/>
    <w:rsid w:val="4579E2B6"/>
    <w:rsid w:val="458E2790"/>
    <w:rsid w:val="4596B096"/>
    <w:rsid w:val="45C95881"/>
    <w:rsid w:val="4615B239"/>
    <w:rsid w:val="4640E5D0"/>
    <w:rsid w:val="46E99D36"/>
    <w:rsid w:val="47203794"/>
    <w:rsid w:val="47906DF5"/>
    <w:rsid w:val="481D9ECF"/>
    <w:rsid w:val="48323EF9"/>
    <w:rsid w:val="4842E3E1"/>
    <w:rsid w:val="484E63A3"/>
    <w:rsid w:val="48997095"/>
    <w:rsid w:val="491F9C46"/>
    <w:rsid w:val="49519A03"/>
    <w:rsid w:val="4B006DF6"/>
    <w:rsid w:val="4C09D4D0"/>
    <w:rsid w:val="4CE5E9D2"/>
    <w:rsid w:val="4D2B1016"/>
    <w:rsid w:val="4DDC5E39"/>
    <w:rsid w:val="4DE6D854"/>
    <w:rsid w:val="4E4E0F5B"/>
    <w:rsid w:val="4E7E459E"/>
    <w:rsid w:val="4EA1C598"/>
    <w:rsid w:val="4EA48866"/>
    <w:rsid w:val="4EBC17F7"/>
    <w:rsid w:val="4F09526C"/>
    <w:rsid w:val="4F27A352"/>
    <w:rsid w:val="4F859A96"/>
    <w:rsid w:val="4FFEA018"/>
    <w:rsid w:val="5076BBCF"/>
    <w:rsid w:val="50885B32"/>
    <w:rsid w:val="50A2DFE3"/>
    <w:rsid w:val="51EF1154"/>
    <w:rsid w:val="52299B92"/>
    <w:rsid w:val="52AB7CD6"/>
    <w:rsid w:val="52D593F2"/>
    <w:rsid w:val="52EB2FAA"/>
    <w:rsid w:val="532B2CD4"/>
    <w:rsid w:val="532F8FB9"/>
    <w:rsid w:val="53986EC6"/>
    <w:rsid w:val="53C906F4"/>
    <w:rsid w:val="53CF27DE"/>
    <w:rsid w:val="53EEF1E6"/>
    <w:rsid w:val="541E3761"/>
    <w:rsid w:val="54ABBF31"/>
    <w:rsid w:val="552F3C9C"/>
    <w:rsid w:val="565B051B"/>
    <w:rsid w:val="56A304C5"/>
    <w:rsid w:val="56AA5B56"/>
    <w:rsid w:val="57760DB1"/>
    <w:rsid w:val="57A19409"/>
    <w:rsid w:val="57C84838"/>
    <w:rsid w:val="57EA7C35"/>
    <w:rsid w:val="57F24E4C"/>
    <w:rsid w:val="581E8983"/>
    <w:rsid w:val="5841AAB2"/>
    <w:rsid w:val="58AC672E"/>
    <w:rsid w:val="592EAA83"/>
    <w:rsid w:val="5934F180"/>
    <w:rsid w:val="596E5BDA"/>
    <w:rsid w:val="5972E877"/>
    <w:rsid w:val="597B79D2"/>
    <w:rsid w:val="59A0CDB3"/>
    <w:rsid w:val="59AF5A4A"/>
    <w:rsid w:val="59B15918"/>
    <w:rsid w:val="5A3D6256"/>
    <w:rsid w:val="5A735CCD"/>
    <w:rsid w:val="5B34E7D3"/>
    <w:rsid w:val="5B392F14"/>
    <w:rsid w:val="5BE30A0A"/>
    <w:rsid w:val="5BFDC0BA"/>
    <w:rsid w:val="5C067ABF"/>
    <w:rsid w:val="5C31BA43"/>
    <w:rsid w:val="5C3E1036"/>
    <w:rsid w:val="5C45FB7F"/>
    <w:rsid w:val="5C836E2E"/>
    <w:rsid w:val="5CC540AD"/>
    <w:rsid w:val="5D94B29B"/>
    <w:rsid w:val="5DA95C82"/>
    <w:rsid w:val="5DEF96D8"/>
    <w:rsid w:val="5E27A51E"/>
    <w:rsid w:val="5EF60118"/>
    <w:rsid w:val="5F099468"/>
    <w:rsid w:val="5F2ADF05"/>
    <w:rsid w:val="5F5440E7"/>
    <w:rsid w:val="5FBF8626"/>
    <w:rsid w:val="609CF39D"/>
    <w:rsid w:val="60A09145"/>
    <w:rsid w:val="60C90486"/>
    <w:rsid w:val="615EC918"/>
    <w:rsid w:val="61891286"/>
    <w:rsid w:val="61C4DAC9"/>
    <w:rsid w:val="62248FE9"/>
    <w:rsid w:val="623CE367"/>
    <w:rsid w:val="625CB137"/>
    <w:rsid w:val="627D4101"/>
    <w:rsid w:val="62E9AE5C"/>
    <w:rsid w:val="62F240D0"/>
    <w:rsid w:val="63142487"/>
    <w:rsid w:val="6322D8AB"/>
    <w:rsid w:val="63449D13"/>
    <w:rsid w:val="63645B1F"/>
    <w:rsid w:val="64FDBE27"/>
    <w:rsid w:val="6510E579"/>
    <w:rsid w:val="6573C307"/>
    <w:rsid w:val="65F9D953"/>
    <w:rsid w:val="66033ABC"/>
    <w:rsid w:val="665787C2"/>
    <w:rsid w:val="66A7822B"/>
    <w:rsid w:val="670C9C18"/>
    <w:rsid w:val="67FAEF1E"/>
    <w:rsid w:val="6806D0B3"/>
    <w:rsid w:val="6864D7C8"/>
    <w:rsid w:val="686C2424"/>
    <w:rsid w:val="691A26D6"/>
    <w:rsid w:val="69253BE5"/>
    <w:rsid w:val="6969AD47"/>
    <w:rsid w:val="69927192"/>
    <w:rsid w:val="69AE1542"/>
    <w:rsid w:val="69DE7BE8"/>
    <w:rsid w:val="6A0FCAB7"/>
    <w:rsid w:val="6AE887AF"/>
    <w:rsid w:val="6AF940F4"/>
    <w:rsid w:val="6B058F8C"/>
    <w:rsid w:val="6C257D3A"/>
    <w:rsid w:val="6C49C3B5"/>
    <w:rsid w:val="6C6A6876"/>
    <w:rsid w:val="6C76BD31"/>
    <w:rsid w:val="6D993311"/>
    <w:rsid w:val="6DDF00C4"/>
    <w:rsid w:val="6E001338"/>
    <w:rsid w:val="6E6FE949"/>
    <w:rsid w:val="6E72D70B"/>
    <w:rsid w:val="6E74F613"/>
    <w:rsid w:val="6E7A3862"/>
    <w:rsid w:val="6EDB5715"/>
    <w:rsid w:val="6FC6B5F5"/>
    <w:rsid w:val="6FE1C291"/>
    <w:rsid w:val="707B1354"/>
    <w:rsid w:val="7096DA29"/>
    <w:rsid w:val="70F6B04C"/>
    <w:rsid w:val="7129393C"/>
    <w:rsid w:val="71C2BDA9"/>
    <w:rsid w:val="72D3A446"/>
    <w:rsid w:val="73101D71"/>
    <w:rsid w:val="73905CA7"/>
    <w:rsid w:val="73D7EB22"/>
    <w:rsid w:val="73EEB6FC"/>
    <w:rsid w:val="74898EB4"/>
    <w:rsid w:val="7522A89C"/>
    <w:rsid w:val="75426C9A"/>
    <w:rsid w:val="754483E3"/>
    <w:rsid w:val="75ADB9ED"/>
    <w:rsid w:val="75CE64C2"/>
    <w:rsid w:val="76AE1B9B"/>
    <w:rsid w:val="76F28E1F"/>
    <w:rsid w:val="77871579"/>
    <w:rsid w:val="77A031A3"/>
    <w:rsid w:val="77EA7470"/>
    <w:rsid w:val="77F3F217"/>
    <w:rsid w:val="7851ECE9"/>
    <w:rsid w:val="7864C24A"/>
    <w:rsid w:val="7865CCD5"/>
    <w:rsid w:val="78B2CB7B"/>
    <w:rsid w:val="78FC9C92"/>
    <w:rsid w:val="795180F5"/>
    <w:rsid w:val="79E9D1C8"/>
    <w:rsid w:val="79FF9C55"/>
    <w:rsid w:val="7A44E781"/>
    <w:rsid w:val="7AAE4BDC"/>
    <w:rsid w:val="7AAF097E"/>
    <w:rsid w:val="7B2C7B60"/>
    <w:rsid w:val="7B365780"/>
    <w:rsid w:val="7B862009"/>
    <w:rsid w:val="7B8B49F4"/>
    <w:rsid w:val="7B9D2567"/>
    <w:rsid w:val="7C22DF7D"/>
    <w:rsid w:val="7CC7F9C5"/>
    <w:rsid w:val="7D58520D"/>
    <w:rsid w:val="7DA1E09D"/>
    <w:rsid w:val="7DBECEE1"/>
    <w:rsid w:val="7DBFB55A"/>
    <w:rsid w:val="7EA0A10F"/>
    <w:rsid w:val="7EB8FA8F"/>
    <w:rsid w:val="7ED3680A"/>
    <w:rsid w:val="7F660D79"/>
    <w:rsid w:val="7F77E22E"/>
    <w:rsid w:val="7FCBB5F9"/>
    <w:rsid w:val="7FECC2C6"/>
    <w:rsid w:val="7FF95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9AFA0"/>
  <w15:docId w15:val="{7F7E6FD1-4B40-4E6D-83FC-96C00695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73"/>
    <w:pPr>
      <w:spacing w:before="200"/>
    </w:pPr>
    <w:rPr>
      <w:rFonts w:ascii="Arial" w:hAnsi="Arial"/>
    </w:rPr>
  </w:style>
  <w:style w:type="paragraph" w:styleId="Heading1">
    <w:name w:val="heading 1"/>
    <w:next w:val="Normal"/>
    <w:link w:val="Heading1Char"/>
    <w:uiPriority w:val="9"/>
    <w:qFormat/>
    <w:rsid w:val="008C6285"/>
    <w:pPr>
      <w:pBdr>
        <w:top w:val="single" w:sz="8" w:space="1" w:color="C6D9F1" w:themeColor="text2" w:themeTint="33"/>
        <w:left w:val="single" w:sz="8" w:space="4" w:color="C6D9F1" w:themeColor="text2" w:themeTint="33"/>
        <w:bottom w:val="single" w:sz="8" w:space="1" w:color="C6D9F1" w:themeColor="text2" w:themeTint="33"/>
        <w:right w:val="single" w:sz="8" w:space="4" w:color="C6D9F1" w:themeColor="text2" w:themeTint="33"/>
      </w:pBdr>
      <w:shd w:val="clear" w:color="auto" w:fill="C6D9F1" w:themeFill="text2" w:themeFillTint="33"/>
      <w:spacing w:before="240" w:after="240"/>
      <w:jc w:val="center"/>
      <w:outlineLvl w:val="0"/>
    </w:pPr>
    <w:rPr>
      <w:rFonts w:ascii="Arial" w:eastAsiaTheme="majorEastAsia" w:hAnsi="Arial" w:cstheme="majorBidi"/>
      <w:b/>
      <w:bCs/>
      <w:sz w:val="24"/>
      <w:szCs w:val="28"/>
    </w:rPr>
  </w:style>
  <w:style w:type="paragraph" w:styleId="Heading2">
    <w:name w:val="heading 2"/>
    <w:next w:val="Normal"/>
    <w:link w:val="Heading2Char"/>
    <w:uiPriority w:val="9"/>
    <w:unhideWhenUsed/>
    <w:qFormat/>
    <w:rsid w:val="00A07F47"/>
    <w:pPr>
      <w:spacing w:before="200" w:after="120"/>
      <w:outlineLvl w:val="1"/>
    </w:pPr>
    <w:rPr>
      <w:rFonts w:ascii="Arial" w:eastAsiaTheme="majorEastAsia" w:hAnsi="Arial" w:cstheme="majorBidi"/>
      <w:b/>
      <w:bCs/>
      <w:sz w:val="24"/>
      <w:szCs w:val="28"/>
    </w:rPr>
  </w:style>
  <w:style w:type="paragraph" w:styleId="Heading3">
    <w:name w:val="heading 3"/>
    <w:basedOn w:val="Normal"/>
    <w:next w:val="Normal"/>
    <w:link w:val="Heading3Char"/>
    <w:uiPriority w:val="9"/>
    <w:unhideWhenUsed/>
    <w:qFormat/>
    <w:rsid w:val="004B54CA"/>
    <w:pPr>
      <w:spacing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285"/>
    <w:rPr>
      <w:rFonts w:ascii="Arial" w:eastAsiaTheme="majorEastAsia" w:hAnsi="Arial" w:cstheme="majorBidi"/>
      <w:b/>
      <w:bCs/>
      <w:sz w:val="24"/>
      <w:szCs w:val="28"/>
      <w:shd w:val="clear" w:color="auto" w:fill="C6D9F1" w:themeFill="text2" w:themeFillTint="33"/>
    </w:rPr>
  </w:style>
  <w:style w:type="character" w:customStyle="1" w:styleId="Heading2Char">
    <w:name w:val="Heading 2 Char"/>
    <w:basedOn w:val="DefaultParagraphFont"/>
    <w:link w:val="Heading2"/>
    <w:uiPriority w:val="9"/>
    <w:rsid w:val="00A07F47"/>
    <w:rPr>
      <w:rFonts w:ascii="Arial" w:eastAsiaTheme="majorEastAsia" w:hAnsi="Arial" w:cstheme="majorBidi"/>
      <w:b/>
      <w:bCs/>
      <w:sz w:val="24"/>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B64789"/>
    <w:pPr>
      <w:spacing w:before="80" w:after="0"/>
      <w:ind w:left="1191" w:right="1191"/>
      <w:jc w:val="center"/>
    </w:pPr>
    <w:rPr>
      <w:rFonts w:eastAsia="Times New Roman" w:cs="Arial"/>
      <w:b/>
      <w:bCs/>
      <w:color w:val="000000" w:themeColor="text1"/>
      <w:sz w:val="28"/>
      <w:szCs w:val="28"/>
      <w:lang w:eastAsia="en-AU"/>
    </w:rPr>
  </w:style>
  <w:style w:type="character" w:customStyle="1" w:styleId="TitleChar">
    <w:name w:val="Title Char"/>
    <w:basedOn w:val="DefaultParagraphFont"/>
    <w:link w:val="Title"/>
    <w:uiPriority w:val="10"/>
    <w:rsid w:val="00B64789"/>
    <w:rPr>
      <w:rFonts w:ascii="Arial" w:eastAsia="Times New Roman" w:hAnsi="Arial" w:cs="Arial"/>
      <w:b/>
      <w:bCs/>
      <w:color w:val="000000" w:themeColor="text1"/>
      <w:sz w:val="28"/>
      <w:szCs w:val="28"/>
      <w:lang w:eastAsia="en-AU"/>
    </w:rPr>
  </w:style>
  <w:style w:type="paragraph" w:styleId="Subtitle">
    <w:name w:val="Subtitle"/>
    <w:basedOn w:val="Normal"/>
    <w:next w:val="Normal"/>
    <w:link w:val="SubtitleChar"/>
    <w:uiPriority w:val="11"/>
    <w:qFormat/>
    <w:rsid w:val="00336532"/>
    <w:pPr>
      <w:spacing w:after="320"/>
    </w:pPr>
    <w:rPr>
      <w:rFonts w:eastAsiaTheme="majorEastAsia" w:cstheme="majorBidi"/>
      <w:iCs/>
      <w:spacing w:val="13"/>
      <w:sz w:val="24"/>
      <w:szCs w:val="24"/>
    </w:rPr>
  </w:style>
  <w:style w:type="character" w:customStyle="1" w:styleId="SubtitleChar">
    <w:name w:val="Subtitle Char"/>
    <w:basedOn w:val="DefaultParagraphFont"/>
    <w:link w:val="Subtitle"/>
    <w:uiPriority w:val="11"/>
    <w:rsid w:val="00336532"/>
    <w:rPr>
      <w:rFonts w:ascii="Arial" w:eastAsiaTheme="majorEastAsia" w:hAnsi="Arial" w:cstheme="majorBid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Recommendation,List Paragraph1,List Paragraph11,L"/>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D33EA3"/>
    <w:rPr>
      <w:i/>
      <w:iCs/>
      <w:caps w:val="0"/>
      <w:smallCaps w:val="0"/>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68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798"/>
    <w:rPr>
      <w:rFonts w:ascii="Tahoma" w:hAnsi="Tahoma" w:cs="Tahoma"/>
      <w:sz w:val="16"/>
      <w:szCs w:val="16"/>
    </w:rPr>
  </w:style>
  <w:style w:type="character" w:styleId="LineNumber">
    <w:name w:val="line number"/>
    <w:basedOn w:val="DefaultParagraphFont"/>
    <w:uiPriority w:val="99"/>
    <w:semiHidden/>
    <w:unhideWhenUsed/>
    <w:rsid w:val="00683798"/>
  </w:style>
  <w:style w:type="table" w:styleId="TableGrid">
    <w:name w:val="Table Grid"/>
    <w:basedOn w:val="TableNormal"/>
    <w:uiPriority w:val="59"/>
    <w:rsid w:val="00FE2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EA3"/>
    <w:rPr>
      <w:sz w:val="16"/>
      <w:szCs w:val="16"/>
    </w:rPr>
  </w:style>
  <w:style w:type="paragraph" w:styleId="CommentText">
    <w:name w:val="annotation text"/>
    <w:basedOn w:val="Normal"/>
    <w:link w:val="CommentTextChar"/>
    <w:uiPriority w:val="99"/>
    <w:unhideWhenUsed/>
    <w:rsid w:val="00D33EA3"/>
    <w:pPr>
      <w:spacing w:line="240" w:lineRule="auto"/>
    </w:pPr>
    <w:rPr>
      <w:sz w:val="20"/>
      <w:szCs w:val="20"/>
    </w:rPr>
  </w:style>
  <w:style w:type="character" w:customStyle="1" w:styleId="CommentTextChar">
    <w:name w:val="Comment Text Char"/>
    <w:basedOn w:val="DefaultParagraphFont"/>
    <w:link w:val="CommentText"/>
    <w:uiPriority w:val="99"/>
    <w:rsid w:val="00D33E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3EA3"/>
    <w:rPr>
      <w:b/>
      <w:bCs/>
    </w:rPr>
  </w:style>
  <w:style w:type="character" w:customStyle="1" w:styleId="CommentSubjectChar">
    <w:name w:val="Comment Subject Char"/>
    <w:basedOn w:val="CommentTextChar"/>
    <w:link w:val="CommentSubject"/>
    <w:uiPriority w:val="99"/>
    <w:semiHidden/>
    <w:rsid w:val="00D33EA3"/>
    <w:rPr>
      <w:rFonts w:ascii="Arial" w:hAnsi="Arial"/>
      <w:b/>
      <w:bCs/>
      <w:sz w:val="20"/>
      <w:szCs w:val="20"/>
    </w:rPr>
  </w:style>
  <w:style w:type="paragraph" w:styleId="ListBullet">
    <w:name w:val="List Bullet"/>
    <w:basedOn w:val="Normal"/>
    <w:uiPriority w:val="99"/>
    <w:unhideWhenUsed/>
    <w:rsid w:val="00D33EA3"/>
    <w:pPr>
      <w:numPr>
        <w:numId w:val="3"/>
      </w:numPr>
      <w:contextualSpacing/>
    </w:pPr>
  </w:style>
  <w:style w:type="paragraph" w:styleId="ListBullet2">
    <w:name w:val="List Bullet 2"/>
    <w:basedOn w:val="Normal"/>
    <w:uiPriority w:val="99"/>
    <w:unhideWhenUsed/>
    <w:rsid w:val="00FD0869"/>
    <w:pPr>
      <w:numPr>
        <w:numId w:val="4"/>
      </w:numPr>
      <w:spacing w:after="0"/>
      <w:contextualSpacing/>
    </w:pPr>
  </w:style>
  <w:style w:type="character" w:styleId="Hyperlink">
    <w:name w:val="Hyperlink"/>
    <w:basedOn w:val="DefaultParagraphFont"/>
    <w:uiPriority w:val="99"/>
    <w:unhideWhenUsed/>
    <w:rsid w:val="00F25B3A"/>
    <w:rPr>
      <w:color w:val="0563C1"/>
      <w:u w:val="single"/>
    </w:rPr>
  </w:style>
  <w:style w:type="character" w:customStyle="1" w:styleId="ListParagraphChar">
    <w:name w:val="List Paragraph Char"/>
    <w:aliases w:val="#List Paragraph Char,Recommendation Char,List Paragraph1 Char,List Paragraph11 Char,L Char"/>
    <w:basedOn w:val="DefaultParagraphFont"/>
    <w:link w:val="ListParagraph"/>
    <w:uiPriority w:val="34"/>
    <w:locked/>
    <w:rsid w:val="00F25B3A"/>
    <w:rPr>
      <w:rFonts w:ascii="Arial" w:hAnsi="Arial"/>
    </w:rPr>
  </w:style>
  <w:style w:type="character" w:styleId="FollowedHyperlink">
    <w:name w:val="FollowedHyperlink"/>
    <w:basedOn w:val="DefaultParagraphFont"/>
    <w:uiPriority w:val="99"/>
    <w:semiHidden/>
    <w:unhideWhenUsed/>
    <w:rsid w:val="00255FF7"/>
    <w:rPr>
      <w:color w:val="800080" w:themeColor="followedHyperlink"/>
      <w:u w:val="single"/>
    </w:rPr>
  </w:style>
  <w:style w:type="paragraph" w:styleId="Header">
    <w:name w:val="header"/>
    <w:basedOn w:val="Normal"/>
    <w:link w:val="HeaderChar"/>
    <w:uiPriority w:val="99"/>
    <w:unhideWhenUsed/>
    <w:rsid w:val="00FC4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B4"/>
    <w:rPr>
      <w:rFonts w:ascii="Arial" w:hAnsi="Arial"/>
    </w:rPr>
  </w:style>
  <w:style w:type="paragraph" w:styleId="Footer">
    <w:name w:val="footer"/>
    <w:basedOn w:val="Normal"/>
    <w:link w:val="FooterChar"/>
    <w:uiPriority w:val="99"/>
    <w:unhideWhenUsed/>
    <w:rsid w:val="00FC4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B4"/>
    <w:rPr>
      <w:rFonts w:ascii="Arial" w:hAnsi="Arial"/>
    </w:rPr>
  </w:style>
  <w:style w:type="paragraph" w:styleId="FootnoteText">
    <w:name w:val="footnote text"/>
    <w:basedOn w:val="Normal"/>
    <w:link w:val="FootnoteTextChar"/>
    <w:uiPriority w:val="99"/>
    <w:semiHidden/>
    <w:unhideWhenUsed/>
    <w:rsid w:val="00F61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C2B"/>
    <w:rPr>
      <w:rFonts w:ascii="Arial" w:hAnsi="Arial"/>
      <w:sz w:val="20"/>
      <w:szCs w:val="20"/>
    </w:rPr>
  </w:style>
  <w:style w:type="character" w:styleId="FootnoteReference">
    <w:name w:val="footnote reference"/>
    <w:basedOn w:val="DefaultParagraphFont"/>
    <w:uiPriority w:val="99"/>
    <w:semiHidden/>
    <w:unhideWhenUsed/>
    <w:rsid w:val="00F61C2B"/>
    <w:rPr>
      <w:vertAlign w:val="superscript"/>
    </w:rPr>
  </w:style>
  <w:style w:type="paragraph" w:styleId="Revision">
    <w:name w:val="Revision"/>
    <w:hidden/>
    <w:uiPriority w:val="99"/>
    <w:semiHidden/>
    <w:rsid w:val="00CA03D7"/>
    <w:pPr>
      <w:spacing w:after="0" w:line="240" w:lineRule="auto"/>
    </w:pPr>
    <w:rPr>
      <w:rFonts w:ascii="Arial" w:hAnsi="Arial"/>
    </w:rPr>
  </w:style>
  <w:style w:type="paragraph" w:customStyle="1" w:styleId="Default">
    <w:name w:val="Default"/>
    <w:rsid w:val="00DF7118"/>
    <w:pPr>
      <w:autoSpaceDE w:val="0"/>
      <w:autoSpaceDN w:val="0"/>
      <w:adjustRightInd w:val="0"/>
      <w:spacing w:after="0" w:line="240" w:lineRule="auto"/>
    </w:pPr>
    <w:rPr>
      <w:rFonts w:ascii="Arial" w:hAnsi="Arial" w:cs="Arial"/>
      <w:color w:val="000000"/>
      <w:sz w:val="24"/>
      <w:szCs w:val="24"/>
      <w14:ligatures w14:val="standardContextual"/>
    </w:rPr>
  </w:style>
  <w:style w:type="table" w:styleId="TableGridLight">
    <w:name w:val="Grid Table Light"/>
    <w:basedOn w:val="TableNormal"/>
    <w:uiPriority w:val="40"/>
    <w:rsid w:val="001735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auto"/>
      </w:rPr>
    </w:tblStylePr>
    <w:tblStylePr w:type="lastCol">
      <w:pPr>
        <w:jc w:val="center"/>
      </w:pPr>
    </w:tblStylePr>
  </w:style>
  <w:style w:type="character" w:styleId="Mention">
    <w:name w:val="Mention"/>
    <w:basedOn w:val="DefaultParagraphFont"/>
    <w:uiPriority w:val="99"/>
    <w:unhideWhenUsed/>
    <w:rsid w:val="00D4074E"/>
    <w:rPr>
      <w:color w:val="2B579A"/>
      <w:shd w:val="clear" w:color="auto" w:fill="E1DFDD"/>
    </w:rPr>
  </w:style>
  <w:style w:type="paragraph" w:customStyle="1" w:styleId="Footnotes">
    <w:name w:val="Footnotes"/>
    <w:link w:val="FootnotesChar"/>
    <w:qFormat/>
    <w:rsid w:val="00B64789"/>
    <w:pPr>
      <w:spacing w:before="60" w:after="60" w:line="240" w:lineRule="auto"/>
    </w:pPr>
    <w:rPr>
      <w:rFonts w:ascii="Arial" w:eastAsiaTheme="majorEastAsia" w:hAnsi="Arial" w:cstheme="majorBidi"/>
      <w:sz w:val="18"/>
      <w:szCs w:val="20"/>
    </w:rPr>
  </w:style>
  <w:style w:type="character" w:customStyle="1" w:styleId="FootnotesChar">
    <w:name w:val="Footnotes Char"/>
    <w:basedOn w:val="Heading1Char"/>
    <w:link w:val="Footnotes"/>
    <w:rsid w:val="00B64789"/>
    <w:rPr>
      <w:rFonts w:ascii="Arial" w:eastAsiaTheme="majorEastAsia" w:hAnsi="Arial" w:cstheme="majorBidi"/>
      <w:b w:val="0"/>
      <w:bCs w:val="0"/>
      <w:sz w:val="18"/>
      <w:szCs w:val="20"/>
      <w:shd w:val="clear" w:color="auto" w:fill="C6D9F1" w:themeFill="text2" w:themeFillTint="33"/>
    </w:rPr>
  </w:style>
  <w:style w:type="character" w:styleId="UnresolvedMention">
    <w:name w:val="Unresolved Mention"/>
    <w:basedOn w:val="DefaultParagraphFont"/>
    <w:uiPriority w:val="99"/>
    <w:semiHidden/>
    <w:unhideWhenUsed/>
    <w:rsid w:val="00487B43"/>
    <w:rPr>
      <w:color w:val="605E5C"/>
      <w:shd w:val="clear" w:color="auto" w:fill="E1DFDD"/>
    </w:rPr>
  </w:style>
  <w:style w:type="paragraph" w:styleId="TableofAuthorities">
    <w:name w:val="table of authorities"/>
    <w:basedOn w:val="Normal"/>
    <w:next w:val="Normal"/>
    <w:uiPriority w:val="99"/>
    <w:unhideWhenUsed/>
    <w:rsid w:val="00173573"/>
    <w:pPr>
      <w:spacing w:before="60" w:after="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889">
      <w:bodyDiv w:val="1"/>
      <w:marLeft w:val="0"/>
      <w:marRight w:val="0"/>
      <w:marTop w:val="0"/>
      <w:marBottom w:val="0"/>
      <w:divBdr>
        <w:top w:val="none" w:sz="0" w:space="0" w:color="auto"/>
        <w:left w:val="none" w:sz="0" w:space="0" w:color="auto"/>
        <w:bottom w:val="none" w:sz="0" w:space="0" w:color="auto"/>
        <w:right w:val="none" w:sz="0" w:space="0" w:color="auto"/>
      </w:divBdr>
    </w:div>
    <w:div w:id="49497228">
      <w:bodyDiv w:val="1"/>
      <w:marLeft w:val="0"/>
      <w:marRight w:val="0"/>
      <w:marTop w:val="0"/>
      <w:marBottom w:val="0"/>
      <w:divBdr>
        <w:top w:val="none" w:sz="0" w:space="0" w:color="auto"/>
        <w:left w:val="none" w:sz="0" w:space="0" w:color="auto"/>
        <w:bottom w:val="none" w:sz="0" w:space="0" w:color="auto"/>
        <w:right w:val="none" w:sz="0" w:space="0" w:color="auto"/>
      </w:divBdr>
    </w:div>
    <w:div w:id="115413586">
      <w:bodyDiv w:val="1"/>
      <w:marLeft w:val="0"/>
      <w:marRight w:val="0"/>
      <w:marTop w:val="0"/>
      <w:marBottom w:val="0"/>
      <w:divBdr>
        <w:top w:val="none" w:sz="0" w:space="0" w:color="auto"/>
        <w:left w:val="none" w:sz="0" w:space="0" w:color="auto"/>
        <w:bottom w:val="none" w:sz="0" w:space="0" w:color="auto"/>
        <w:right w:val="none" w:sz="0" w:space="0" w:color="auto"/>
      </w:divBdr>
    </w:div>
    <w:div w:id="134032655">
      <w:bodyDiv w:val="1"/>
      <w:marLeft w:val="0"/>
      <w:marRight w:val="0"/>
      <w:marTop w:val="0"/>
      <w:marBottom w:val="0"/>
      <w:divBdr>
        <w:top w:val="none" w:sz="0" w:space="0" w:color="auto"/>
        <w:left w:val="none" w:sz="0" w:space="0" w:color="auto"/>
        <w:bottom w:val="none" w:sz="0" w:space="0" w:color="auto"/>
        <w:right w:val="none" w:sz="0" w:space="0" w:color="auto"/>
      </w:divBdr>
    </w:div>
    <w:div w:id="147332523">
      <w:bodyDiv w:val="1"/>
      <w:marLeft w:val="0"/>
      <w:marRight w:val="0"/>
      <w:marTop w:val="0"/>
      <w:marBottom w:val="0"/>
      <w:divBdr>
        <w:top w:val="none" w:sz="0" w:space="0" w:color="auto"/>
        <w:left w:val="none" w:sz="0" w:space="0" w:color="auto"/>
        <w:bottom w:val="none" w:sz="0" w:space="0" w:color="auto"/>
        <w:right w:val="none" w:sz="0" w:space="0" w:color="auto"/>
      </w:divBdr>
    </w:div>
    <w:div w:id="161236749">
      <w:bodyDiv w:val="1"/>
      <w:marLeft w:val="0"/>
      <w:marRight w:val="0"/>
      <w:marTop w:val="0"/>
      <w:marBottom w:val="0"/>
      <w:divBdr>
        <w:top w:val="none" w:sz="0" w:space="0" w:color="auto"/>
        <w:left w:val="none" w:sz="0" w:space="0" w:color="auto"/>
        <w:bottom w:val="none" w:sz="0" w:space="0" w:color="auto"/>
        <w:right w:val="none" w:sz="0" w:space="0" w:color="auto"/>
      </w:divBdr>
    </w:div>
    <w:div w:id="161749063">
      <w:bodyDiv w:val="1"/>
      <w:marLeft w:val="0"/>
      <w:marRight w:val="0"/>
      <w:marTop w:val="0"/>
      <w:marBottom w:val="0"/>
      <w:divBdr>
        <w:top w:val="none" w:sz="0" w:space="0" w:color="auto"/>
        <w:left w:val="none" w:sz="0" w:space="0" w:color="auto"/>
        <w:bottom w:val="none" w:sz="0" w:space="0" w:color="auto"/>
        <w:right w:val="none" w:sz="0" w:space="0" w:color="auto"/>
      </w:divBdr>
    </w:div>
    <w:div w:id="181405613">
      <w:bodyDiv w:val="1"/>
      <w:marLeft w:val="0"/>
      <w:marRight w:val="0"/>
      <w:marTop w:val="0"/>
      <w:marBottom w:val="0"/>
      <w:divBdr>
        <w:top w:val="none" w:sz="0" w:space="0" w:color="auto"/>
        <w:left w:val="none" w:sz="0" w:space="0" w:color="auto"/>
        <w:bottom w:val="none" w:sz="0" w:space="0" w:color="auto"/>
        <w:right w:val="none" w:sz="0" w:space="0" w:color="auto"/>
      </w:divBdr>
    </w:div>
    <w:div w:id="257491383">
      <w:bodyDiv w:val="1"/>
      <w:marLeft w:val="0"/>
      <w:marRight w:val="0"/>
      <w:marTop w:val="0"/>
      <w:marBottom w:val="0"/>
      <w:divBdr>
        <w:top w:val="none" w:sz="0" w:space="0" w:color="auto"/>
        <w:left w:val="none" w:sz="0" w:space="0" w:color="auto"/>
        <w:bottom w:val="none" w:sz="0" w:space="0" w:color="auto"/>
        <w:right w:val="none" w:sz="0" w:space="0" w:color="auto"/>
      </w:divBdr>
    </w:div>
    <w:div w:id="280263219">
      <w:bodyDiv w:val="1"/>
      <w:marLeft w:val="0"/>
      <w:marRight w:val="0"/>
      <w:marTop w:val="0"/>
      <w:marBottom w:val="0"/>
      <w:divBdr>
        <w:top w:val="none" w:sz="0" w:space="0" w:color="auto"/>
        <w:left w:val="none" w:sz="0" w:space="0" w:color="auto"/>
        <w:bottom w:val="none" w:sz="0" w:space="0" w:color="auto"/>
        <w:right w:val="none" w:sz="0" w:space="0" w:color="auto"/>
      </w:divBdr>
    </w:div>
    <w:div w:id="289282807">
      <w:bodyDiv w:val="1"/>
      <w:marLeft w:val="0"/>
      <w:marRight w:val="0"/>
      <w:marTop w:val="0"/>
      <w:marBottom w:val="0"/>
      <w:divBdr>
        <w:top w:val="none" w:sz="0" w:space="0" w:color="auto"/>
        <w:left w:val="none" w:sz="0" w:space="0" w:color="auto"/>
        <w:bottom w:val="none" w:sz="0" w:space="0" w:color="auto"/>
        <w:right w:val="none" w:sz="0" w:space="0" w:color="auto"/>
      </w:divBdr>
    </w:div>
    <w:div w:id="365445536">
      <w:bodyDiv w:val="1"/>
      <w:marLeft w:val="0"/>
      <w:marRight w:val="0"/>
      <w:marTop w:val="0"/>
      <w:marBottom w:val="0"/>
      <w:divBdr>
        <w:top w:val="none" w:sz="0" w:space="0" w:color="auto"/>
        <w:left w:val="none" w:sz="0" w:space="0" w:color="auto"/>
        <w:bottom w:val="none" w:sz="0" w:space="0" w:color="auto"/>
        <w:right w:val="none" w:sz="0" w:space="0" w:color="auto"/>
      </w:divBdr>
    </w:div>
    <w:div w:id="389890168">
      <w:bodyDiv w:val="1"/>
      <w:marLeft w:val="0"/>
      <w:marRight w:val="0"/>
      <w:marTop w:val="0"/>
      <w:marBottom w:val="0"/>
      <w:divBdr>
        <w:top w:val="none" w:sz="0" w:space="0" w:color="auto"/>
        <w:left w:val="none" w:sz="0" w:space="0" w:color="auto"/>
        <w:bottom w:val="none" w:sz="0" w:space="0" w:color="auto"/>
        <w:right w:val="none" w:sz="0" w:space="0" w:color="auto"/>
      </w:divBdr>
    </w:div>
    <w:div w:id="393554145">
      <w:bodyDiv w:val="1"/>
      <w:marLeft w:val="0"/>
      <w:marRight w:val="0"/>
      <w:marTop w:val="0"/>
      <w:marBottom w:val="0"/>
      <w:divBdr>
        <w:top w:val="none" w:sz="0" w:space="0" w:color="auto"/>
        <w:left w:val="none" w:sz="0" w:space="0" w:color="auto"/>
        <w:bottom w:val="none" w:sz="0" w:space="0" w:color="auto"/>
        <w:right w:val="none" w:sz="0" w:space="0" w:color="auto"/>
      </w:divBdr>
    </w:div>
    <w:div w:id="406458515">
      <w:bodyDiv w:val="1"/>
      <w:marLeft w:val="0"/>
      <w:marRight w:val="0"/>
      <w:marTop w:val="0"/>
      <w:marBottom w:val="0"/>
      <w:divBdr>
        <w:top w:val="none" w:sz="0" w:space="0" w:color="auto"/>
        <w:left w:val="none" w:sz="0" w:space="0" w:color="auto"/>
        <w:bottom w:val="none" w:sz="0" w:space="0" w:color="auto"/>
        <w:right w:val="none" w:sz="0" w:space="0" w:color="auto"/>
      </w:divBdr>
    </w:div>
    <w:div w:id="421950399">
      <w:bodyDiv w:val="1"/>
      <w:marLeft w:val="0"/>
      <w:marRight w:val="0"/>
      <w:marTop w:val="0"/>
      <w:marBottom w:val="0"/>
      <w:divBdr>
        <w:top w:val="none" w:sz="0" w:space="0" w:color="auto"/>
        <w:left w:val="none" w:sz="0" w:space="0" w:color="auto"/>
        <w:bottom w:val="none" w:sz="0" w:space="0" w:color="auto"/>
        <w:right w:val="none" w:sz="0" w:space="0" w:color="auto"/>
      </w:divBdr>
    </w:div>
    <w:div w:id="430471526">
      <w:bodyDiv w:val="1"/>
      <w:marLeft w:val="0"/>
      <w:marRight w:val="0"/>
      <w:marTop w:val="0"/>
      <w:marBottom w:val="0"/>
      <w:divBdr>
        <w:top w:val="none" w:sz="0" w:space="0" w:color="auto"/>
        <w:left w:val="none" w:sz="0" w:space="0" w:color="auto"/>
        <w:bottom w:val="none" w:sz="0" w:space="0" w:color="auto"/>
        <w:right w:val="none" w:sz="0" w:space="0" w:color="auto"/>
      </w:divBdr>
    </w:div>
    <w:div w:id="454062479">
      <w:bodyDiv w:val="1"/>
      <w:marLeft w:val="0"/>
      <w:marRight w:val="0"/>
      <w:marTop w:val="0"/>
      <w:marBottom w:val="0"/>
      <w:divBdr>
        <w:top w:val="none" w:sz="0" w:space="0" w:color="auto"/>
        <w:left w:val="none" w:sz="0" w:space="0" w:color="auto"/>
        <w:bottom w:val="none" w:sz="0" w:space="0" w:color="auto"/>
        <w:right w:val="none" w:sz="0" w:space="0" w:color="auto"/>
      </w:divBdr>
    </w:div>
    <w:div w:id="474026976">
      <w:bodyDiv w:val="1"/>
      <w:marLeft w:val="0"/>
      <w:marRight w:val="0"/>
      <w:marTop w:val="0"/>
      <w:marBottom w:val="0"/>
      <w:divBdr>
        <w:top w:val="none" w:sz="0" w:space="0" w:color="auto"/>
        <w:left w:val="none" w:sz="0" w:space="0" w:color="auto"/>
        <w:bottom w:val="none" w:sz="0" w:space="0" w:color="auto"/>
        <w:right w:val="none" w:sz="0" w:space="0" w:color="auto"/>
      </w:divBdr>
    </w:div>
    <w:div w:id="475298117">
      <w:bodyDiv w:val="1"/>
      <w:marLeft w:val="0"/>
      <w:marRight w:val="0"/>
      <w:marTop w:val="0"/>
      <w:marBottom w:val="0"/>
      <w:divBdr>
        <w:top w:val="none" w:sz="0" w:space="0" w:color="auto"/>
        <w:left w:val="none" w:sz="0" w:space="0" w:color="auto"/>
        <w:bottom w:val="none" w:sz="0" w:space="0" w:color="auto"/>
        <w:right w:val="none" w:sz="0" w:space="0" w:color="auto"/>
      </w:divBdr>
    </w:div>
    <w:div w:id="527451764">
      <w:bodyDiv w:val="1"/>
      <w:marLeft w:val="0"/>
      <w:marRight w:val="0"/>
      <w:marTop w:val="0"/>
      <w:marBottom w:val="0"/>
      <w:divBdr>
        <w:top w:val="none" w:sz="0" w:space="0" w:color="auto"/>
        <w:left w:val="none" w:sz="0" w:space="0" w:color="auto"/>
        <w:bottom w:val="none" w:sz="0" w:space="0" w:color="auto"/>
        <w:right w:val="none" w:sz="0" w:space="0" w:color="auto"/>
      </w:divBdr>
    </w:div>
    <w:div w:id="527761523">
      <w:bodyDiv w:val="1"/>
      <w:marLeft w:val="0"/>
      <w:marRight w:val="0"/>
      <w:marTop w:val="0"/>
      <w:marBottom w:val="0"/>
      <w:divBdr>
        <w:top w:val="none" w:sz="0" w:space="0" w:color="auto"/>
        <w:left w:val="none" w:sz="0" w:space="0" w:color="auto"/>
        <w:bottom w:val="none" w:sz="0" w:space="0" w:color="auto"/>
        <w:right w:val="none" w:sz="0" w:space="0" w:color="auto"/>
      </w:divBdr>
    </w:div>
    <w:div w:id="548296960">
      <w:bodyDiv w:val="1"/>
      <w:marLeft w:val="0"/>
      <w:marRight w:val="0"/>
      <w:marTop w:val="0"/>
      <w:marBottom w:val="0"/>
      <w:divBdr>
        <w:top w:val="none" w:sz="0" w:space="0" w:color="auto"/>
        <w:left w:val="none" w:sz="0" w:space="0" w:color="auto"/>
        <w:bottom w:val="none" w:sz="0" w:space="0" w:color="auto"/>
        <w:right w:val="none" w:sz="0" w:space="0" w:color="auto"/>
      </w:divBdr>
    </w:div>
    <w:div w:id="588462870">
      <w:bodyDiv w:val="1"/>
      <w:marLeft w:val="0"/>
      <w:marRight w:val="0"/>
      <w:marTop w:val="0"/>
      <w:marBottom w:val="0"/>
      <w:divBdr>
        <w:top w:val="none" w:sz="0" w:space="0" w:color="auto"/>
        <w:left w:val="none" w:sz="0" w:space="0" w:color="auto"/>
        <w:bottom w:val="none" w:sz="0" w:space="0" w:color="auto"/>
        <w:right w:val="none" w:sz="0" w:space="0" w:color="auto"/>
      </w:divBdr>
    </w:div>
    <w:div w:id="599487695">
      <w:bodyDiv w:val="1"/>
      <w:marLeft w:val="0"/>
      <w:marRight w:val="0"/>
      <w:marTop w:val="0"/>
      <w:marBottom w:val="0"/>
      <w:divBdr>
        <w:top w:val="none" w:sz="0" w:space="0" w:color="auto"/>
        <w:left w:val="none" w:sz="0" w:space="0" w:color="auto"/>
        <w:bottom w:val="none" w:sz="0" w:space="0" w:color="auto"/>
        <w:right w:val="none" w:sz="0" w:space="0" w:color="auto"/>
      </w:divBdr>
    </w:div>
    <w:div w:id="624889010">
      <w:bodyDiv w:val="1"/>
      <w:marLeft w:val="0"/>
      <w:marRight w:val="0"/>
      <w:marTop w:val="0"/>
      <w:marBottom w:val="0"/>
      <w:divBdr>
        <w:top w:val="none" w:sz="0" w:space="0" w:color="auto"/>
        <w:left w:val="none" w:sz="0" w:space="0" w:color="auto"/>
        <w:bottom w:val="none" w:sz="0" w:space="0" w:color="auto"/>
        <w:right w:val="none" w:sz="0" w:space="0" w:color="auto"/>
      </w:divBdr>
    </w:div>
    <w:div w:id="669792302">
      <w:bodyDiv w:val="1"/>
      <w:marLeft w:val="0"/>
      <w:marRight w:val="0"/>
      <w:marTop w:val="0"/>
      <w:marBottom w:val="0"/>
      <w:divBdr>
        <w:top w:val="none" w:sz="0" w:space="0" w:color="auto"/>
        <w:left w:val="none" w:sz="0" w:space="0" w:color="auto"/>
        <w:bottom w:val="none" w:sz="0" w:space="0" w:color="auto"/>
        <w:right w:val="none" w:sz="0" w:space="0" w:color="auto"/>
      </w:divBdr>
    </w:div>
    <w:div w:id="670570014">
      <w:bodyDiv w:val="1"/>
      <w:marLeft w:val="0"/>
      <w:marRight w:val="0"/>
      <w:marTop w:val="0"/>
      <w:marBottom w:val="0"/>
      <w:divBdr>
        <w:top w:val="none" w:sz="0" w:space="0" w:color="auto"/>
        <w:left w:val="none" w:sz="0" w:space="0" w:color="auto"/>
        <w:bottom w:val="none" w:sz="0" w:space="0" w:color="auto"/>
        <w:right w:val="none" w:sz="0" w:space="0" w:color="auto"/>
      </w:divBdr>
    </w:div>
    <w:div w:id="670596358">
      <w:bodyDiv w:val="1"/>
      <w:marLeft w:val="0"/>
      <w:marRight w:val="0"/>
      <w:marTop w:val="0"/>
      <w:marBottom w:val="0"/>
      <w:divBdr>
        <w:top w:val="none" w:sz="0" w:space="0" w:color="auto"/>
        <w:left w:val="none" w:sz="0" w:space="0" w:color="auto"/>
        <w:bottom w:val="none" w:sz="0" w:space="0" w:color="auto"/>
        <w:right w:val="none" w:sz="0" w:space="0" w:color="auto"/>
      </w:divBdr>
    </w:div>
    <w:div w:id="694355790">
      <w:bodyDiv w:val="1"/>
      <w:marLeft w:val="0"/>
      <w:marRight w:val="0"/>
      <w:marTop w:val="0"/>
      <w:marBottom w:val="0"/>
      <w:divBdr>
        <w:top w:val="none" w:sz="0" w:space="0" w:color="auto"/>
        <w:left w:val="none" w:sz="0" w:space="0" w:color="auto"/>
        <w:bottom w:val="none" w:sz="0" w:space="0" w:color="auto"/>
        <w:right w:val="none" w:sz="0" w:space="0" w:color="auto"/>
      </w:divBdr>
    </w:div>
    <w:div w:id="728454676">
      <w:bodyDiv w:val="1"/>
      <w:marLeft w:val="0"/>
      <w:marRight w:val="0"/>
      <w:marTop w:val="0"/>
      <w:marBottom w:val="0"/>
      <w:divBdr>
        <w:top w:val="none" w:sz="0" w:space="0" w:color="auto"/>
        <w:left w:val="none" w:sz="0" w:space="0" w:color="auto"/>
        <w:bottom w:val="none" w:sz="0" w:space="0" w:color="auto"/>
        <w:right w:val="none" w:sz="0" w:space="0" w:color="auto"/>
      </w:divBdr>
    </w:div>
    <w:div w:id="756093985">
      <w:bodyDiv w:val="1"/>
      <w:marLeft w:val="0"/>
      <w:marRight w:val="0"/>
      <w:marTop w:val="0"/>
      <w:marBottom w:val="0"/>
      <w:divBdr>
        <w:top w:val="none" w:sz="0" w:space="0" w:color="auto"/>
        <w:left w:val="none" w:sz="0" w:space="0" w:color="auto"/>
        <w:bottom w:val="none" w:sz="0" w:space="0" w:color="auto"/>
        <w:right w:val="none" w:sz="0" w:space="0" w:color="auto"/>
      </w:divBdr>
    </w:div>
    <w:div w:id="828130800">
      <w:bodyDiv w:val="1"/>
      <w:marLeft w:val="0"/>
      <w:marRight w:val="0"/>
      <w:marTop w:val="0"/>
      <w:marBottom w:val="0"/>
      <w:divBdr>
        <w:top w:val="none" w:sz="0" w:space="0" w:color="auto"/>
        <w:left w:val="none" w:sz="0" w:space="0" w:color="auto"/>
        <w:bottom w:val="none" w:sz="0" w:space="0" w:color="auto"/>
        <w:right w:val="none" w:sz="0" w:space="0" w:color="auto"/>
      </w:divBdr>
    </w:div>
    <w:div w:id="873230761">
      <w:bodyDiv w:val="1"/>
      <w:marLeft w:val="0"/>
      <w:marRight w:val="0"/>
      <w:marTop w:val="0"/>
      <w:marBottom w:val="0"/>
      <w:divBdr>
        <w:top w:val="none" w:sz="0" w:space="0" w:color="auto"/>
        <w:left w:val="none" w:sz="0" w:space="0" w:color="auto"/>
        <w:bottom w:val="none" w:sz="0" w:space="0" w:color="auto"/>
        <w:right w:val="none" w:sz="0" w:space="0" w:color="auto"/>
      </w:divBdr>
    </w:div>
    <w:div w:id="1010065751">
      <w:bodyDiv w:val="1"/>
      <w:marLeft w:val="0"/>
      <w:marRight w:val="0"/>
      <w:marTop w:val="0"/>
      <w:marBottom w:val="0"/>
      <w:divBdr>
        <w:top w:val="none" w:sz="0" w:space="0" w:color="auto"/>
        <w:left w:val="none" w:sz="0" w:space="0" w:color="auto"/>
        <w:bottom w:val="none" w:sz="0" w:space="0" w:color="auto"/>
        <w:right w:val="none" w:sz="0" w:space="0" w:color="auto"/>
      </w:divBdr>
    </w:div>
    <w:div w:id="1017003243">
      <w:bodyDiv w:val="1"/>
      <w:marLeft w:val="0"/>
      <w:marRight w:val="0"/>
      <w:marTop w:val="0"/>
      <w:marBottom w:val="0"/>
      <w:divBdr>
        <w:top w:val="none" w:sz="0" w:space="0" w:color="auto"/>
        <w:left w:val="none" w:sz="0" w:space="0" w:color="auto"/>
        <w:bottom w:val="none" w:sz="0" w:space="0" w:color="auto"/>
        <w:right w:val="none" w:sz="0" w:space="0" w:color="auto"/>
      </w:divBdr>
    </w:div>
    <w:div w:id="1024019400">
      <w:bodyDiv w:val="1"/>
      <w:marLeft w:val="0"/>
      <w:marRight w:val="0"/>
      <w:marTop w:val="0"/>
      <w:marBottom w:val="0"/>
      <w:divBdr>
        <w:top w:val="none" w:sz="0" w:space="0" w:color="auto"/>
        <w:left w:val="none" w:sz="0" w:space="0" w:color="auto"/>
        <w:bottom w:val="none" w:sz="0" w:space="0" w:color="auto"/>
        <w:right w:val="none" w:sz="0" w:space="0" w:color="auto"/>
      </w:divBdr>
    </w:div>
    <w:div w:id="1038623130">
      <w:bodyDiv w:val="1"/>
      <w:marLeft w:val="0"/>
      <w:marRight w:val="0"/>
      <w:marTop w:val="0"/>
      <w:marBottom w:val="0"/>
      <w:divBdr>
        <w:top w:val="none" w:sz="0" w:space="0" w:color="auto"/>
        <w:left w:val="none" w:sz="0" w:space="0" w:color="auto"/>
        <w:bottom w:val="none" w:sz="0" w:space="0" w:color="auto"/>
        <w:right w:val="none" w:sz="0" w:space="0" w:color="auto"/>
      </w:divBdr>
    </w:div>
    <w:div w:id="1048339003">
      <w:bodyDiv w:val="1"/>
      <w:marLeft w:val="0"/>
      <w:marRight w:val="0"/>
      <w:marTop w:val="0"/>
      <w:marBottom w:val="0"/>
      <w:divBdr>
        <w:top w:val="none" w:sz="0" w:space="0" w:color="auto"/>
        <w:left w:val="none" w:sz="0" w:space="0" w:color="auto"/>
        <w:bottom w:val="none" w:sz="0" w:space="0" w:color="auto"/>
        <w:right w:val="none" w:sz="0" w:space="0" w:color="auto"/>
      </w:divBdr>
    </w:div>
    <w:div w:id="1079252066">
      <w:bodyDiv w:val="1"/>
      <w:marLeft w:val="0"/>
      <w:marRight w:val="0"/>
      <w:marTop w:val="0"/>
      <w:marBottom w:val="0"/>
      <w:divBdr>
        <w:top w:val="none" w:sz="0" w:space="0" w:color="auto"/>
        <w:left w:val="none" w:sz="0" w:space="0" w:color="auto"/>
        <w:bottom w:val="none" w:sz="0" w:space="0" w:color="auto"/>
        <w:right w:val="none" w:sz="0" w:space="0" w:color="auto"/>
      </w:divBdr>
    </w:div>
    <w:div w:id="1142691699">
      <w:bodyDiv w:val="1"/>
      <w:marLeft w:val="0"/>
      <w:marRight w:val="0"/>
      <w:marTop w:val="0"/>
      <w:marBottom w:val="0"/>
      <w:divBdr>
        <w:top w:val="none" w:sz="0" w:space="0" w:color="auto"/>
        <w:left w:val="none" w:sz="0" w:space="0" w:color="auto"/>
        <w:bottom w:val="none" w:sz="0" w:space="0" w:color="auto"/>
        <w:right w:val="none" w:sz="0" w:space="0" w:color="auto"/>
      </w:divBdr>
    </w:div>
    <w:div w:id="1145777244">
      <w:bodyDiv w:val="1"/>
      <w:marLeft w:val="0"/>
      <w:marRight w:val="0"/>
      <w:marTop w:val="0"/>
      <w:marBottom w:val="0"/>
      <w:divBdr>
        <w:top w:val="none" w:sz="0" w:space="0" w:color="auto"/>
        <w:left w:val="none" w:sz="0" w:space="0" w:color="auto"/>
        <w:bottom w:val="none" w:sz="0" w:space="0" w:color="auto"/>
        <w:right w:val="none" w:sz="0" w:space="0" w:color="auto"/>
      </w:divBdr>
    </w:div>
    <w:div w:id="1214385195">
      <w:bodyDiv w:val="1"/>
      <w:marLeft w:val="0"/>
      <w:marRight w:val="0"/>
      <w:marTop w:val="0"/>
      <w:marBottom w:val="0"/>
      <w:divBdr>
        <w:top w:val="none" w:sz="0" w:space="0" w:color="auto"/>
        <w:left w:val="none" w:sz="0" w:space="0" w:color="auto"/>
        <w:bottom w:val="none" w:sz="0" w:space="0" w:color="auto"/>
        <w:right w:val="none" w:sz="0" w:space="0" w:color="auto"/>
      </w:divBdr>
    </w:div>
    <w:div w:id="1253006487">
      <w:bodyDiv w:val="1"/>
      <w:marLeft w:val="0"/>
      <w:marRight w:val="0"/>
      <w:marTop w:val="0"/>
      <w:marBottom w:val="0"/>
      <w:divBdr>
        <w:top w:val="none" w:sz="0" w:space="0" w:color="auto"/>
        <w:left w:val="none" w:sz="0" w:space="0" w:color="auto"/>
        <w:bottom w:val="none" w:sz="0" w:space="0" w:color="auto"/>
        <w:right w:val="none" w:sz="0" w:space="0" w:color="auto"/>
      </w:divBdr>
    </w:div>
    <w:div w:id="1304044676">
      <w:bodyDiv w:val="1"/>
      <w:marLeft w:val="0"/>
      <w:marRight w:val="0"/>
      <w:marTop w:val="0"/>
      <w:marBottom w:val="0"/>
      <w:divBdr>
        <w:top w:val="none" w:sz="0" w:space="0" w:color="auto"/>
        <w:left w:val="none" w:sz="0" w:space="0" w:color="auto"/>
        <w:bottom w:val="none" w:sz="0" w:space="0" w:color="auto"/>
        <w:right w:val="none" w:sz="0" w:space="0" w:color="auto"/>
      </w:divBdr>
    </w:div>
    <w:div w:id="1325861615">
      <w:bodyDiv w:val="1"/>
      <w:marLeft w:val="0"/>
      <w:marRight w:val="0"/>
      <w:marTop w:val="0"/>
      <w:marBottom w:val="0"/>
      <w:divBdr>
        <w:top w:val="none" w:sz="0" w:space="0" w:color="auto"/>
        <w:left w:val="none" w:sz="0" w:space="0" w:color="auto"/>
        <w:bottom w:val="none" w:sz="0" w:space="0" w:color="auto"/>
        <w:right w:val="none" w:sz="0" w:space="0" w:color="auto"/>
      </w:divBdr>
    </w:div>
    <w:div w:id="1374381551">
      <w:bodyDiv w:val="1"/>
      <w:marLeft w:val="0"/>
      <w:marRight w:val="0"/>
      <w:marTop w:val="0"/>
      <w:marBottom w:val="0"/>
      <w:divBdr>
        <w:top w:val="none" w:sz="0" w:space="0" w:color="auto"/>
        <w:left w:val="none" w:sz="0" w:space="0" w:color="auto"/>
        <w:bottom w:val="none" w:sz="0" w:space="0" w:color="auto"/>
        <w:right w:val="none" w:sz="0" w:space="0" w:color="auto"/>
      </w:divBdr>
    </w:div>
    <w:div w:id="1385562206">
      <w:bodyDiv w:val="1"/>
      <w:marLeft w:val="0"/>
      <w:marRight w:val="0"/>
      <w:marTop w:val="0"/>
      <w:marBottom w:val="0"/>
      <w:divBdr>
        <w:top w:val="none" w:sz="0" w:space="0" w:color="auto"/>
        <w:left w:val="none" w:sz="0" w:space="0" w:color="auto"/>
        <w:bottom w:val="none" w:sz="0" w:space="0" w:color="auto"/>
        <w:right w:val="none" w:sz="0" w:space="0" w:color="auto"/>
      </w:divBdr>
    </w:div>
    <w:div w:id="1404253911">
      <w:bodyDiv w:val="1"/>
      <w:marLeft w:val="0"/>
      <w:marRight w:val="0"/>
      <w:marTop w:val="0"/>
      <w:marBottom w:val="0"/>
      <w:divBdr>
        <w:top w:val="none" w:sz="0" w:space="0" w:color="auto"/>
        <w:left w:val="none" w:sz="0" w:space="0" w:color="auto"/>
        <w:bottom w:val="none" w:sz="0" w:space="0" w:color="auto"/>
        <w:right w:val="none" w:sz="0" w:space="0" w:color="auto"/>
      </w:divBdr>
    </w:div>
    <w:div w:id="1408268146">
      <w:bodyDiv w:val="1"/>
      <w:marLeft w:val="0"/>
      <w:marRight w:val="0"/>
      <w:marTop w:val="0"/>
      <w:marBottom w:val="0"/>
      <w:divBdr>
        <w:top w:val="none" w:sz="0" w:space="0" w:color="auto"/>
        <w:left w:val="none" w:sz="0" w:space="0" w:color="auto"/>
        <w:bottom w:val="none" w:sz="0" w:space="0" w:color="auto"/>
        <w:right w:val="none" w:sz="0" w:space="0" w:color="auto"/>
      </w:divBdr>
    </w:div>
    <w:div w:id="1410225305">
      <w:bodyDiv w:val="1"/>
      <w:marLeft w:val="0"/>
      <w:marRight w:val="0"/>
      <w:marTop w:val="0"/>
      <w:marBottom w:val="0"/>
      <w:divBdr>
        <w:top w:val="none" w:sz="0" w:space="0" w:color="auto"/>
        <w:left w:val="none" w:sz="0" w:space="0" w:color="auto"/>
        <w:bottom w:val="none" w:sz="0" w:space="0" w:color="auto"/>
        <w:right w:val="none" w:sz="0" w:space="0" w:color="auto"/>
      </w:divBdr>
    </w:div>
    <w:div w:id="1422068575">
      <w:bodyDiv w:val="1"/>
      <w:marLeft w:val="0"/>
      <w:marRight w:val="0"/>
      <w:marTop w:val="0"/>
      <w:marBottom w:val="0"/>
      <w:divBdr>
        <w:top w:val="none" w:sz="0" w:space="0" w:color="auto"/>
        <w:left w:val="none" w:sz="0" w:space="0" w:color="auto"/>
        <w:bottom w:val="none" w:sz="0" w:space="0" w:color="auto"/>
        <w:right w:val="none" w:sz="0" w:space="0" w:color="auto"/>
      </w:divBdr>
    </w:div>
    <w:div w:id="1430855568">
      <w:bodyDiv w:val="1"/>
      <w:marLeft w:val="0"/>
      <w:marRight w:val="0"/>
      <w:marTop w:val="0"/>
      <w:marBottom w:val="0"/>
      <w:divBdr>
        <w:top w:val="none" w:sz="0" w:space="0" w:color="auto"/>
        <w:left w:val="none" w:sz="0" w:space="0" w:color="auto"/>
        <w:bottom w:val="none" w:sz="0" w:space="0" w:color="auto"/>
        <w:right w:val="none" w:sz="0" w:space="0" w:color="auto"/>
      </w:divBdr>
    </w:div>
    <w:div w:id="1490094643">
      <w:bodyDiv w:val="1"/>
      <w:marLeft w:val="0"/>
      <w:marRight w:val="0"/>
      <w:marTop w:val="0"/>
      <w:marBottom w:val="0"/>
      <w:divBdr>
        <w:top w:val="none" w:sz="0" w:space="0" w:color="auto"/>
        <w:left w:val="none" w:sz="0" w:space="0" w:color="auto"/>
        <w:bottom w:val="none" w:sz="0" w:space="0" w:color="auto"/>
        <w:right w:val="none" w:sz="0" w:space="0" w:color="auto"/>
      </w:divBdr>
    </w:div>
    <w:div w:id="1496069438">
      <w:bodyDiv w:val="1"/>
      <w:marLeft w:val="0"/>
      <w:marRight w:val="0"/>
      <w:marTop w:val="0"/>
      <w:marBottom w:val="0"/>
      <w:divBdr>
        <w:top w:val="none" w:sz="0" w:space="0" w:color="auto"/>
        <w:left w:val="none" w:sz="0" w:space="0" w:color="auto"/>
        <w:bottom w:val="none" w:sz="0" w:space="0" w:color="auto"/>
        <w:right w:val="none" w:sz="0" w:space="0" w:color="auto"/>
      </w:divBdr>
    </w:div>
    <w:div w:id="1622885426">
      <w:bodyDiv w:val="1"/>
      <w:marLeft w:val="0"/>
      <w:marRight w:val="0"/>
      <w:marTop w:val="0"/>
      <w:marBottom w:val="0"/>
      <w:divBdr>
        <w:top w:val="none" w:sz="0" w:space="0" w:color="auto"/>
        <w:left w:val="none" w:sz="0" w:space="0" w:color="auto"/>
        <w:bottom w:val="none" w:sz="0" w:space="0" w:color="auto"/>
        <w:right w:val="none" w:sz="0" w:space="0" w:color="auto"/>
      </w:divBdr>
    </w:div>
    <w:div w:id="1733238298">
      <w:bodyDiv w:val="1"/>
      <w:marLeft w:val="0"/>
      <w:marRight w:val="0"/>
      <w:marTop w:val="0"/>
      <w:marBottom w:val="0"/>
      <w:divBdr>
        <w:top w:val="none" w:sz="0" w:space="0" w:color="auto"/>
        <w:left w:val="none" w:sz="0" w:space="0" w:color="auto"/>
        <w:bottom w:val="none" w:sz="0" w:space="0" w:color="auto"/>
        <w:right w:val="none" w:sz="0" w:space="0" w:color="auto"/>
      </w:divBdr>
    </w:div>
    <w:div w:id="1746411755">
      <w:bodyDiv w:val="1"/>
      <w:marLeft w:val="0"/>
      <w:marRight w:val="0"/>
      <w:marTop w:val="0"/>
      <w:marBottom w:val="0"/>
      <w:divBdr>
        <w:top w:val="none" w:sz="0" w:space="0" w:color="auto"/>
        <w:left w:val="none" w:sz="0" w:space="0" w:color="auto"/>
        <w:bottom w:val="none" w:sz="0" w:space="0" w:color="auto"/>
        <w:right w:val="none" w:sz="0" w:space="0" w:color="auto"/>
      </w:divBdr>
    </w:div>
    <w:div w:id="1786079059">
      <w:bodyDiv w:val="1"/>
      <w:marLeft w:val="0"/>
      <w:marRight w:val="0"/>
      <w:marTop w:val="0"/>
      <w:marBottom w:val="0"/>
      <w:divBdr>
        <w:top w:val="none" w:sz="0" w:space="0" w:color="auto"/>
        <w:left w:val="none" w:sz="0" w:space="0" w:color="auto"/>
        <w:bottom w:val="none" w:sz="0" w:space="0" w:color="auto"/>
        <w:right w:val="none" w:sz="0" w:space="0" w:color="auto"/>
      </w:divBdr>
    </w:div>
    <w:div w:id="1799257895">
      <w:bodyDiv w:val="1"/>
      <w:marLeft w:val="0"/>
      <w:marRight w:val="0"/>
      <w:marTop w:val="0"/>
      <w:marBottom w:val="0"/>
      <w:divBdr>
        <w:top w:val="none" w:sz="0" w:space="0" w:color="auto"/>
        <w:left w:val="none" w:sz="0" w:space="0" w:color="auto"/>
        <w:bottom w:val="none" w:sz="0" w:space="0" w:color="auto"/>
        <w:right w:val="none" w:sz="0" w:space="0" w:color="auto"/>
      </w:divBdr>
    </w:div>
    <w:div w:id="1836408328">
      <w:bodyDiv w:val="1"/>
      <w:marLeft w:val="0"/>
      <w:marRight w:val="0"/>
      <w:marTop w:val="0"/>
      <w:marBottom w:val="0"/>
      <w:divBdr>
        <w:top w:val="none" w:sz="0" w:space="0" w:color="auto"/>
        <w:left w:val="none" w:sz="0" w:space="0" w:color="auto"/>
        <w:bottom w:val="none" w:sz="0" w:space="0" w:color="auto"/>
        <w:right w:val="none" w:sz="0" w:space="0" w:color="auto"/>
      </w:divBdr>
    </w:div>
    <w:div w:id="1839996856">
      <w:bodyDiv w:val="1"/>
      <w:marLeft w:val="0"/>
      <w:marRight w:val="0"/>
      <w:marTop w:val="0"/>
      <w:marBottom w:val="0"/>
      <w:divBdr>
        <w:top w:val="none" w:sz="0" w:space="0" w:color="auto"/>
        <w:left w:val="none" w:sz="0" w:space="0" w:color="auto"/>
        <w:bottom w:val="none" w:sz="0" w:space="0" w:color="auto"/>
        <w:right w:val="none" w:sz="0" w:space="0" w:color="auto"/>
      </w:divBdr>
    </w:div>
    <w:div w:id="1846743244">
      <w:bodyDiv w:val="1"/>
      <w:marLeft w:val="0"/>
      <w:marRight w:val="0"/>
      <w:marTop w:val="0"/>
      <w:marBottom w:val="0"/>
      <w:divBdr>
        <w:top w:val="none" w:sz="0" w:space="0" w:color="auto"/>
        <w:left w:val="none" w:sz="0" w:space="0" w:color="auto"/>
        <w:bottom w:val="none" w:sz="0" w:space="0" w:color="auto"/>
        <w:right w:val="none" w:sz="0" w:space="0" w:color="auto"/>
      </w:divBdr>
    </w:div>
    <w:div w:id="1875923232">
      <w:bodyDiv w:val="1"/>
      <w:marLeft w:val="0"/>
      <w:marRight w:val="0"/>
      <w:marTop w:val="0"/>
      <w:marBottom w:val="0"/>
      <w:divBdr>
        <w:top w:val="none" w:sz="0" w:space="0" w:color="auto"/>
        <w:left w:val="none" w:sz="0" w:space="0" w:color="auto"/>
        <w:bottom w:val="none" w:sz="0" w:space="0" w:color="auto"/>
        <w:right w:val="none" w:sz="0" w:space="0" w:color="auto"/>
      </w:divBdr>
    </w:div>
    <w:div w:id="1884832261">
      <w:bodyDiv w:val="1"/>
      <w:marLeft w:val="0"/>
      <w:marRight w:val="0"/>
      <w:marTop w:val="0"/>
      <w:marBottom w:val="0"/>
      <w:divBdr>
        <w:top w:val="none" w:sz="0" w:space="0" w:color="auto"/>
        <w:left w:val="none" w:sz="0" w:space="0" w:color="auto"/>
        <w:bottom w:val="none" w:sz="0" w:space="0" w:color="auto"/>
        <w:right w:val="none" w:sz="0" w:space="0" w:color="auto"/>
      </w:divBdr>
    </w:div>
    <w:div w:id="1889995191">
      <w:bodyDiv w:val="1"/>
      <w:marLeft w:val="0"/>
      <w:marRight w:val="0"/>
      <w:marTop w:val="0"/>
      <w:marBottom w:val="0"/>
      <w:divBdr>
        <w:top w:val="none" w:sz="0" w:space="0" w:color="auto"/>
        <w:left w:val="none" w:sz="0" w:space="0" w:color="auto"/>
        <w:bottom w:val="none" w:sz="0" w:space="0" w:color="auto"/>
        <w:right w:val="none" w:sz="0" w:space="0" w:color="auto"/>
      </w:divBdr>
    </w:div>
    <w:div w:id="1908414101">
      <w:bodyDiv w:val="1"/>
      <w:marLeft w:val="0"/>
      <w:marRight w:val="0"/>
      <w:marTop w:val="0"/>
      <w:marBottom w:val="0"/>
      <w:divBdr>
        <w:top w:val="none" w:sz="0" w:space="0" w:color="auto"/>
        <w:left w:val="none" w:sz="0" w:space="0" w:color="auto"/>
        <w:bottom w:val="none" w:sz="0" w:space="0" w:color="auto"/>
        <w:right w:val="none" w:sz="0" w:space="0" w:color="auto"/>
      </w:divBdr>
    </w:div>
    <w:div w:id="1943996625">
      <w:bodyDiv w:val="1"/>
      <w:marLeft w:val="0"/>
      <w:marRight w:val="0"/>
      <w:marTop w:val="0"/>
      <w:marBottom w:val="0"/>
      <w:divBdr>
        <w:top w:val="none" w:sz="0" w:space="0" w:color="auto"/>
        <w:left w:val="none" w:sz="0" w:space="0" w:color="auto"/>
        <w:bottom w:val="none" w:sz="0" w:space="0" w:color="auto"/>
        <w:right w:val="none" w:sz="0" w:space="0" w:color="auto"/>
      </w:divBdr>
    </w:div>
    <w:div w:id="1955549562">
      <w:bodyDiv w:val="1"/>
      <w:marLeft w:val="0"/>
      <w:marRight w:val="0"/>
      <w:marTop w:val="0"/>
      <w:marBottom w:val="0"/>
      <w:divBdr>
        <w:top w:val="none" w:sz="0" w:space="0" w:color="auto"/>
        <w:left w:val="none" w:sz="0" w:space="0" w:color="auto"/>
        <w:bottom w:val="none" w:sz="0" w:space="0" w:color="auto"/>
        <w:right w:val="none" w:sz="0" w:space="0" w:color="auto"/>
      </w:divBdr>
    </w:div>
    <w:div w:id="1992052252">
      <w:bodyDiv w:val="1"/>
      <w:marLeft w:val="0"/>
      <w:marRight w:val="0"/>
      <w:marTop w:val="0"/>
      <w:marBottom w:val="0"/>
      <w:divBdr>
        <w:top w:val="none" w:sz="0" w:space="0" w:color="auto"/>
        <w:left w:val="none" w:sz="0" w:space="0" w:color="auto"/>
        <w:bottom w:val="none" w:sz="0" w:space="0" w:color="auto"/>
        <w:right w:val="none" w:sz="0" w:space="0" w:color="auto"/>
      </w:divBdr>
    </w:div>
    <w:div w:id="1997411157">
      <w:bodyDiv w:val="1"/>
      <w:marLeft w:val="0"/>
      <w:marRight w:val="0"/>
      <w:marTop w:val="0"/>
      <w:marBottom w:val="0"/>
      <w:divBdr>
        <w:top w:val="none" w:sz="0" w:space="0" w:color="auto"/>
        <w:left w:val="none" w:sz="0" w:space="0" w:color="auto"/>
        <w:bottom w:val="none" w:sz="0" w:space="0" w:color="auto"/>
        <w:right w:val="none" w:sz="0" w:space="0" w:color="auto"/>
      </w:divBdr>
    </w:div>
    <w:div w:id="2034574068">
      <w:bodyDiv w:val="1"/>
      <w:marLeft w:val="0"/>
      <w:marRight w:val="0"/>
      <w:marTop w:val="0"/>
      <w:marBottom w:val="0"/>
      <w:divBdr>
        <w:top w:val="none" w:sz="0" w:space="0" w:color="auto"/>
        <w:left w:val="none" w:sz="0" w:space="0" w:color="auto"/>
        <w:bottom w:val="none" w:sz="0" w:space="0" w:color="auto"/>
        <w:right w:val="none" w:sz="0" w:space="0" w:color="auto"/>
      </w:divBdr>
    </w:div>
    <w:div w:id="2038657302">
      <w:bodyDiv w:val="1"/>
      <w:marLeft w:val="0"/>
      <w:marRight w:val="0"/>
      <w:marTop w:val="0"/>
      <w:marBottom w:val="0"/>
      <w:divBdr>
        <w:top w:val="none" w:sz="0" w:space="0" w:color="auto"/>
        <w:left w:val="none" w:sz="0" w:space="0" w:color="auto"/>
        <w:bottom w:val="none" w:sz="0" w:space="0" w:color="auto"/>
        <w:right w:val="none" w:sz="0" w:space="0" w:color="auto"/>
      </w:divBdr>
    </w:div>
    <w:div w:id="2107189048">
      <w:bodyDiv w:val="1"/>
      <w:marLeft w:val="0"/>
      <w:marRight w:val="0"/>
      <w:marTop w:val="0"/>
      <w:marBottom w:val="0"/>
      <w:divBdr>
        <w:top w:val="none" w:sz="0" w:space="0" w:color="auto"/>
        <w:left w:val="none" w:sz="0" w:space="0" w:color="auto"/>
        <w:bottom w:val="none" w:sz="0" w:space="0" w:color="auto"/>
        <w:right w:val="none" w:sz="0" w:space="0" w:color="auto"/>
      </w:divBdr>
    </w:div>
    <w:div w:id="213197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our-work/residential-aged-care/charging/dap-index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85315DC-07CD-4D24-A7E1-D5D204226E7D}">
    <t:Anchor>
      <t:Comment id="1257801836"/>
    </t:Anchor>
    <t:History>
      <t:Event id="{523AF48B-3B6B-45ED-ABAD-AF3F6954B0D3}" time="2025-05-20T06:42:50.696Z">
        <t:Attribution userId="S::natalie.bolton@health.gov.au::3d4359e4-65ac-4c79-b8a0-f450c378aae2" userProvider="AD" userName="BOLTON, Natalie"/>
        <t:Anchor>
          <t:Comment id="318816081"/>
        </t:Anchor>
        <t:Create/>
      </t:Event>
      <t:Event id="{CFEBC4CF-DDDB-4835-9600-0FA951FECA70}" time="2025-05-20T06:42:50.696Z">
        <t:Attribution userId="S::natalie.bolton@health.gov.au::3d4359e4-65ac-4c79-b8a0-f450c378aae2" userProvider="AD" userName="BOLTON, Natalie"/>
        <t:Anchor>
          <t:Comment id="318816081"/>
        </t:Anchor>
        <t:Assign userId="S::Julia.CHRISTENSON@health.gov.au::8b31b260-5f54-448b-819c-f8552ce3dd15" userProvider="AD" userName="CHRISTENSON, Julia"/>
      </t:Event>
      <t:Event id="{D00F4899-EB62-4CD0-A4CB-5933219A7AF3}" time="2025-05-20T06:42:50.696Z">
        <t:Attribution userId="S::natalie.bolton@health.gov.au::3d4359e4-65ac-4c79-b8a0-f450c378aae2" userProvider="AD" userName="BOLTON, Natalie"/>
        <t:Anchor>
          <t:Comment id="318816081"/>
        </t:Anchor>
        <t:SetTitle title="@CHRISTENSON, Julia we are happy to delete this one and go with the alternative options below (with n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DA5C6754-8EAF-471D-BAB8-A0611E3F0876}">
  <ds:schemaRefs>
    <ds:schemaRef ds:uri="http://schemas.openxmlformats.org/officeDocument/2006/bibliography"/>
  </ds:schemaRefs>
</ds:datastoreItem>
</file>

<file path=customXml/itemProps2.xml><?xml version="1.0" encoding="utf-8"?>
<ds:datastoreItem xmlns:ds="http://schemas.openxmlformats.org/officeDocument/2006/customXml" ds:itemID="{62E50287-2C24-4133-BBF4-0249506ED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586D2-3012-4EE5-9E30-964F5BE1CFD3}">
  <ds:schemaRefs>
    <ds:schemaRef ds:uri="http://schemas.microsoft.com/sharepoint/v3/contenttype/forms"/>
  </ds:schemaRefs>
</ds:datastoreItem>
</file>

<file path=customXml/itemProps4.xml><?xml version="1.0" encoding="utf-8"?>
<ds:datastoreItem xmlns:ds="http://schemas.openxmlformats.org/officeDocument/2006/customXml" ds:itemID="{B5E8B631-F134-41FD-90A9-8AF2F41E2392}">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Schedule of fees and charges for residential and home care – 1 January 2025</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 and charges for residential care from 1 July 2026</dc:title>
  <dc:subject>Aged care</dc:subject>
  <dc:creator>Australian Government Department of Health, Disability and Ageing</dc:creator>
  <cp:keywords>Aged Care</cp:keywords>
  <cp:lastModifiedBy>MASCHKE, Elvia</cp:lastModifiedBy>
  <cp:revision>12</cp:revision>
  <cp:lastPrinted>2021-12-14T16:56:00Z</cp:lastPrinted>
  <dcterms:created xsi:type="dcterms:W3CDTF">2026-06-12T02:28:00Z</dcterms:created>
  <dcterms:modified xsi:type="dcterms:W3CDTF">2026-06-26T06:26:00Z</dcterms:modified>
  <cp:category>Aged 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37613710,2b608a68,d7950b2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316337a,fc9ba44,73ada14d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2026-02-15T22:12:49Z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ef35d091-4bb0-4b5a-a5c8-ed6cbee83853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