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FF92" w14:textId="37A1BA28" w:rsidR="001E158C" w:rsidRPr="00C44AEC" w:rsidRDefault="00C44AEC" w:rsidP="000742DE">
      <w:pPr>
        <w:pStyle w:val="NoSpacing"/>
        <w:rPr>
          <w:rStyle w:val="Strong"/>
          <w:b w:val="0"/>
          <w:bCs w:val="0"/>
          <w:sz w:val="12"/>
          <w:szCs w:val="14"/>
        </w:rPr>
      </w:pPr>
      <w:r>
        <w:rPr>
          <w:noProof/>
        </w:rPr>
        <w:drawing>
          <wp:inline distT="0" distB="0" distL="0" distR="0" wp14:anchorId="526F6952" wp14:editId="6897C059">
            <wp:extent cx="2933700" cy="896408"/>
            <wp:effectExtent l="0" t="0" r="1905" b="0"/>
            <wp:docPr id="1955144182" name="Picture 1" descr="National Immunisation Program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44182" name="Picture 1" descr="National Immunisation Program logo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89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DE07B" w14:textId="77777777" w:rsidR="00C44AEC" w:rsidRPr="00C44AEC" w:rsidRDefault="00C44AEC" w:rsidP="000742DE">
      <w:pPr>
        <w:pStyle w:val="NoSpacing"/>
        <w:rPr>
          <w:rStyle w:val="Strong"/>
          <w:b w:val="0"/>
          <w:bCs w:val="0"/>
          <w:sz w:val="12"/>
          <w:szCs w:val="14"/>
        </w:rPr>
      </w:pPr>
    </w:p>
    <w:tbl>
      <w:tblPr>
        <w:tblW w:w="0" w:type="auto"/>
        <w:tblBorders>
          <w:top w:val="single" w:sz="12" w:space="0" w:color="3BD1C3"/>
          <w:left w:val="single" w:sz="12" w:space="0" w:color="3BD1C3"/>
          <w:bottom w:val="single" w:sz="12" w:space="0" w:color="3BD1C3"/>
          <w:right w:val="single" w:sz="12" w:space="0" w:color="3BD1C3"/>
          <w:insideH w:val="single" w:sz="12" w:space="0" w:color="3BD1C3"/>
          <w:insideV w:val="single" w:sz="12" w:space="0" w:color="3BD1C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468"/>
        <w:gridCol w:w="4468"/>
        <w:gridCol w:w="4468"/>
        <w:gridCol w:w="4469"/>
      </w:tblGrid>
      <w:tr w:rsidR="0007671D" w14:paraId="43D9461F" w14:textId="77777777" w:rsidTr="002D77BB">
        <w:trPr>
          <w:trHeight w:val="341"/>
          <w:tblHeader/>
        </w:trPr>
        <w:tc>
          <w:tcPr>
            <w:tcW w:w="22341" w:type="dxa"/>
            <w:gridSpan w:val="5"/>
            <w:shd w:val="clear" w:color="auto" w:fill="5BC4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40EB" w14:textId="45E8C5A4" w:rsidR="0007671D" w:rsidRPr="00F052EF" w:rsidRDefault="0007671D" w:rsidP="00A966D6">
            <w:pPr>
              <w:pStyle w:val="TableheaderWhite"/>
            </w:pPr>
            <w:r w:rsidRPr="00756EE6">
              <w:rPr>
                <w:sz w:val="36"/>
                <w:szCs w:val="28"/>
              </w:rPr>
              <w:t>Administration of RSV vaccines and monoclonal antibodies by age group or cohort</w:t>
            </w:r>
          </w:p>
        </w:tc>
      </w:tr>
      <w:tr w:rsidR="0007671D" w14:paraId="712FDEB5" w14:textId="77777777" w:rsidTr="00D3324F">
        <w:trPr>
          <w:trHeight w:val="341"/>
          <w:tblHeader/>
        </w:trPr>
        <w:tc>
          <w:tcPr>
            <w:tcW w:w="44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3E96F" w14:textId="77777777" w:rsidR="0007671D" w:rsidRPr="006F6DF1" w:rsidRDefault="0007671D" w:rsidP="006F6DF1">
            <w:pPr>
              <w:autoSpaceDE w:val="0"/>
              <w:autoSpaceDN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6F6DF1">
              <w:rPr>
                <w:b/>
                <w:bCs/>
                <w:sz w:val="28"/>
                <w:szCs w:val="28"/>
                <w:lang w:val="en-US"/>
              </w:rPr>
              <w:t>Age group or cohort</w:t>
            </w:r>
          </w:p>
        </w:tc>
        <w:tc>
          <w:tcPr>
            <w:tcW w:w="89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F674" w14:textId="54196583" w:rsidR="0007671D" w:rsidRPr="00F052EF" w:rsidRDefault="0007671D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D3324F">
              <w:rPr>
                <w:b/>
                <w:bCs/>
                <w:sz w:val="28"/>
                <w:szCs w:val="28"/>
              </w:rPr>
              <w:t>RSV</w:t>
            </w:r>
            <w:r w:rsidRPr="00D3324F">
              <w:rPr>
                <w:b/>
                <w:bCs/>
                <w:sz w:val="28"/>
                <w:szCs w:val="28"/>
                <w:lang w:val="en-US"/>
              </w:rPr>
              <w:t xml:space="preserve"> vaccines for adults</w:t>
            </w:r>
          </w:p>
        </w:tc>
        <w:tc>
          <w:tcPr>
            <w:tcW w:w="8937" w:type="dxa"/>
            <w:gridSpan w:val="2"/>
          </w:tcPr>
          <w:p w14:paraId="0041A3A7" w14:textId="13C296AE" w:rsidR="0007671D" w:rsidRPr="00F052EF" w:rsidRDefault="0007671D" w:rsidP="00A966D6">
            <w:pPr>
              <w:autoSpaceDE w:val="0"/>
              <w:autoSpaceDN w:val="0"/>
              <w:jc w:val="center"/>
              <w:rPr>
                <w:b/>
                <w:bCs/>
                <w:lang w:val="en-US"/>
              </w:rPr>
            </w:pPr>
            <w:r w:rsidRPr="00D3324F">
              <w:rPr>
                <w:b/>
                <w:bCs/>
                <w:sz w:val="28"/>
                <w:szCs w:val="28"/>
                <w:lang w:val="en-US"/>
              </w:rPr>
              <w:t>RSV monoclonal antibodies for infants</w:t>
            </w:r>
            <w:r w:rsidR="00D3324F">
              <w:rPr>
                <w:b/>
                <w:bCs/>
                <w:sz w:val="28"/>
                <w:szCs w:val="28"/>
                <w:lang w:val="en-US"/>
              </w:rPr>
              <w:t xml:space="preserve"> and children</w:t>
            </w:r>
          </w:p>
        </w:tc>
      </w:tr>
      <w:tr w:rsidR="00C44AEC" w14:paraId="180025C2" w14:textId="77777777" w:rsidTr="00D66EE2">
        <w:trPr>
          <w:trHeight w:val="2138"/>
          <w:tblHeader/>
        </w:trPr>
        <w:tc>
          <w:tcPr>
            <w:tcW w:w="4468" w:type="dxa"/>
            <w:vMerge/>
            <w:vAlign w:val="center"/>
            <w:hideMark/>
          </w:tcPr>
          <w:p w14:paraId="547FC9EE" w14:textId="77777777" w:rsidR="00C44AEC" w:rsidRDefault="00C44AEC" w:rsidP="00A966D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468" w:type="dxa"/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8D054" w14:textId="77777777" w:rsidR="00A57C3A" w:rsidRPr="00D66EE2" w:rsidRDefault="00C44AEC" w:rsidP="00A966D6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Abrysvo® 0.5mL</w:t>
            </w:r>
          </w:p>
          <w:p w14:paraId="45728135" w14:textId="4298CBA2" w:rsidR="00C44AEC" w:rsidRPr="00D66EE2" w:rsidRDefault="00C44AEC" w:rsidP="00A966D6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D66EE2">
              <w:rPr>
                <w:sz w:val="24"/>
                <w:szCs w:val="24"/>
                <w:lang w:val="en-US"/>
              </w:rPr>
              <w:t>(Pfizer)</w:t>
            </w:r>
          </w:p>
          <w:p w14:paraId="57DE8723" w14:textId="7777777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BB57A5B" wp14:editId="6832759A">
                  <wp:extent cx="1695600" cy="820800"/>
                  <wp:effectExtent l="0" t="0" r="0" b="0"/>
                  <wp:docPr id="209657705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57705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00" cy="820800"/>
                          </a:xfrm>
                          <a:prstGeom prst="round1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5885D" w14:textId="77777777" w:rsidR="00A57C3A" w:rsidRPr="00D66EE2" w:rsidRDefault="00C44AEC" w:rsidP="00A966D6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Arexvy® 0.5 mL</w:t>
            </w:r>
          </w:p>
          <w:p w14:paraId="0EF33C35" w14:textId="165E1057" w:rsidR="00C44AEC" w:rsidRPr="00D66EE2" w:rsidRDefault="00C44AEC" w:rsidP="00A966D6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D66EE2">
              <w:rPr>
                <w:sz w:val="24"/>
                <w:szCs w:val="24"/>
                <w:lang w:val="en-US"/>
              </w:rPr>
              <w:t>(GSK)</w:t>
            </w:r>
          </w:p>
          <w:p w14:paraId="196B6366" w14:textId="77777777" w:rsidR="00C44AEC" w:rsidRPr="003B5C7A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238F6E" wp14:editId="723240D6">
                  <wp:extent cx="1695600" cy="820800"/>
                  <wp:effectExtent l="0" t="0" r="0" b="0"/>
                  <wp:docPr id="39174856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748563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600" cy="820800"/>
                          </a:xfrm>
                          <a:prstGeom prst="round1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8" w:type="dxa"/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F015" w14:textId="77777777" w:rsidR="00C44AEC" w:rsidRPr="00D66EE2" w:rsidRDefault="00C44AEC" w:rsidP="00A966D6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Beyfortus™ (Nirsevimab) 0.5 mL</w:t>
            </w:r>
            <w:r w:rsidRPr="00D66EE2">
              <w:rPr>
                <w:sz w:val="24"/>
                <w:szCs w:val="24"/>
                <w:lang w:val="en-US"/>
              </w:rPr>
              <w:t xml:space="preserve"> (Purple) (Sanofi) </w:t>
            </w:r>
          </w:p>
          <w:p w14:paraId="35974007" w14:textId="7777777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7F4EF5C" wp14:editId="0CEE42E3">
                  <wp:extent cx="1609200" cy="856800"/>
                  <wp:effectExtent l="0" t="0" r="0" b="635"/>
                  <wp:docPr id="683628899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628899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200" cy="856800"/>
                          </a:xfrm>
                          <a:prstGeom prst="round1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9" w:type="dxa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6F1F5" w14:textId="77777777" w:rsidR="00756EE6" w:rsidRPr="00183AF5" w:rsidRDefault="00C44AEC" w:rsidP="00756EE6">
            <w:pPr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183AF5">
              <w:rPr>
                <w:b/>
                <w:bCs/>
                <w:sz w:val="24"/>
                <w:szCs w:val="24"/>
                <w:lang w:val="en-US"/>
              </w:rPr>
              <w:t>Beyfortus™ (Nirsevimab) 1 mL</w:t>
            </w:r>
            <w:r w:rsidR="00756EE6" w:rsidRPr="00183AF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83AF5">
              <w:rPr>
                <w:sz w:val="24"/>
                <w:szCs w:val="24"/>
                <w:lang w:val="en-US"/>
              </w:rPr>
              <w:t>(Blue)</w:t>
            </w:r>
          </w:p>
          <w:p w14:paraId="068023B0" w14:textId="3D170AD2" w:rsidR="00C44AEC" w:rsidRPr="00183AF5" w:rsidRDefault="00C44AEC" w:rsidP="00756EE6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83AF5">
              <w:rPr>
                <w:sz w:val="24"/>
                <w:szCs w:val="24"/>
                <w:lang w:val="en-US"/>
              </w:rPr>
              <w:t>(Sanofi)</w:t>
            </w:r>
          </w:p>
          <w:p w14:paraId="7CE5D3ED" w14:textId="77777777" w:rsidR="00C44AEC" w:rsidRDefault="00C44AEC" w:rsidP="00A966D6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7801626" wp14:editId="2B88BCBB">
                  <wp:extent cx="1695600" cy="856800"/>
                  <wp:effectExtent l="0" t="0" r="0" b="635"/>
                  <wp:docPr id="727815795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815795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600" cy="856800"/>
                          </a:xfrm>
                          <a:prstGeom prst="round1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/>
              </w:rPr>
              <w:t xml:space="preserve"> </w:t>
            </w:r>
          </w:p>
        </w:tc>
      </w:tr>
      <w:tr w:rsidR="00C44AEC" w14:paraId="366D8A3E" w14:textId="77777777" w:rsidTr="00D66EE2">
        <w:trPr>
          <w:trHeight w:val="1423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444A" w14:textId="6D043FBF" w:rsidR="00CD1050" w:rsidRPr="00D66EE2" w:rsidRDefault="00CD1050" w:rsidP="00A966D6">
            <w:pPr>
              <w:autoSpaceDE w:val="0"/>
              <w:autoSpaceDN w:val="0"/>
              <w:rPr>
                <w:b/>
                <w:bCs/>
                <w:sz w:val="24"/>
                <w:szCs w:val="24"/>
                <w:lang w:val="en-US"/>
              </w:rPr>
            </w:pPr>
            <w:r w:rsidRPr="00535733">
              <w:rPr>
                <w:b/>
                <w:bCs/>
                <w:sz w:val="24"/>
                <w:szCs w:val="24"/>
                <w:lang w:val="en-US"/>
              </w:rPr>
              <w:t>Women from 28 weeks pregnancy</w:t>
            </w:r>
          </w:p>
        </w:tc>
        <w:tc>
          <w:tcPr>
            <w:tcW w:w="4468" w:type="dxa"/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9A94B" w14:textId="77777777" w:rsidR="00C44AEC" w:rsidRPr="00D66EE2" w:rsidRDefault="00C44AEC" w:rsidP="00A966D6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NIP FUNDED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76FE" w14:textId="77777777" w:rsidR="00C44AEC" w:rsidRPr="00D66EE2" w:rsidRDefault="00C44AEC" w:rsidP="00A966D6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B276" w14:textId="77777777" w:rsidR="00C44AEC" w:rsidRPr="00D66EE2" w:rsidRDefault="00C44AEC" w:rsidP="00A966D6">
            <w:pPr>
              <w:autoSpaceDE w:val="0"/>
              <w:autoSpaceDN w:val="0"/>
              <w:jc w:val="center"/>
              <w:rPr>
                <w:b/>
                <w:bCs/>
                <w:color w:val="275317" w:themeColor="accent6" w:themeShade="80"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  <w:tc>
          <w:tcPr>
            <w:tcW w:w="4469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1795" w14:textId="77777777" w:rsidR="00C44AEC" w:rsidRPr="00D66EE2" w:rsidRDefault="00C44AEC" w:rsidP="00A966D6">
            <w:pPr>
              <w:autoSpaceDE w:val="0"/>
              <w:autoSpaceDN w:val="0"/>
              <w:jc w:val="center"/>
              <w:rPr>
                <w:b/>
                <w:bCs/>
                <w:color w:val="275317" w:themeColor="accent6" w:themeShade="80"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</w:tr>
      <w:tr w:rsidR="00C44AEC" w14:paraId="4728D4FF" w14:textId="77777777" w:rsidTr="00D66EE2">
        <w:trPr>
          <w:trHeight w:val="1259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D4192" w14:textId="2EA6D685" w:rsidR="00CD1050" w:rsidRPr="00D66EE2" w:rsidRDefault="00C44AEC" w:rsidP="00A966D6">
            <w:pPr>
              <w:autoSpaceDE w:val="0"/>
              <w:autoSpaceDN w:val="0"/>
              <w:rPr>
                <w:b/>
                <w:bCs/>
                <w:sz w:val="24"/>
                <w:szCs w:val="24"/>
                <w:lang w:val="en-US"/>
              </w:rPr>
            </w:pPr>
            <w:bookmarkStart w:id="0" w:name="_Hlk127872808"/>
            <w:r w:rsidRPr="00535733">
              <w:rPr>
                <w:b/>
                <w:bCs/>
                <w:sz w:val="24"/>
                <w:szCs w:val="24"/>
                <w:lang w:val="en-US"/>
              </w:rPr>
              <w:t xml:space="preserve">Infants </w:t>
            </w:r>
            <w:r w:rsidR="006375AF" w:rsidRPr="00535733">
              <w:rPr>
                <w:b/>
                <w:bCs/>
                <w:sz w:val="24"/>
                <w:szCs w:val="24"/>
                <w:lang w:val="en-US"/>
              </w:rPr>
              <w:t>and</w:t>
            </w:r>
            <w:r w:rsidRPr="00535733">
              <w:rPr>
                <w:b/>
                <w:bCs/>
                <w:sz w:val="24"/>
                <w:szCs w:val="24"/>
                <w:lang w:val="en-US"/>
              </w:rPr>
              <w:t xml:space="preserve"> children</w:t>
            </w:r>
            <w:r w:rsidR="003F37CF" w:rsidRPr="0053573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A20E4" w:rsidRPr="00535733">
              <w:rPr>
                <w:b/>
                <w:bCs/>
                <w:sz w:val="24"/>
                <w:szCs w:val="24"/>
                <w:lang w:val="en-US"/>
              </w:rPr>
              <w:t>&lt;</w:t>
            </w:r>
            <w:r w:rsidRPr="00535733">
              <w:rPr>
                <w:b/>
                <w:bCs/>
                <w:sz w:val="24"/>
                <w:szCs w:val="24"/>
                <w:lang w:val="en-US"/>
              </w:rPr>
              <w:t>24 months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37BC" w14:textId="77777777" w:rsidR="00C44AEC" w:rsidRPr="00D66EE2" w:rsidRDefault="00C44AEC" w:rsidP="00A966D6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FBE4" w14:textId="77777777" w:rsidR="00C44AEC" w:rsidRPr="00D66EE2" w:rsidRDefault="00C44AEC" w:rsidP="00A966D6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  <w:tc>
          <w:tcPr>
            <w:tcW w:w="4468" w:type="dxa"/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5403" w14:textId="4CBEF7B8" w:rsidR="00C44AEC" w:rsidRPr="00D66EE2" w:rsidRDefault="00C44AEC" w:rsidP="006F6DF1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 xml:space="preserve">STATE &amp; TERRITORY </w:t>
            </w:r>
            <w:r w:rsidR="006F6DF1" w:rsidRPr="00D66EE2">
              <w:rPr>
                <w:b/>
                <w:bCs/>
                <w:sz w:val="24"/>
                <w:szCs w:val="24"/>
                <w:lang w:val="en-US"/>
              </w:rPr>
              <w:br/>
            </w:r>
            <w:r w:rsidRPr="00D66EE2">
              <w:rPr>
                <w:b/>
                <w:bCs/>
                <w:sz w:val="24"/>
                <w:szCs w:val="24"/>
                <w:lang w:val="en-US"/>
              </w:rPr>
              <w:t>FUNDED</w:t>
            </w:r>
          </w:p>
        </w:tc>
        <w:tc>
          <w:tcPr>
            <w:tcW w:w="4469" w:type="dxa"/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E4D50" w14:textId="0156059A" w:rsidR="00C44AEC" w:rsidRPr="00D66EE2" w:rsidRDefault="00C44AEC" w:rsidP="006F6DF1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 xml:space="preserve">STATE &amp; TERRITORY </w:t>
            </w:r>
            <w:r w:rsidR="006F6DF1" w:rsidRPr="00D66EE2">
              <w:rPr>
                <w:b/>
                <w:bCs/>
                <w:sz w:val="24"/>
                <w:szCs w:val="24"/>
                <w:lang w:val="en-US"/>
              </w:rPr>
              <w:br/>
            </w:r>
            <w:r w:rsidRPr="00D66EE2">
              <w:rPr>
                <w:b/>
                <w:bCs/>
                <w:sz w:val="24"/>
                <w:szCs w:val="24"/>
                <w:lang w:val="en-US"/>
              </w:rPr>
              <w:t>FUNDED</w:t>
            </w:r>
          </w:p>
        </w:tc>
        <w:bookmarkEnd w:id="0"/>
      </w:tr>
      <w:tr w:rsidR="006C2322" w14:paraId="3015A0EF" w14:textId="77777777" w:rsidTr="00D66EE2">
        <w:trPr>
          <w:trHeight w:val="1391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0B228" w14:textId="09A95B2E" w:rsidR="00694474" w:rsidRPr="00535733" w:rsidRDefault="006C2322" w:rsidP="006C2322">
            <w:pPr>
              <w:autoSpaceDE w:val="0"/>
              <w:autoSpaceDN w:val="0"/>
              <w:rPr>
                <w:b/>
                <w:bCs/>
                <w:sz w:val="24"/>
                <w:szCs w:val="24"/>
                <w:lang w:val="en-US"/>
              </w:rPr>
            </w:pPr>
            <w:r w:rsidRPr="00535733">
              <w:rPr>
                <w:b/>
                <w:bCs/>
                <w:sz w:val="24"/>
                <w:szCs w:val="24"/>
                <w:lang w:val="en-US"/>
              </w:rPr>
              <w:t>Aboriginal and Torres Strait Islander</w:t>
            </w:r>
          </w:p>
          <w:p w14:paraId="6AFF3AA0" w14:textId="662A5430" w:rsidR="00CD1050" w:rsidRPr="00D66EE2" w:rsidRDefault="00694474" w:rsidP="006C2322">
            <w:pPr>
              <w:autoSpaceDE w:val="0"/>
              <w:autoSpaceDN w:val="0"/>
              <w:rPr>
                <w:b/>
                <w:bCs/>
                <w:sz w:val="24"/>
                <w:szCs w:val="24"/>
                <w:lang w:val="en-US"/>
              </w:rPr>
            </w:pPr>
            <w:r w:rsidRPr="00535733">
              <w:rPr>
                <w:b/>
                <w:bCs/>
                <w:sz w:val="24"/>
                <w:szCs w:val="24"/>
                <w:lang w:val="en-US"/>
              </w:rPr>
              <w:t>p</w:t>
            </w:r>
            <w:r w:rsidR="006C2322" w:rsidRPr="00535733">
              <w:rPr>
                <w:b/>
                <w:bCs/>
                <w:sz w:val="24"/>
                <w:szCs w:val="24"/>
                <w:lang w:val="en-US"/>
              </w:rPr>
              <w:t>eople</w:t>
            </w:r>
            <w:r w:rsidRPr="0053573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C2322" w:rsidRPr="00535733">
              <w:rPr>
                <w:b/>
                <w:bCs/>
                <w:sz w:val="24"/>
                <w:szCs w:val="24"/>
                <w:lang w:val="en-US"/>
              </w:rPr>
              <w:t>≥60 years</w:t>
            </w:r>
          </w:p>
        </w:tc>
        <w:tc>
          <w:tcPr>
            <w:tcW w:w="4468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908CE" w14:textId="63E9D5BE" w:rsidR="006C2322" w:rsidRPr="00D66EE2" w:rsidRDefault="006C232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AVAILABLE PRIVATELY</w:t>
            </w:r>
            <w:r w:rsidRPr="00D66EE2">
              <w:rPr>
                <w:b/>
                <w:bCs/>
                <w:sz w:val="24"/>
                <w:szCs w:val="24"/>
                <w:lang w:val="en-US"/>
              </w:rPr>
              <w:br/>
              <w:t xml:space="preserve">BASED ON CLINICAL DECISION </w:t>
            </w:r>
          </w:p>
        </w:tc>
        <w:tc>
          <w:tcPr>
            <w:tcW w:w="4468" w:type="dxa"/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AA44" w14:textId="1CB9C9BE" w:rsidR="006C2322" w:rsidRPr="00D66EE2" w:rsidRDefault="006C232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</w:rPr>
              <w:t>NIP FUNDED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7CDF7" w14:textId="2F95D6A2" w:rsidR="006C2322" w:rsidRPr="00D66EE2" w:rsidRDefault="006C232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  <w:tc>
          <w:tcPr>
            <w:tcW w:w="4469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5FB6" w14:textId="2257C0CC" w:rsidR="006C2322" w:rsidRPr="00D66EE2" w:rsidRDefault="006C232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</w:tr>
      <w:tr w:rsidR="006C2322" w14:paraId="2B2132DE" w14:textId="77777777" w:rsidTr="00D66EE2">
        <w:trPr>
          <w:trHeight w:val="1242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BB24" w14:textId="316EEDD8" w:rsidR="006C2322" w:rsidRPr="00535733" w:rsidRDefault="006C2322" w:rsidP="006C2322">
            <w:pPr>
              <w:autoSpaceDE w:val="0"/>
              <w:autoSpaceDN w:val="0"/>
              <w:rPr>
                <w:b/>
                <w:bCs/>
                <w:lang w:val="en-US"/>
              </w:rPr>
            </w:pPr>
            <w:r w:rsidRPr="00535733">
              <w:rPr>
                <w:b/>
                <w:bCs/>
                <w:sz w:val="24"/>
                <w:szCs w:val="24"/>
                <w:lang w:val="en-US"/>
              </w:rPr>
              <w:t>Adults 60-74 years</w:t>
            </w:r>
          </w:p>
          <w:p w14:paraId="416A74CF" w14:textId="75D75D98" w:rsidR="00DB79B1" w:rsidRPr="00D66EE2" w:rsidRDefault="006C2322" w:rsidP="006C2322">
            <w:pPr>
              <w:autoSpaceDE w:val="0"/>
              <w:autoSpaceDN w:val="0"/>
              <w:rPr>
                <w:sz w:val="24"/>
                <w:szCs w:val="24"/>
                <w:lang w:val="en-US"/>
              </w:rPr>
            </w:pPr>
            <w:r w:rsidRPr="00D66EE2">
              <w:rPr>
                <w:sz w:val="24"/>
                <w:szCs w:val="24"/>
                <w:lang w:val="en-US"/>
              </w:rPr>
              <w:t xml:space="preserve">(can consider vaccination) </w:t>
            </w:r>
          </w:p>
        </w:tc>
        <w:tc>
          <w:tcPr>
            <w:tcW w:w="4468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010E7" w14:textId="570B8807" w:rsidR="006C2322" w:rsidRPr="00D66EE2" w:rsidRDefault="006C232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AVAILABLE PRIVATELY</w:t>
            </w:r>
            <w:r w:rsidRPr="00D66EE2">
              <w:rPr>
                <w:b/>
                <w:bCs/>
                <w:sz w:val="24"/>
                <w:szCs w:val="24"/>
                <w:lang w:val="en-US"/>
              </w:rPr>
              <w:br/>
              <w:t>BASED ON CLINICAL DECISION</w:t>
            </w:r>
          </w:p>
        </w:tc>
        <w:tc>
          <w:tcPr>
            <w:tcW w:w="4468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3060" w14:textId="68023226" w:rsidR="006C2322" w:rsidRPr="00D66EE2" w:rsidRDefault="006C2322" w:rsidP="006F6DF1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AVAILABLE PRIVATELY</w:t>
            </w:r>
            <w:r w:rsidR="006F6DF1" w:rsidRPr="00D66EE2">
              <w:rPr>
                <w:b/>
                <w:bCs/>
                <w:sz w:val="24"/>
                <w:szCs w:val="24"/>
                <w:lang w:val="en-US"/>
              </w:rPr>
              <w:br/>
            </w:r>
            <w:r w:rsidRPr="00D66EE2">
              <w:rPr>
                <w:b/>
                <w:bCs/>
                <w:sz w:val="24"/>
                <w:szCs w:val="24"/>
                <w:lang w:val="en-US"/>
              </w:rPr>
              <w:t>BASED ON CLINICAL DECISION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D77F" w14:textId="77777777" w:rsidR="006C2322" w:rsidRPr="00D66EE2" w:rsidRDefault="006C232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  <w:tc>
          <w:tcPr>
            <w:tcW w:w="4469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1076" w14:textId="77777777" w:rsidR="006C2322" w:rsidRPr="00D66EE2" w:rsidRDefault="006C232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</w:tr>
      <w:tr w:rsidR="006C2322" w14:paraId="01F98023" w14:textId="77777777" w:rsidTr="00D66EE2">
        <w:trPr>
          <w:trHeight w:val="1319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4ABD" w14:textId="332FA78C" w:rsidR="00352E71" w:rsidRPr="00535733" w:rsidRDefault="006C2322" w:rsidP="006C2322">
            <w:pPr>
              <w:autoSpaceDE w:val="0"/>
              <w:autoSpaceDN w:val="0"/>
              <w:rPr>
                <w:b/>
                <w:bCs/>
                <w:lang w:val="en-US"/>
              </w:rPr>
            </w:pPr>
            <w:r w:rsidRPr="00535733">
              <w:rPr>
                <w:b/>
                <w:bCs/>
                <w:sz w:val="24"/>
                <w:szCs w:val="24"/>
                <w:lang w:val="en-US"/>
              </w:rPr>
              <w:t>Adults ≥75 years</w:t>
            </w:r>
          </w:p>
        </w:tc>
        <w:tc>
          <w:tcPr>
            <w:tcW w:w="4468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F135" w14:textId="1AD66682" w:rsidR="006C2322" w:rsidRPr="00D66EE2" w:rsidRDefault="006C232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AVAILABLE PRIVATELY</w:t>
            </w:r>
            <w:r w:rsidRPr="00D66EE2">
              <w:rPr>
                <w:b/>
                <w:bCs/>
                <w:sz w:val="24"/>
                <w:szCs w:val="24"/>
                <w:lang w:val="en-US"/>
              </w:rPr>
              <w:br/>
              <w:t xml:space="preserve">BASED ON CLINICAL DECISION </w:t>
            </w:r>
          </w:p>
        </w:tc>
        <w:tc>
          <w:tcPr>
            <w:tcW w:w="4468" w:type="dxa"/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28BD" w14:textId="77777777" w:rsidR="006C2322" w:rsidRPr="00D66EE2" w:rsidRDefault="006C2322" w:rsidP="006C2322">
            <w:pPr>
              <w:pStyle w:val="Tabletext"/>
              <w:framePr w:hSpace="0" w:wrap="auto" w:vAnchor="margin" w:hAnchor="text" w:yAlign="inline"/>
            </w:pPr>
            <w:r w:rsidRPr="00D66EE2">
              <w:t>NIP FUNDED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B421" w14:textId="77777777" w:rsidR="006C2322" w:rsidRPr="00D66EE2" w:rsidRDefault="006C232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  <w:tc>
          <w:tcPr>
            <w:tcW w:w="4469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C1049" w14:textId="77777777" w:rsidR="006C2322" w:rsidRPr="00D66EE2" w:rsidRDefault="006C232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</w:tr>
      <w:tr w:rsidR="006C2322" w14:paraId="5E1DBDE6" w14:textId="77777777" w:rsidTr="00C2738F">
        <w:trPr>
          <w:trHeight w:val="1477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53CC" w14:textId="236BE79B" w:rsidR="0060369F" w:rsidRPr="00EB05E2" w:rsidRDefault="006C2322" w:rsidP="00EB05E2">
            <w:pPr>
              <w:autoSpaceDE w:val="0"/>
              <w:autoSpaceDN w:val="0"/>
              <w:rPr>
                <w:b/>
                <w:bCs/>
                <w:sz w:val="23"/>
                <w:szCs w:val="23"/>
                <w:lang w:val="en-US"/>
              </w:rPr>
            </w:pPr>
            <w:r w:rsidRPr="00EB05E2">
              <w:rPr>
                <w:b/>
                <w:bCs/>
                <w:sz w:val="24"/>
                <w:szCs w:val="24"/>
                <w:lang w:val="en-US"/>
              </w:rPr>
              <w:t xml:space="preserve">Adults </w:t>
            </w:r>
            <w:r w:rsidR="00EB05E2" w:rsidRPr="00EB05E2">
              <w:rPr>
                <w:b/>
                <w:bCs/>
                <w:sz w:val="24"/>
                <w:szCs w:val="24"/>
                <w:lang w:val="en-US"/>
              </w:rPr>
              <w:t xml:space="preserve">50-59 years </w:t>
            </w:r>
            <w:r w:rsidRPr="00EB05E2">
              <w:rPr>
                <w:b/>
                <w:bCs/>
                <w:sz w:val="24"/>
                <w:szCs w:val="24"/>
                <w:lang w:val="en-US"/>
              </w:rPr>
              <w:t xml:space="preserve">with medical risk conditions that increase risk of severe RSV disease </w:t>
            </w:r>
            <w:r w:rsidRPr="00EB05E2">
              <w:rPr>
                <w:sz w:val="24"/>
                <w:szCs w:val="24"/>
                <w:lang w:val="en-US"/>
              </w:rPr>
              <w:t>(can consider vaccination)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7ECB" w14:textId="0D37A1A7" w:rsidR="006C2322" w:rsidRPr="00D66EE2" w:rsidRDefault="00EB05E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  <w:tc>
          <w:tcPr>
            <w:tcW w:w="4468" w:type="dxa"/>
            <w:shd w:val="clear" w:color="auto" w:fill="D1D1D1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08BE" w14:textId="77355DA3" w:rsidR="006C2322" w:rsidRPr="00D66EE2" w:rsidRDefault="006C2322" w:rsidP="006F6DF1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AVAILABLE PRIVATELY</w:t>
            </w:r>
            <w:r w:rsidR="006F6DF1" w:rsidRPr="00D66EE2">
              <w:rPr>
                <w:b/>
                <w:bCs/>
                <w:sz w:val="24"/>
                <w:szCs w:val="24"/>
                <w:lang w:val="en-US"/>
              </w:rPr>
              <w:br/>
            </w:r>
            <w:r w:rsidRPr="00D66EE2">
              <w:rPr>
                <w:b/>
                <w:bCs/>
                <w:sz w:val="24"/>
                <w:szCs w:val="24"/>
                <w:lang w:val="en-US"/>
              </w:rPr>
              <w:t>BASED ON CLINICAL DECISION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1013" w14:textId="6ED12172" w:rsidR="006C2322" w:rsidRPr="00D66EE2" w:rsidRDefault="006C232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  <w:tc>
          <w:tcPr>
            <w:tcW w:w="4469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ABCD" w14:textId="67FD1529" w:rsidR="006C2322" w:rsidRPr="00D66EE2" w:rsidRDefault="006C2322" w:rsidP="006C232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</w:tr>
      <w:tr w:rsidR="00D66EE2" w14:paraId="681BD0F2" w14:textId="77777777" w:rsidTr="00975253">
        <w:trPr>
          <w:trHeight w:val="1431"/>
        </w:trPr>
        <w:tc>
          <w:tcPr>
            <w:tcW w:w="4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7568" w14:textId="04B22D72" w:rsidR="00D66EE2" w:rsidRPr="00D66EE2" w:rsidRDefault="00D66EE2" w:rsidP="00D66EE2">
            <w:pPr>
              <w:autoSpaceDE w:val="0"/>
              <w:autoSpaceDN w:val="0"/>
              <w:rPr>
                <w:b/>
                <w:bCs/>
                <w:sz w:val="24"/>
                <w:szCs w:val="24"/>
                <w:lang w:val="en-US"/>
              </w:rPr>
            </w:pPr>
            <w:r w:rsidRPr="00EB05E2">
              <w:rPr>
                <w:b/>
                <w:bCs/>
                <w:sz w:val="24"/>
                <w:szCs w:val="24"/>
                <w:lang w:val="en-US"/>
              </w:rPr>
              <w:t>Adults ≥60 years with medical risk conditions that increase risk of severe RSV disease</w:t>
            </w:r>
            <w:r w:rsidRPr="00EB05E2">
              <w:rPr>
                <w:sz w:val="24"/>
                <w:szCs w:val="24"/>
                <w:lang w:val="en-US"/>
              </w:rPr>
              <w:t xml:space="preserve"> </w:t>
            </w:r>
            <w:r w:rsidRPr="00EB05E2">
              <w:rPr>
                <w:sz w:val="24"/>
                <w:szCs w:val="24"/>
                <w:lang w:val="en-US"/>
              </w:rPr>
              <w:t>(recommended vaccination)</w:t>
            </w:r>
          </w:p>
        </w:tc>
        <w:tc>
          <w:tcPr>
            <w:tcW w:w="446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DEA3" w14:textId="5728CDB5" w:rsidR="00D66EE2" w:rsidRPr="00D66EE2" w:rsidRDefault="00C2738F" w:rsidP="00D66EE2">
            <w:pPr>
              <w:autoSpaceDE w:val="0"/>
              <w:autoSpaceDN w:val="0"/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AVAILABLE PRIVATELY</w:t>
            </w:r>
            <w:r w:rsidRPr="00D66EE2">
              <w:rPr>
                <w:b/>
                <w:bCs/>
                <w:sz w:val="24"/>
                <w:szCs w:val="24"/>
                <w:lang w:val="en-US"/>
              </w:rPr>
              <w:br/>
              <w:t>BASED ON CLINICAL DECISION</w:t>
            </w:r>
          </w:p>
        </w:tc>
        <w:tc>
          <w:tcPr>
            <w:tcW w:w="446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F479" w14:textId="15D5A787" w:rsidR="00D66EE2" w:rsidRPr="00D66EE2" w:rsidRDefault="00D66EE2" w:rsidP="00D66EE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2738F">
              <w:rPr>
                <w:b/>
                <w:bCs/>
                <w:sz w:val="24"/>
                <w:szCs w:val="24"/>
                <w:shd w:val="clear" w:color="auto" w:fill="D9D9D9" w:themeFill="background1" w:themeFillShade="D9"/>
                <w:lang w:val="en-US"/>
              </w:rPr>
              <w:t>AVAILABLE PRIVATELY</w:t>
            </w:r>
            <w:r w:rsidRPr="00C2738F">
              <w:rPr>
                <w:b/>
                <w:bCs/>
                <w:sz w:val="24"/>
                <w:szCs w:val="24"/>
                <w:shd w:val="clear" w:color="auto" w:fill="D9D9D9" w:themeFill="background1" w:themeFillShade="D9"/>
                <w:lang w:val="en-US"/>
              </w:rPr>
              <w:br/>
              <w:t>BASED ON CLINICAL</w:t>
            </w:r>
            <w:r w:rsidRPr="00D66EE2">
              <w:rPr>
                <w:b/>
                <w:bCs/>
                <w:sz w:val="24"/>
                <w:szCs w:val="24"/>
                <w:lang w:val="en-US"/>
              </w:rPr>
              <w:t xml:space="preserve"> DECISION</w:t>
            </w:r>
          </w:p>
        </w:tc>
        <w:tc>
          <w:tcPr>
            <w:tcW w:w="4468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96F5" w14:textId="50A2808E" w:rsidR="00D66EE2" w:rsidRPr="00D66EE2" w:rsidRDefault="00D66EE2" w:rsidP="00D66EE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  <w:tc>
          <w:tcPr>
            <w:tcW w:w="4469" w:type="dxa"/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F60A" w14:textId="505F834D" w:rsidR="00D66EE2" w:rsidRPr="00D66EE2" w:rsidRDefault="00D66EE2" w:rsidP="00D66EE2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D66EE2">
              <w:rPr>
                <w:b/>
                <w:bCs/>
                <w:sz w:val="24"/>
                <w:szCs w:val="24"/>
                <w:lang w:val="en-US"/>
              </w:rPr>
              <w:t>DO NOT USE</w:t>
            </w:r>
          </w:p>
        </w:tc>
      </w:tr>
    </w:tbl>
    <w:p w14:paraId="2C52DC7F" w14:textId="77777777" w:rsidR="00C44AEC" w:rsidRDefault="00C44AEC" w:rsidP="000742DE">
      <w:pPr>
        <w:pStyle w:val="NoSpacing"/>
        <w:rPr>
          <w:rStyle w:val="Strong"/>
          <w:b w:val="0"/>
          <w:bCs w:val="0"/>
          <w:sz w:val="12"/>
          <w:szCs w:val="14"/>
        </w:rPr>
      </w:pPr>
    </w:p>
    <w:p w14:paraId="24F16F78" w14:textId="77777777" w:rsidR="00CE489D" w:rsidRPr="00C44AEC" w:rsidRDefault="00CE489D" w:rsidP="000742DE">
      <w:pPr>
        <w:pStyle w:val="NoSpacing"/>
        <w:rPr>
          <w:rStyle w:val="Strong"/>
          <w:b w:val="0"/>
          <w:bCs w:val="0"/>
          <w:sz w:val="12"/>
          <w:szCs w:val="14"/>
        </w:rPr>
      </w:pPr>
    </w:p>
    <w:p w14:paraId="5B58CDB7" w14:textId="456A5198" w:rsidR="002B64B1" w:rsidRPr="00D66EE2" w:rsidRDefault="000742DE" w:rsidP="00C51593">
      <w:pPr>
        <w:pStyle w:val="NoSpacing"/>
        <w:ind w:right="14"/>
        <w:rPr>
          <w:rFonts w:asciiTheme="minorHAnsi" w:hAnsiTheme="minorHAnsi"/>
          <w:sz w:val="22"/>
        </w:rPr>
      </w:pPr>
      <w:r w:rsidRPr="00D66EE2">
        <w:rPr>
          <w:rStyle w:val="Strong"/>
          <w:rFonts w:asciiTheme="minorHAnsi" w:hAnsiTheme="minorHAnsi"/>
          <w:sz w:val="22"/>
        </w:rPr>
        <w:t>Note</w:t>
      </w:r>
      <w:r w:rsidRPr="00D66EE2">
        <w:rPr>
          <w:rFonts w:asciiTheme="minorHAnsi" w:hAnsiTheme="minorHAnsi"/>
          <w:sz w:val="22"/>
        </w:rPr>
        <w:t xml:space="preserve">: </w:t>
      </w:r>
      <w:r w:rsidRPr="00D66EE2">
        <w:rPr>
          <w:rStyle w:val="Strong"/>
          <w:rFonts w:asciiTheme="minorHAnsi" w:hAnsiTheme="minorHAnsi"/>
          <w:sz w:val="22"/>
        </w:rPr>
        <w:t>NIP FUNDED</w:t>
      </w:r>
      <w:r w:rsidRPr="00D66EE2">
        <w:rPr>
          <w:rFonts w:asciiTheme="minorHAnsi" w:hAnsiTheme="minorHAnsi"/>
          <w:sz w:val="22"/>
        </w:rPr>
        <w:t xml:space="preserve"> indicates vaccine is NIP funded. </w:t>
      </w:r>
      <w:r w:rsidRPr="00D66EE2">
        <w:rPr>
          <w:rStyle w:val="RedStrongChar"/>
          <w:rFonts w:asciiTheme="minorHAnsi" w:hAnsiTheme="minorHAnsi"/>
          <w:color w:val="C00000"/>
          <w:sz w:val="22"/>
        </w:rPr>
        <w:t>DO NOT USE</w:t>
      </w:r>
      <w:r w:rsidRPr="00D66EE2">
        <w:rPr>
          <w:rFonts w:asciiTheme="minorHAnsi" w:hAnsiTheme="minorHAnsi"/>
          <w:color w:val="C00000"/>
          <w:sz w:val="22"/>
        </w:rPr>
        <w:t xml:space="preserve"> </w:t>
      </w:r>
      <w:r w:rsidRPr="00D66EE2">
        <w:rPr>
          <w:rFonts w:asciiTheme="minorHAnsi" w:hAnsiTheme="minorHAnsi"/>
          <w:sz w:val="22"/>
        </w:rPr>
        <w:t xml:space="preserve">indicates </w:t>
      </w:r>
      <w:r w:rsidR="009F04DA" w:rsidRPr="00D66EE2">
        <w:rPr>
          <w:rFonts w:asciiTheme="minorHAnsi" w:hAnsiTheme="minorHAnsi"/>
          <w:sz w:val="22"/>
        </w:rPr>
        <w:t>product</w:t>
      </w:r>
      <w:r w:rsidRPr="00D66EE2">
        <w:rPr>
          <w:rFonts w:asciiTheme="minorHAnsi" w:hAnsiTheme="minorHAnsi"/>
          <w:sz w:val="22"/>
        </w:rPr>
        <w:t xml:space="preserve"> is </w:t>
      </w:r>
      <w:r w:rsidRPr="00D66EE2">
        <w:rPr>
          <w:rStyle w:val="RedStrongChar"/>
          <w:rFonts w:asciiTheme="minorHAnsi" w:hAnsiTheme="minorHAnsi"/>
          <w:color w:val="C00000"/>
          <w:sz w:val="22"/>
        </w:rPr>
        <w:t>NOT</w:t>
      </w:r>
      <w:r w:rsidRPr="00D66EE2">
        <w:rPr>
          <w:rFonts w:asciiTheme="minorHAnsi" w:hAnsiTheme="minorHAnsi"/>
          <w:color w:val="C00000"/>
          <w:sz w:val="22"/>
        </w:rPr>
        <w:t xml:space="preserve"> </w:t>
      </w:r>
      <w:r w:rsidRPr="00D66EE2">
        <w:rPr>
          <w:rFonts w:asciiTheme="minorHAnsi" w:hAnsiTheme="minorHAnsi"/>
          <w:sz w:val="22"/>
        </w:rPr>
        <w:t xml:space="preserve">recommended </w:t>
      </w:r>
      <w:r w:rsidR="00194514" w:rsidRPr="00D66EE2">
        <w:rPr>
          <w:rFonts w:asciiTheme="minorHAnsi" w:hAnsiTheme="minorHAnsi"/>
          <w:sz w:val="22"/>
        </w:rPr>
        <w:t>for that group</w:t>
      </w:r>
      <w:r w:rsidRPr="00D66EE2">
        <w:rPr>
          <w:rFonts w:asciiTheme="minorHAnsi" w:hAnsiTheme="minorHAnsi"/>
          <w:sz w:val="22"/>
        </w:rPr>
        <w:t xml:space="preserve">. </w:t>
      </w:r>
      <w:r w:rsidRPr="00D66EE2">
        <w:rPr>
          <w:rStyle w:val="Strong"/>
          <w:rFonts w:asciiTheme="minorHAnsi" w:hAnsiTheme="minorHAnsi"/>
          <w:sz w:val="22"/>
        </w:rPr>
        <w:t>STATE &amp; TERRITORY FUNDED</w:t>
      </w:r>
      <w:r w:rsidRPr="00D66EE2">
        <w:rPr>
          <w:rFonts w:asciiTheme="minorHAnsi" w:hAnsiTheme="minorHAnsi"/>
          <w:sz w:val="22"/>
        </w:rPr>
        <w:t xml:space="preserve"> indicates funded under a state and territory program. </w:t>
      </w:r>
      <w:r w:rsidRPr="00D66EE2">
        <w:rPr>
          <w:rStyle w:val="Strong"/>
          <w:rFonts w:asciiTheme="minorHAnsi" w:hAnsiTheme="minorHAnsi"/>
          <w:sz w:val="22"/>
        </w:rPr>
        <w:t>AVAILABLE PRIVATELY</w:t>
      </w:r>
      <w:r w:rsidRPr="00D66EE2">
        <w:rPr>
          <w:rFonts w:asciiTheme="minorHAnsi" w:hAnsiTheme="minorHAnsi"/>
          <w:sz w:val="22"/>
        </w:rPr>
        <w:t xml:space="preserve"> indicates product only available through private prescription and is not </w:t>
      </w:r>
      <w:r w:rsidR="00194514" w:rsidRPr="00D66EE2">
        <w:rPr>
          <w:rFonts w:asciiTheme="minorHAnsi" w:hAnsiTheme="minorHAnsi"/>
          <w:sz w:val="22"/>
        </w:rPr>
        <w:t>funded</w:t>
      </w:r>
      <w:r w:rsidRPr="00D66EE2">
        <w:rPr>
          <w:rFonts w:asciiTheme="minorHAnsi" w:hAnsiTheme="minorHAnsi"/>
          <w:sz w:val="22"/>
        </w:rPr>
        <w:t xml:space="preserve">. For further information including dosage and administration, refer to the Australian Immunisation Handbook chapter – </w:t>
      </w:r>
      <w:hyperlink r:id="rId17" w:history="1">
        <w:r w:rsidRPr="00D66EE2">
          <w:rPr>
            <w:rStyle w:val="Hyperlink"/>
            <w:rFonts w:asciiTheme="minorHAnsi" w:hAnsiTheme="minorHAnsi"/>
            <w:sz w:val="22"/>
          </w:rPr>
          <w:t>Respiratory syncytial virus (RSV)</w:t>
        </w:r>
      </w:hyperlink>
    </w:p>
    <w:p w14:paraId="19190B85" w14:textId="77777777" w:rsidR="00CE489D" w:rsidRDefault="00CE489D" w:rsidP="00047FE3">
      <w:pPr>
        <w:ind w:right="89"/>
        <w:jc w:val="right"/>
        <w:rPr>
          <w:sz w:val="16"/>
          <w:szCs w:val="16"/>
        </w:rPr>
      </w:pPr>
    </w:p>
    <w:p w14:paraId="43504CD2" w14:textId="4C602077" w:rsidR="00D33CF1" w:rsidRPr="0085369D" w:rsidRDefault="00FC0971" w:rsidP="00047FE3">
      <w:pPr>
        <w:ind w:right="89"/>
        <w:jc w:val="right"/>
      </w:pPr>
      <w:r w:rsidRPr="0085369D">
        <w:t>I</w:t>
      </w:r>
      <w:r w:rsidR="00D33CF1" w:rsidRPr="0085369D">
        <w:t xml:space="preserve">nformation current as of </w:t>
      </w:r>
      <w:r w:rsidR="004E2BCB" w:rsidRPr="0085369D">
        <w:t>May</w:t>
      </w:r>
      <w:r w:rsidR="001E158C" w:rsidRPr="0085369D">
        <w:t xml:space="preserve"> 2026</w:t>
      </w:r>
    </w:p>
    <w:sectPr w:rsidR="00D33CF1" w:rsidRPr="0085369D" w:rsidSect="00B93E17">
      <w:headerReference w:type="even" r:id="rId18"/>
      <w:footerReference w:type="even" r:id="rId19"/>
      <w:headerReference w:type="first" r:id="rId20"/>
      <w:footerReference w:type="first" r:id="rId21"/>
      <w:pgSz w:w="23811" w:h="16838" w:orient="landscape" w:code="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855E" w14:textId="77777777" w:rsidR="000F2B11" w:rsidRDefault="000F2B11" w:rsidP="005F6175">
      <w:r>
        <w:separator/>
      </w:r>
    </w:p>
  </w:endnote>
  <w:endnote w:type="continuationSeparator" w:id="0">
    <w:p w14:paraId="6DE0ECED" w14:textId="77777777" w:rsidR="000F2B11" w:rsidRDefault="000F2B11" w:rsidP="005F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1327" w14:textId="7EE21C6A" w:rsidR="00916421" w:rsidRDefault="00916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69135B" wp14:editId="341230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14655"/>
              <wp:effectExtent l="0" t="0" r="6350" b="0"/>
              <wp:wrapNone/>
              <wp:docPr id="17067618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C8B9F" w14:textId="4E05045D" w:rsidR="00916421" w:rsidRPr="00916421" w:rsidRDefault="00916421" w:rsidP="00916421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16421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913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3XDAIAABwEAAAOAAAAZHJzL2Uyb0RvYy54bWysU8Fu2zAMvQ/YPwi6L3ayJli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PucY4Ri6md4s5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" filled="f" stroked="f">
              <v:textbox style="mso-fit-shape-to-text:t" inset="0,0,0,15pt">
                <w:txbxContent>
                  <w:p w14:paraId="1D7C8B9F" w14:textId="4E05045D" w:rsidR="00916421" w:rsidRPr="00916421" w:rsidRDefault="00916421" w:rsidP="00916421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16421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5EA7" w14:textId="2A8BC30E" w:rsidR="00916421" w:rsidRDefault="009164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EC6C7C0" wp14:editId="718E69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14655"/>
              <wp:effectExtent l="0" t="0" r="6350" b="0"/>
              <wp:wrapNone/>
              <wp:docPr id="10549753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23F59" w14:textId="17C51E7D" w:rsidR="00916421" w:rsidRPr="00916421" w:rsidRDefault="00916421" w:rsidP="00916421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16421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6C7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isDg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dTm8X83lEya6XrfPhqwBNolFSh1tJZLHT&#10;1oc+dUyJtQxsGqXSZpT5zYGY0ZNdO4xW6PYdaaqS3oz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" filled="f" stroked="f">
              <v:textbox style="mso-fit-shape-to-text:t" inset="0,0,0,15pt">
                <w:txbxContent>
                  <w:p w14:paraId="58823F59" w14:textId="17C51E7D" w:rsidR="00916421" w:rsidRPr="00916421" w:rsidRDefault="00916421" w:rsidP="00916421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16421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7583" w14:textId="77777777" w:rsidR="000F2B11" w:rsidRDefault="000F2B11" w:rsidP="005F6175">
      <w:r>
        <w:separator/>
      </w:r>
    </w:p>
  </w:footnote>
  <w:footnote w:type="continuationSeparator" w:id="0">
    <w:p w14:paraId="7B6CBDB2" w14:textId="77777777" w:rsidR="000F2B11" w:rsidRDefault="000F2B11" w:rsidP="005F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116B" w14:textId="088ED8FF" w:rsidR="00916421" w:rsidRDefault="009164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276CFA" wp14:editId="572333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14655"/>
              <wp:effectExtent l="0" t="0" r="6350" b="4445"/>
              <wp:wrapNone/>
              <wp:docPr id="13090672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C1B70" w14:textId="2D7579C5" w:rsidR="00916421" w:rsidRPr="00916421" w:rsidRDefault="00916421" w:rsidP="00916421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16421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76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ZS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dTG8W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" filled="f" stroked="f">
              <v:textbox style="mso-fit-shape-to-text:t" inset="0,15pt,0,0">
                <w:txbxContent>
                  <w:p w14:paraId="4ABC1B70" w14:textId="2D7579C5" w:rsidR="00916421" w:rsidRPr="00916421" w:rsidRDefault="00916421" w:rsidP="00916421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16421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0931" w14:textId="06F67D9C" w:rsidR="00916421" w:rsidRDefault="009164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3D72F5" wp14:editId="59EF68B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14655"/>
              <wp:effectExtent l="0" t="0" r="6350" b="4445"/>
              <wp:wrapNone/>
              <wp:docPr id="203215449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DC1C5" w14:textId="5B2F5A89" w:rsidR="00916421" w:rsidRPr="00916421" w:rsidRDefault="00916421" w:rsidP="00916421">
                          <w:pPr>
                            <w:spacing w:after="0"/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16421">
                            <w:rPr>
                              <w:rFonts w:eastAsia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D72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nsl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6md7cz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" filled="f" stroked="f">
              <v:textbox style="mso-fit-shape-to-text:t" inset="0,15pt,0,0">
                <w:txbxContent>
                  <w:p w14:paraId="2BEDC1C5" w14:textId="5B2F5A89" w:rsidR="00916421" w:rsidRPr="00916421" w:rsidRDefault="00916421" w:rsidP="00916421">
                    <w:pPr>
                      <w:spacing w:after="0"/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16421">
                      <w:rPr>
                        <w:rFonts w:eastAsia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73959"/>
    <w:multiLevelType w:val="hybridMultilevel"/>
    <w:tmpl w:val="A782C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9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F7"/>
    <w:rsid w:val="00000ECD"/>
    <w:rsid w:val="00006BF0"/>
    <w:rsid w:val="00010625"/>
    <w:rsid w:val="000257F0"/>
    <w:rsid w:val="00047FE3"/>
    <w:rsid w:val="000629AB"/>
    <w:rsid w:val="00070D73"/>
    <w:rsid w:val="000742DE"/>
    <w:rsid w:val="0007671D"/>
    <w:rsid w:val="0008441A"/>
    <w:rsid w:val="000C4A78"/>
    <w:rsid w:val="000F2B11"/>
    <w:rsid w:val="001068AD"/>
    <w:rsid w:val="00126B1E"/>
    <w:rsid w:val="00133A0E"/>
    <w:rsid w:val="00135A88"/>
    <w:rsid w:val="00147333"/>
    <w:rsid w:val="00161B8D"/>
    <w:rsid w:val="00176F62"/>
    <w:rsid w:val="00183AF5"/>
    <w:rsid w:val="00192E1A"/>
    <w:rsid w:val="00192F46"/>
    <w:rsid w:val="00194514"/>
    <w:rsid w:val="001A249A"/>
    <w:rsid w:val="001B52F7"/>
    <w:rsid w:val="001D14A5"/>
    <w:rsid w:val="001E158C"/>
    <w:rsid w:val="002122E4"/>
    <w:rsid w:val="00280050"/>
    <w:rsid w:val="00293871"/>
    <w:rsid w:val="002A25CE"/>
    <w:rsid w:val="002A291F"/>
    <w:rsid w:val="002B266B"/>
    <w:rsid w:val="002B52CE"/>
    <w:rsid w:val="002B64B1"/>
    <w:rsid w:val="002C736D"/>
    <w:rsid w:val="003059F8"/>
    <w:rsid w:val="00310EA2"/>
    <w:rsid w:val="00334B20"/>
    <w:rsid w:val="00350683"/>
    <w:rsid w:val="0035183B"/>
    <w:rsid w:val="00352E71"/>
    <w:rsid w:val="00376C62"/>
    <w:rsid w:val="00381677"/>
    <w:rsid w:val="003B5C7A"/>
    <w:rsid w:val="003B7D75"/>
    <w:rsid w:val="003C639C"/>
    <w:rsid w:val="003D2638"/>
    <w:rsid w:val="003E3D57"/>
    <w:rsid w:val="003E6766"/>
    <w:rsid w:val="003F37CF"/>
    <w:rsid w:val="003F7CBE"/>
    <w:rsid w:val="0040758C"/>
    <w:rsid w:val="004123E2"/>
    <w:rsid w:val="004202D2"/>
    <w:rsid w:val="00424545"/>
    <w:rsid w:val="00427D14"/>
    <w:rsid w:val="00453CFC"/>
    <w:rsid w:val="00464BE1"/>
    <w:rsid w:val="004667C8"/>
    <w:rsid w:val="004900F3"/>
    <w:rsid w:val="004A20E4"/>
    <w:rsid w:val="004E2BCB"/>
    <w:rsid w:val="004E717D"/>
    <w:rsid w:val="004F7ABC"/>
    <w:rsid w:val="00503130"/>
    <w:rsid w:val="00521093"/>
    <w:rsid w:val="00535733"/>
    <w:rsid w:val="005450D0"/>
    <w:rsid w:val="00566428"/>
    <w:rsid w:val="005743A4"/>
    <w:rsid w:val="0058387C"/>
    <w:rsid w:val="005A29BB"/>
    <w:rsid w:val="005C0AEA"/>
    <w:rsid w:val="005C32E8"/>
    <w:rsid w:val="005C5004"/>
    <w:rsid w:val="005E29AD"/>
    <w:rsid w:val="005F3A4A"/>
    <w:rsid w:val="005F3EC0"/>
    <w:rsid w:val="005F6175"/>
    <w:rsid w:val="005F6846"/>
    <w:rsid w:val="0060369F"/>
    <w:rsid w:val="00610D10"/>
    <w:rsid w:val="006259E9"/>
    <w:rsid w:val="006375AF"/>
    <w:rsid w:val="00653F66"/>
    <w:rsid w:val="00664D81"/>
    <w:rsid w:val="00667805"/>
    <w:rsid w:val="0067401C"/>
    <w:rsid w:val="0068157E"/>
    <w:rsid w:val="00694474"/>
    <w:rsid w:val="006B45C8"/>
    <w:rsid w:val="006C2322"/>
    <w:rsid w:val="006C7989"/>
    <w:rsid w:val="006F6DF1"/>
    <w:rsid w:val="00712593"/>
    <w:rsid w:val="00756EE6"/>
    <w:rsid w:val="00767DB4"/>
    <w:rsid w:val="0078796E"/>
    <w:rsid w:val="0079461B"/>
    <w:rsid w:val="007A63FB"/>
    <w:rsid w:val="007E16F1"/>
    <w:rsid w:val="00825304"/>
    <w:rsid w:val="00832406"/>
    <w:rsid w:val="00834923"/>
    <w:rsid w:val="0085369D"/>
    <w:rsid w:val="0085554B"/>
    <w:rsid w:val="008715E0"/>
    <w:rsid w:val="00896B16"/>
    <w:rsid w:val="008A0759"/>
    <w:rsid w:val="008A2831"/>
    <w:rsid w:val="008D4B5E"/>
    <w:rsid w:val="008E1C93"/>
    <w:rsid w:val="00904752"/>
    <w:rsid w:val="009068AE"/>
    <w:rsid w:val="00913F76"/>
    <w:rsid w:val="00916421"/>
    <w:rsid w:val="00925CC8"/>
    <w:rsid w:val="0094596C"/>
    <w:rsid w:val="009621BC"/>
    <w:rsid w:val="00975253"/>
    <w:rsid w:val="009968AC"/>
    <w:rsid w:val="009A6FCB"/>
    <w:rsid w:val="009B334C"/>
    <w:rsid w:val="009D03E3"/>
    <w:rsid w:val="009D18BF"/>
    <w:rsid w:val="009F015B"/>
    <w:rsid w:val="009F04DA"/>
    <w:rsid w:val="00A07AB8"/>
    <w:rsid w:val="00A26B69"/>
    <w:rsid w:val="00A471E5"/>
    <w:rsid w:val="00A55E35"/>
    <w:rsid w:val="00A57C3A"/>
    <w:rsid w:val="00A861F7"/>
    <w:rsid w:val="00AB49C6"/>
    <w:rsid w:val="00AC0E1F"/>
    <w:rsid w:val="00AC31EA"/>
    <w:rsid w:val="00B16EA1"/>
    <w:rsid w:val="00B2457C"/>
    <w:rsid w:val="00B27517"/>
    <w:rsid w:val="00B27C3A"/>
    <w:rsid w:val="00B34154"/>
    <w:rsid w:val="00B55007"/>
    <w:rsid w:val="00B93E17"/>
    <w:rsid w:val="00B953C4"/>
    <w:rsid w:val="00BD155B"/>
    <w:rsid w:val="00BD1892"/>
    <w:rsid w:val="00BE0D7C"/>
    <w:rsid w:val="00C0280F"/>
    <w:rsid w:val="00C14F3C"/>
    <w:rsid w:val="00C2738F"/>
    <w:rsid w:val="00C335F8"/>
    <w:rsid w:val="00C44AEC"/>
    <w:rsid w:val="00C4671D"/>
    <w:rsid w:val="00C51593"/>
    <w:rsid w:val="00C51D0A"/>
    <w:rsid w:val="00C524FF"/>
    <w:rsid w:val="00C76781"/>
    <w:rsid w:val="00C938D4"/>
    <w:rsid w:val="00CD1050"/>
    <w:rsid w:val="00CE489D"/>
    <w:rsid w:val="00CE6693"/>
    <w:rsid w:val="00CE79AB"/>
    <w:rsid w:val="00D06E2D"/>
    <w:rsid w:val="00D10D9D"/>
    <w:rsid w:val="00D13EE6"/>
    <w:rsid w:val="00D3324F"/>
    <w:rsid w:val="00D33CF1"/>
    <w:rsid w:val="00D42EB6"/>
    <w:rsid w:val="00D65677"/>
    <w:rsid w:val="00D65C8A"/>
    <w:rsid w:val="00D66EE2"/>
    <w:rsid w:val="00D77FFD"/>
    <w:rsid w:val="00D8303B"/>
    <w:rsid w:val="00D86993"/>
    <w:rsid w:val="00DA7ABF"/>
    <w:rsid w:val="00DB79B1"/>
    <w:rsid w:val="00DF290E"/>
    <w:rsid w:val="00E0510E"/>
    <w:rsid w:val="00E3215E"/>
    <w:rsid w:val="00E425F3"/>
    <w:rsid w:val="00E47939"/>
    <w:rsid w:val="00E60849"/>
    <w:rsid w:val="00E82FC6"/>
    <w:rsid w:val="00EA0345"/>
    <w:rsid w:val="00EB05E2"/>
    <w:rsid w:val="00EB4604"/>
    <w:rsid w:val="00EF639F"/>
    <w:rsid w:val="00F052EF"/>
    <w:rsid w:val="00F14D6C"/>
    <w:rsid w:val="00F16025"/>
    <w:rsid w:val="00F45111"/>
    <w:rsid w:val="00F47C84"/>
    <w:rsid w:val="00FC0971"/>
    <w:rsid w:val="00FD4084"/>
    <w:rsid w:val="00FE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5D46"/>
  <w15:chartTrackingRefBased/>
  <w15:docId w15:val="{355E1FD0-4AB3-4C42-B10C-421BF9F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DE"/>
    <w:pPr>
      <w:spacing w:before="60" w:after="6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2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2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2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2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2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2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2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2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2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2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2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2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2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2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2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2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2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52F7"/>
    <w:rPr>
      <w:color w:val="467886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52F7"/>
    <w:pPr>
      <w:spacing w:after="240"/>
    </w:pPr>
    <w:rPr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2F7"/>
    <w:rPr>
      <w:rFonts w:ascii="Aptos" w:hAnsi="Aptos" w:cs="Aptos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rsid w:val="001B52F7"/>
    <w:pPr>
      <w:autoSpaceDE w:val="0"/>
      <w:autoSpaceDN w:val="0"/>
      <w:ind w:left="340"/>
    </w:pPr>
    <w:rPr>
      <w:rFonts w:ascii="Arial" w:hAnsi="Arial" w:cs="Arial"/>
      <w14:ligatures w14:val="none"/>
    </w:rPr>
  </w:style>
  <w:style w:type="character" w:styleId="Strong">
    <w:name w:val="Strong"/>
    <w:basedOn w:val="DefaultParagraphFont"/>
    <w:uiPriority w:val="22"/>
    <w:qFormat/>
    <w:rsid w:val="001B52F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6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175"/>
    <w:rPr>
      <w:rFonts w:ascii="Aptos" w:hAnsi="Aptos" w:cs="Aptos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175"/>
    <w:rPr>
      <w:rFonts w:ascii="Aptos" w:hAnsi="Aptos" w:cs="Aptos"/>
      <w:kern w:val="0"/>
      <w:sz w:val="22"/>
      <w:szCs w:val="22"/>
    </w:rPr>
  </w:style>
  <w:style w:type="paragraph" w:styleId="Revision">
    <w:name w:val="Revision"/>
    <w:hidden/>
    <w:uiPriority w:val="99"/>
    <w:semiHidden/>
    <w:rsid w:val="00566428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664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4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428"/>
    <w:rPr>
      <w:rFonts w:ascii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4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428"/>
    <w:rPr>
      <w:rFonts w:ascii="Aptos" w:hAnsi="Aptos" w:cs="Aptos"/>
      <w:b/>
      <w:bCs/>
      <w:kern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22E4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qFormat/>
    <w:rsid w:val="00D33CF1"/>
    <w:pPr>
      <w:framePr w:hSpace="180" w:wrap="around" w:vAnchor="page" w:hAnchor="margin" w:y="1891"/>
      <w:autoSpaceDE w:val="0"/>
      <w:autoSpaceDN w:val="0"/>
      <w:jc w:val="center"/>
    </w:pPr>
    <w:rPr>
      <w:b/>
      <w:bCs/>
      <w:sz w:val="24"/>
      <w:szCs w:val="24"/>
      <w:lang w:val="en-US"/>
    </w:rPr>
  </w:style>
  <w:style w:type="character" w:customStyle="1" w:styleId="TabletextChar">
    <w:name w:val="Table text Char"/>
    <w:basedOn w:val="DefaultParagraphFont"/>
    <w:link w:val="Tabletext"/>
    <w:rsid w:val="00D33CF1"/>
    <w:rPr>
      <w:rFonts w:ascii="Aptos" w:hAnsi="Aptos" w:cs="Aptos"/>
      <w:b/>
      <w:bCs/>
      <w:kern w:val="0"/>
      <w:lang w:val="en-US"/>
    </w:rPr>
  </w:style>
  <w:style w:type="paragraph" w:styleId="NoSpacing">
    <w:name w:val="No Spacing"/>
    <w:link w:val="NoSpacingChar"/>
    <w:uiPriority w:val="1"/>
    <w:qFormat/>
    <w:rsid w:val="00D33CF1"/>
    <w:pPr>
      <w:spacing w:after="0" w:line="240" w:lineRule="auto"/>
    </w:pPr>
    <w:rPr>
      <w:rFonts w:ascii="Calibri" w:hAnsi="Calibri" w:cs="Aptos"/>
      <w:kern w:val="0"/>
      <w:sz w:val="20"/>
      <w:szCs w:val="22"/>
    </w:rPr>
  </w:style>
  <w:style w:type="paragraph" w:customStyle="1" w:styleId="TableheaderWhite">
    <w:name w:val="Table header (White)"/>
    <w:basedOn w:val="Normal"/>
    <w:link w:val="TableheaderWhiteChar"/>
    <w:qFormat/>
    <w:rsid w:val="00D33CF1"/>
    <w:pPr>
      <w:autoSpaceDE w:val="0"/>
      <w:autoSpaceDN w:val="0"/>
      <w:jc w:val="center"/>
    </w:pPr>
    <w:rPr>
      <w:b/>
      <w:bCs/>
      <w:color w:val="FFFFFF" w:themeColor="background1"/>
      <w:sz w:val="28"/>
      <w:lang w:val="en-US"/>
    </w:rPr>
  </w:style>
  <w:style w:type="character" w:customStyle="1" w:styleId="TableheaderWhiteChar">
    <w:name w:val="Table header (White) Char"/>
    <w:basedOn w:val="DefaultParagraphFont"/>
    <w:link w:val="TableheaderWhite"/>
    <w:rsid w:val="00D33CF1"/>
    <w:rPr>
      <w:rFonts w:ascii="Aptos" w:hAnsi="Aptos" w:cs="Aptos"/>
      <w:b/>
      <w:bCs/>
      <w:color w:val="FFFFFF" w:themeColor="background1"/>
      <w:kern w:val="0"/>
      <w:sz w:val="28"/>
      <w:szCs w:val="22"/>
      <w:lang w:val="en-US"/>
    </w:rPr>
  </w:style>
  <w:style w:type="paragraph" w:customStyle="1" w:styleId="RedStrong">
    <w:name w:val="Red (Strong)"/>
    <w:basedOn w:val="NoSpacing"/>
    <w:link w:val="RedStrongChar"/>
    <w:qFormat/>
    <w:rsid w:val="00192E1A"/>
    <w:rPr>
      <w:b/>
      <w:color w:val="FF0000"/>
    </w:rPr>
  </w:style>
  <w:style w:type="character" w:customStyle="1" w:styleId="NoSpacingChar">
    <w:name w:val="No Spacing Char"/>
    <w:basedOn w:val="DefaultParagraphFont"/>
    <w:link w:val="NoSpacing"/>
    <w:uiPriority w:val="1"/>
    <w:rsid w:val="00192E1A"/>
    <w:rPr>
      <w:rFonts w:ascii="Calibri" w:hAnsi="Calibri" w:cs="Aptos"/>
      <w:kern w:val="0"/>
      <w:sz w:val="20"/>
      <w:szCs w:val="22"/>
    </w:rPr>
  </w:style>
  <w:style w:type="character" w:customStyle="1" w:styleId="RedStrongChar">
    <w:name w:val="Red (Strong) Char"/>
    <w:basedOn w:val="NoSpacingChar"/>
    <w:link w:val="RedStrong"/>
    <w:rsid w:val="00192E1A"/>
    <w:rPr>
      <w:rFonts w:ascii="Calibri" w:hAnsi="Calibri" w:cs="Aptos"/>
      <w:b/>
      <w:color w:val="FF0000"/>
      <w:kern w:val="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immunisationhandbook.health.gov.au/contents/vaccine-preventable-diseases/respiratory-syncytial-virus-rs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75EB5E-08E4-4E68-966F-496835C2B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76850-B6A4-4D38-8775-F427CDEC05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748C34-4B79-45ED-B37D-364FCC42E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A0B705-2764-4CF1-BB8A-6EADC6DDCC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of RSV vaccines and RSV monoclonal antibodies by age group or cohort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of RSV vaccines and RSV monoclonal antibodies by age group or cohort</dc:title>
  <dc:subject>Immunisation</dc:subject>
  <dc:creator>Australian Government Department of Health, Disability and Ageing</dc:creator>
  <cp:keywords/>
  <dc:description/>
  <cp:lastPrinted>2026-05-27T02:08:00Z</cp:lastPrinted>
  <dcterms:created xsi:type="dcterms:W3CDTF">2026-05-27T02:05:00Z</dcterms:created>
  <dcterms:modified xsi:type="dcterms:W3CDTF">2026-05-27T02:09:00Z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79203780,4e06c7c5,50968ec3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3ee1a562,a2c4fdd,436e280b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2026-03-17T23:50:15Z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8f86448a-9192-4e3a-bb19-1194a89a2f5c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