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69FA5" w14:textId="19D56C7A" w:rsidR="00340C3D" w:rsidRPr="00112C68" w:rsidRDefault="00112C68" w:rsidP="00112C68">
      <w:pPr>
        <w:rPr>
          <w:b/>
          <w:bCs/>
          <w:sz w:val="36"/>
          <w:szCs w:val="44"/>
        </w:rPr>
      </w:pPr>
      <w:r>
        <w:rPr>
          <w:b/>
          <w:bCs/>
          <w:color w:val="196B24" w:themeColor="accent3"/>
          <w:sz w:val="40"/>
          <w:szCs w:val="48"/>
        </w:rPr>
        <w:br/>
      </w:r>
      <w:r w:rsidR="00140572" w:rsidRPr="00140572">
        <w:rPr>
          <w:b/>
          <w:bCs/>
          <w:color w:val="196B24" w:themeColor="accent3"/>
          <w:sz w:val="40"/>
          <w:szCs w:val="48"/>
        </w:rPr>
        <w:br/>
      </w:r>
      <w:r w:rsidR="00340C3D" w:rsidRPr="00112C68">
        <w:rPr>
          <w:b/>
          <w:bCs/>
          <w:sz w:val="36"/>
          <w:szCs w:val="44"/>
        </w:rPr>
        <w:t xml:space="preserve">MyMedicare </w:t>
      </w:r>
      <w:r w:rsidR="00F34F66">
        <w:rPr>
          <w:b/>
          <w:bCs/>
          <w:sz w:val="36"/>
          <w:szCs w:val="44"/>
        </w:rPr>
        <w:t>–</w:t>
      </w:r>
      <w:r w:rsidR="00340C3D" w:rsidRPr="00112C68">
        <w:rPr>
          <w:b/>
          <w:bCs/>
          <w:sz w:val="36"/>
          <w:szCs w:val="44"/>
        </w:rPr>
        <w:t xml:space="preserve"> </w:t>
      </w:r>
      <w:r w:rsidR="007937B0">
        <w:rPr>
          <w:b/>
          <w:bCs/>
          <w:sz w:val="36"/>
          <w:szCs w:val="44"/>
        </w:rPr>
        <w:t>Extenuating or Unforeseen Circumstances</w:t>
      </w:r>
      <w:r w:rsidR="00AA5D63">
        <w:rPr>
          <w:b/>
          <w:bCs/>
          <w:sz w:val="36"/>
          <w:szCs w:val="44"/>
        </w:rPr>
        <w:t xml:space="preserve"> (Fact Sheet)</w:t>
      </w:r>
    </w:p>
    <w:p w14:paraId="238C9240" w14:textId="77777777" w:rsidR="00AA5D63" w:rsidRPr="00AA5D63" w:rsidRDefault="00AA5D63" w:rsidP="00AA5D63">
      <w:pPr>
        <w:rPr>
          <w:i/>
          <w:iCs/>
        </w:rPr>
      </w:pPr>
      <w:r w:rsidRPr="00AA5D63">
        <w:rPr>
          <w:i/>
          <w:iCs/>
        </w:rPr>
        <w:t>This document is intended to assist general practices to apply MyMedicare eligibility exemptions where patients may not meet standard registration requirements due to extenuating or unforeseen circumstances.</w:t>
      </w:r>
    </w:p>
    <w:p w14:paraId="1B7BCD91" w14:textId="2DBB7FF3" w:rsidR="001458AF" w:rsidRPr="00AD7BB4" w:rsidRDefault="00AA7C66" w:rsidP="00340C3D">
      <w:pPr>
        <w:rPr>
          <w:b/>
          <w:bCs/>
          <w:sz w:val="28"/>
          <w:szCs w:val="36"/>
        </w:rPr>
      </w:pPr>
      <w:r w:rsidRPr="00AD7BB4">
        <w:rPr>
          <w:b/>
          <w:bCs/>
          <w:i/>
          <w:iCs/>
          <w:sz w:val="28"/>
          <w:szCs w:val="36"/>
        </w:rPr>
        <w:t>What is MyMedicare</w:t>
      </w:r>
      <w:r w:rsidR="00354390" w:rsidRPr="00AD7BB4">
        <w:rPr>
          <w:b/>
          <w:bCs/>
          <w:i/>
          <w:iCs/>
          <w:sz w:val="28"/>
          <w:szCs w:val="36"/>
        </w:rPr>
        <w:t>?</w:t>
      </w:r>
    </w:p>
    <w:p w14:paraId="78AB2578" w14:textId="77777777" w:rsidR="007B5916" w:rsidRDefault="00340C3D" w:rsidP="008C6B2E">
      <w:r w:rsidRPr="00340C3D">
        <w:t xml:space="preserve">MyMedicare is a free voluntary patient registration </w:t>
      </w:r>
      <w:r w:rsidR="00C74C62" w:rsidRPr="00C74C62">
        <w:t xml:space="preserve">program that </w:t>
      </w:r>
      <w:r w:rsidR="00D9270E">
        <w:t>enables</w:t>
      </w:r>
      <w:r w:rsidR="00C74C62">
        <w:t xml:space="preserve"> patient</w:t>
      </w:r>
      <w:r w:rsidR="00423F4A">
        <w:t xml:space="preserve">s to </w:t>
      </w:r>
      <w:r w:rsidR="00165666">
        <w:t xml:space="preserve">formally register </w:t>
      </w:r>
      <w:r w:rsidR="00354B72">
        <w:t xml:space="preserve">with </w:t>
      </w:r>
      <w:r w:rsidR="00165666">
        <w:t>their practice</w:t>
      </w:r>
      <w:r w:rsidR="00C74C62" w:rsidRPr="00C74C62">
        <w:t xml:space="preserve"> </w:t>
      </w:r>
      <w:r w:rsidR="00354B72">
        <w:t xml:space="preserve">and nominate </w:t>
      </w:r>
      <w:r w:rsidR="00C74C62" w:rsidRPr="00C74C62">
        <w:t>a preferred GP</w:t>
      </w:r>
      <w:r w:rsidR="004F2772">
        <w:t xml:space="preserve"> for their ongoing care</w:t>
      </w:r>
      <w:r w:rsidR="004C3F81">
        <w:t xml:space="preserve">. </w:t>
      </w:r>
      <w:r w:rsidR="003266F6" w:rsidRPr="003266F6">
        <w:t xml:space="preserve">When </w:t>
      </w:r>
      <w:r w:rsidR="00EC2473">
        <w:t xml:space="preserve">a </w:t>
      </w:r>
      <w:r w:rsidR="003266F6">
        <w:t>patient</w:t>
      </w:r>
      <w:r w:rsidR="003266F6" w:rsidRPr="003266F6">
        <w:t xml:space="preserve"> register</w:t>
      </w:r>
      <w:r w:rsidR="003266F6">
        <w:t>s</w:t>
      </w:r>
      <w:r w:rsidR="003266F6" w:rsidRPr="003266F6">
        <w:t xml:space="preserve"> in MyMedicare, it </w:t>
      </w:r>
      <w:r w:rsidR="00354390" w:rsidRPr="00340C3D">
        <w:t xml:space="preserve">lets </w:t>
      </w:r>
      <w:r w:rsidR="00DC2B45">
        <w:t xml:space="preserve">the person’s </w:t>
      </w:r>
      <w:r w:rsidR="00354390" w:rsidRPr="00340C3D">
        <w:t>practice or health clinic staff know</w:t>
      </w:r>
      <w:r w:rsidR="00DC2B45">
        <w:t xml:space="preserve"> </w:t>
      </w:r>
      <w:r w:rsidR="00354390" w:rsidRPr="00340C3D">
        <w:t>they have been nominated to provide care for t</w:t>
      </w:r>
      <w:r w:rsidR="00EC2473">
        <w:t>hat</w:t>
      </w:r>
      <w:r w:rsidR="00354390" w:rsidRPr="00340C3D">
        <w:t xml:space="preserve"> patien</w:t>
      </w:r>
      <w:r w:rsidR="00EC2473">
        <w:t>t</w:t>
      </w:r>
      <w:r w:rsidR="00AE0001">
        <w:t xml:space="preserve">. </w:t>
      </w:r>
    </w:p>
    <w:p w14:paraId="37A896F1" w14:textId="23B9C3CB" w:rsidR="00340C3D" w:rsidRPr="00340C3D" w:rsidRDefault="00AE0001" w:rsidP="008C6B2E">
      <w:r>
        <w:t>It also</w:t>
      </w:r>
      <w:r w:rsidR="004C3F81">
        <w:t xml:space="preserve"> allows patients to access additional Medicare benefits</w:t>
      </w:r>
      <w:r w:rsidR="00340C3D" w:rsidRPr="00340C3D">
        <w:t xml:space="preserve">. </w:t>
      </w:r>
      <w:r w:rsidR="006D7071" w:rsidRPr="00340C3D">
        <w:t xml:space="preserve">In all cases, the patient or their authorised representative may </w:t>
      </w:r>
      <w:r w:rsidR="00A274C5">
        <w:t xml:space="preserve">choose not to </w:t>
      </w:r>
      <w:r w:rsidR="002F2A34">
        <w:t>register or</w:t>
      </w:r>
      <w:r w:rsidR="00A274C5">
        <w:t xml:space="preserve"> may </w:t>
      </w:r>
      <w:r w:rsidR="006D7071" w:rsidRPr="00340C3D">
        <w:t>opt out of MyMedicare at any time.</w:t>
      </w:r>
    </w:p>
    <w:p w14:paraId="08BE74CA" w14:textId="105DF2DA" w:rsidR="008E4145" w:rsidRPr="00140572" w:rsidRDefault="00340C3D" w:rsidP="00340C3D">
      <w:pPr>
        <w:rPr>
          <w:b/>
          <w:bCs/>
          <w:i/>
          <w:iCs/>
          <w:sz w:val="12"/>
          <w:szCs w:val="16"/>
        </w:rPr>
      </w:pPr>
      <w:r w:rsidRPr="00340C3D">
        <w:t xml:space="preserve">Where </w:t>
      </w:r>
      <w:r w:rsidR="00AA0DB7">
        <w:t xml:space="preserve">a </w:t>
      </w:r>
      <w:r w:rsidRPr="00340C3D">
        <w:t xml:space="preserve">patient </w:t>
      </w:r>
      <w:r w:rsidR="00BD2CBF">
        <w:t xml:space="preserve">is </w:t>
      </w:r>
      <w:r w:rsidR="00A274C5">
        <w:t>experienc</w:t>
      </w:r>
      <w:r w:rsidR="00BD2CBF">
        <w:t>ing</w:t>
      </w:r>
      <w:r w:rsidR="00A274C5">
        <w:t xml:space="preserve"> </w:t>
      </w:r>
      <w:r w:rsidR="004F2D0A">
        <w:t>extenuating or unforeseen circumstances</w:t>
      </w:r>
      <w:r w:rsidR="00161385" w:rsidRPr="00161385">
        <w:t>, an exemption to the standard eligibility requirements may be applied by the practice to support registration.</w:t>
      </w:r>
      <w:r w:rsidR="002411BB">
        <w:br/>
      </w:r>
    </w:p>
    <w:p w14:paraId="5D074A94" w14:textId="7F64E0C1" w:rsidR="008E4145" w:rsidRPr="00AD7BB4" w:rsidRDefault="002411BB" w:rsidP="00340C3D">
      <w:pPr>
        <w:rPr>
          <w:b/>
          <w:bCs/>
          <w:i/>
          <w:iCs/>
          <w:sz w:val="28"/>
          <w:szCs w:val="36"/>
        </w:rPr>
      </w:pPr>
      <w:r>
        <w:rPr>
          <w:b/>
          <w:bCs/>
          <w:i/>
          <w:iCs/>
          <w:sz w:val="28"/>
          <w:szCs w:val="36"/>
        </w:rPr>
        <w:t>What are extenuating or unforeseen circumstances?</w:t>
      </w:r>
    </w:p>
    <w:p w14:paraId="0827153F" w14:textId="77777777" w:rsidR="001D3584" w:rsidRPr="001D3584" w:rsidRDefault="001D3584" w:rsidP="001D3584">
      <w:r w:rsidRPr="001D3584">
        <w:t>Extenuating or unforeseen circumstances recognise that some patients may be unable to meet standard MyMedicare eligibility requirements due to factors outside their control.</w:t>
      </w:r>
    </w:p>
    <w:p w14:paraId="5E66C36A" w14:textId="77777777" w:rsidR="001D3584" w:rsidRPr="001D3584" w:rsidRDefault="001D3584" w:rsidP="001D3584">
      <w:r w:rsidRPr="001D3584">
        <w:t>These include situations where a patient has been unable to attend face</w:t>
      </w:r>
      <w:r w:rsidRPr="001D3584">
        <w:noBreakHyphen/>
        <w:t>to</w:t>
      </w:r>
      <w:r w:rsidRPr="001D3584">
        <w:noBreakHyphen/>
        <w:t>face services due to:</w:t>
      </w:r>
    </w:p>
    <w:p w14:paraId="276395D2" w14:textId="77777777" w:rsidR="001D3584" w:rsidRPr="001D3584" w:rsidRDefault="001D3584" w:rsidP="001D3584">
      <w:pPr>
        <w:pStyle w:val="ListParagraph"/>
        <w:numPr>
          <w:ilvl w:val="0"/>
          <w:numId w:val="6"/>
        </w:numPr>
      </w:pPr>
      <w:r w:rsidRPr="001D3584">
        <w:t>health-related limitations</w:t>
      </w:r>
    </w:p>
    <w:p w14:paraId="32776ABD" w14:textId="77777777" w:rsidR="001D3584" w:rsidRPr="001D3584" w:rsidRDefault="001D3584" w:rsidP="001D3584">
      <w:pPr>
        <w:pStyle w:val="ListParagraph"/>
        <w:numPr>
          <w:ilvl w:val="0"/>
          <w:numId w:val="6"/>
        </w:numPr>
      </w:pPr>
      <w:r w:rsidRPr="001D3584">
        <w:t>geographic access barriers</w:t>
      </w:r>
    </w:p>
    <w:p w14:paraId="2A469925" w14:textId="77777777" w:rsidR="001D3584" w:rsidRPr="001D3584" w:rsidRDefault="001D3584" w:rsidP="001D3584">
      <w:pPr>
        <w:pStyle w:val="ListParagraph"/>
        <w:numPr>
          <w:ilvl w:val="0"/>
          <w:numId w:val="6"/>
        </w:numPr>
      </w:pPr>
      <w:r w:rsidRPr="001D3584">
        <w:t>recent relocation or disruption (for example, natural disasters or emergencies)</w:t>
      </w:r>
    </w:p>
    <w:p w14:paraId="716DFB07" w14:textId="77777777" w:rsidR="001D3584" w:rsidRPr="001D3584" w:rsidRDefault="001D3584" w:rsidP="001D3584">
      <w:pPr>
        <w:pStyle w:val="ListParagraph"/>
        <w:numPr>
          <w:ilvl w:val="0"/>
          <w:numId w:val="6"/>
        </w:numPr>
      </w:pPr>
      <w:r w:rsidRPr="001D3584">
        <w:t>other significant personal circumstances impacting access to care</w:t>
      </w:r>
    </w:p>
    <w:p w14:paraId="4F376884" w14:textId="4BB214B3" w:rsidR="001D3584" w:rsidRPr="001D3584" w:rsidRDefault="001D3584" w:rsidP="001D3584">
      <w:pPr>
        <w:rPr>
          <w:b/>
          <w:bCs/>
          <w:i/>
          <w:iCs/>
          <w:sz w:val="28"/>
          <w:szCs w:val="36"/>
        </w:rPr>
      </w:pPr>
      <w:r w:rsidRPr="001D3584">
        <w:rPr>
          <w:b/>
          <w:bCs/>
          <w:i/>
          <w:iCs/>
          <w:sz w:val="28"/>
          <w:szCs w:val="36"/>
        </w:rPr>
        <w:t xml:space="preserve">What </w:t>
      </w:r>
      <w:r w:rsidR="005F7499">
        <w:rPr>
          <w:b/>
          <w:bCs/>
          <w:i/>
          <w:iCs/>
          <w:sz w:val="28"/>
          <w:szCs w:val="36"/>
        </w:rPr>
        <w:t>has changed</w:t>
      </w:r>
      <w:r w:rsidRPr="001D3584">
        <w:rPr>
          <w:b/>
          <w:bCs/>
          <w:i/>
          <w:iCs/>
          <w:sz w:val="28"/>
          <w:szCs w:val="36"/>
        </w:rPr>
        <w:t>?</w:t>
      </w:r>
    </w:p>
    <w:p w14:paraId="3E89B812" w14:textId="77777777" w:rsidR="005F7499" w:rsidRPr="005F7499" w:rsidRDefault="005F7499" w:rsidP="005F7499">
      <w:r w:rsidRPr="005F7499">
        <w:t>The MyMedicare Program Guidelines and Registration Form have been updated to:</w:t>
      </w:r>
    </w:p>
    <w:p w14:paraId="446754CB" w14:textId="77777777" w:rsidR="005F7499" w:rsidRPr="005F7499" w:rsidRDefault="005F7499" w:rsidP="005F7499">
      <w:pPr>
        <w:pStyle w:val="ListParagraph"/>
        <w:numPr>
          <w:ilvl w:val="0"/>
          <w:numId w:val="9"/>
        </w:numPr>
      </w:pPr>
      <w:r w:rsidRPr="005F7499">
        <w:t>provide clearer definitions of extenuating or unforeseen circumstances, and</w:t>
      </w:r>
    </w:p>
    <w:p w14:paraId="4B2CC9CF" w14:textId="77777777" w:rsidR="005F7499" w:rsidRPr="005F7499" w:rsidRDefault="005F7499" w:rsidP="005F7499">
      <w:pPr>
        <w:pStyle w:val="ListParagraph"/>
        <w:numPr>
          <w:ilvl w:val="0"/>
          <w:numId w:val="9"/>
        </w:numPr>
      </w:pPr>
      <w:r w:rsidRPr="005F7499">
        <w:t>better align guidance, registration form and system processes.</w:t>
      </w:r>
    </w:p>
    <w:p w14:paraId="1046F0C7" w14:textId="77777777" w:rsidR="005F7499" w:rsidRPr="005F7499" w:rsidRDefault="005F7499" w:rsidP="005F7499">
      <w:r w:rsidRPr="005F7499">
        <w:t>This includes:</w:t>
      </w:r>
    </w:p>
    <w:p w14:paraId="0C8FCF53" w14:textId="77777777" w:rsidR="005F7499" w:rsidRPr="005F7499" w:rsidRDefault="005F7499" w:rsidP="005F7499">
      <w:pPr>
        <w:pStyle w:val="ListParagraph"/>
        <w:numPr>
          <w:ilvl w:val="0"/>
          <w:numId w:val="10"/>
        </w:numPr>
      </w:pPr>
      <w:r w:rsidRPr="005F7499">
        <w:t>introduction of a dedicated tick box for extenuating or unforeseen circumstances on the registration form</w:t>
      </w:r>
    </w:p>
    <w:p w14:paraId="04114C24" w14:textId="77777777" w:rsidR="005F7499" w:rsidRPr="005F7499" w:rsidRDefault="005F7499" w:rsidP="005F7499">
      <w:pPr>
        <w:pStyle w:val="ListParagraph"/>
        <w:numPr>
          <w:ilvl w:val="0"/>
          <w:numId w:val="10"/>
        </w:numPr>
      </w:pPr>
      <w:r w:rsidRPr="005F7499">
        <w:t xml:space="preserve">clearer separation of other exemption categories, such as: </w:t>
      </w:r>
    </w:p>
    <w:p w14:paraId="26A2C245" w14:textId="77777777" w:rsidR="005F7499" w:rsidRPr="005F7499" w:rsidRDefault="005F7499" w:rsidP="00BD08A0">
      <w:pPr>
        <w:pStyle w:val="ListParagraph"/>
        <w:numPr>
          <w:ilvl w:val="1"/>
          <w:numId w:val="10"/>
        </w:numPr>
      </w:pPr>
      <w:r w:rsidRPr="005F7499">
        <w:t>patients following their usual GP</w:t>
      </w:r>
    </w:p>
    <w:p w14:paraId="4D038597" w14:textId="77777777" w:rsidR="005F7499" w:rsidRPr="005F7499" w:rsidRDefault="005F7499" w:rsidP="00BD08A0">
      <w:pPr>
        <w:pStyle w:val="ListParagraph"/>
        <w:numPr>
          <w:ilvl w:val="1"/>
          <w:numId w:val="10"/>
        </w:numPr>
      </w:pPr>
      <w:r w:rsidRPr="005F7499">
        <w:t>patients experiencing homelessness</w:t>
      </w:r>
    </w:p>
    <w:p w14:paraId="1B28D85C" w14:textId="77777777" w:rsidR="005F7499" w:rsidRPr="005F7499" w:rsidRDefault="005F7499" w:rsidP="00BD08A0">
      <w:pPr>
        <w:pStyle w:val="ListParagraph"/>
        <w:numPr>
          <w:ilvl w:val="1"/>
          <w:numId w:val="10"/>
        </w:numPr>
      </w:pPr>
      <w:r w:rsidRPr="005F7499">
        <w:t>patients experiencing family and domestic violence</w:t>
      </w:r>
    </w:p>
    <w:p w14:paraId="0901077C" w14:textId="77777777" w:rsidR="005F7499" w:rsidRPr="005F7499" w:rsidRDefault="005F7499" w:rsidP="00BD08A0">
      <w:pPr>
        <w:pStyle w:val="ListParagraph"/>
        <w:numPr>
          <w:ilvl w:val="1"/>
          <w:numId w:val="10"/>
        </w:numPr>
      </w:pPr>
      <w:r w:rsidRPr="005F7499">
        <w:t>patients living in a residential aged care home</w:t>
      </w:r>
    </w:p>
    <w:p w14:paraId="0788CD28" w14:textId="77777777" w:rsidR="005F7499" w:rsidRPr="005F7499" w:rsidRDefault="005F7499" w:rsidP="005F7499">
      <w:r w:rsidRPr="005F7499">
        <w:t>These changes improve clarity and support more consistent application of exemptions across practices.</w:t>
      </w:r>
    </w:p>
    <w:p w14:paraId="63F882B1" w14:textId="77777777" w:rsidR="001D3584" w:rsidRPr="005F7499" w:rsidRDefault="001D3584" w:rsidP="00340C3D"/>
    <w:p w14:paraId="08258C24" w14:textId="2F9D8945" w:rsidR="00BD08A0" w:rsidRPr="001D3584" w:rsidRDefault="00BD08A0" w:rsidP="00BD08A0">
      <w:pPr>
        <w:rPr>
          <w:b/>
          <w:bCs/>
          <w:i/>
          <w:iCs/>
          <w:sz w:val="28"/>
          <w:szCs w:val="36"/>
        </w:rPr>
      </w:pPr>
      <w:r w:rsidRPr="001D3584">
        <w:rPr>
          <w:b/>
          <w:bCs/>
          <w:i/>
          <w:iCs/>
          <w:sz w:val="28"/>
          <w:szCs w:val="36"/>
        </w:rPr>
        <w:t>Wh</w:t>
      </w:r>
      <w:r>
        <w:rPr>
          <w:b/>
          <w:bCs/>
          <w:i/>
          <w:iCs/>
          <w:sz w:val="28"/>
          <w:szCs w:val="36"/>
        </w:rPr>
        <w:t>en should this exemption be used</w:t>
      </w:r>
      <w:r w:rsidRPr="001D3584">
        <w:rPr>
          <w:b/>
          <w:bCs/>
          <w:i/>
          <w:iCs/>
          <w:sz w:val="28"/>
          <w:szCs w:val="36"/>
        </w:rPr>
        <w:t>?</w:t>
      </w:r>
    </w:p>
    <w:p w14:paraId="237E0617" w14:textId="611ADB84" w:rsidR="00BD08A0" w:rsidRPr="005F7499" w:rsidRDefault="007061CC" w:rsidP="00BD08A0">
      <w:r>
        <w:t xml:space="preserve">Practices should consider applying an exemption where: </w:t>
      </w:r>
    </w:p>
    <w:p w14:paraId="120AB89D" w14:textId="1BCD91F9" w:rsidR="007061CC" w:rsidRPr="004305D6" w:rsidRDefault="007061CC" w:rsidP="00BD08A0">
      <w:pPr>
        <w:pStyle w:val="ListParagraph"/>
        <w:numPr>
          <w:ilvl w:val="0"/>
          <w:numId w:val="9"/>
        </w:numPr>
      </w:pPr>
      <w:r w:rsidRPr="004305D6">
        <w:t xml:space="preserve">a patient does not meet standard eligibility requirements and </w:t>
      </w:r>
    </w:p>
    <w:p w14:paraId="399530C8" w14:textId="2FAC1939" w:rsidR="00BD08A0" w:rsidRPr="004305D6" w:rsidRDefault="007061CC" w:rsidP="00BD08A0">
      <w:pPr>
        <w:pStyle w:val="ListParagraph"/>
        <w:numPr>
          <w:ilvl w:val="0"/>
          <w:numId w:val="9"/>
        </w:numPr>
      </w:pPr>
      <w:r w:rsidRPr="004305D6">
        <w:t>there are valid circumstances that have limited their ability to access care.</w:t>
      </w:r>
    </w:p>
    <w:p w14:paraId="2B7D41D3" w14:textId="1FE372EB" w:rsidR="00BD08A0" w:rsidRPr="005F7499" w:rsidRDefault="00BD08A0" w:rsidP="00BD08A0">
      <w:r w:rsidRPr="005F7499">
        <w:t>Th</w:t>
      </w:r>
      <w:r w:rsidR="007061CC">
        <w:t>e practice is responsible for applying the appropriate exemption at the time of registration.</w:t>
      </w:r>
    </w:p>
    <w:p w14:paraId="46DD300C" w14:textId="77777777" w:rsidR="001D3584" w:rsidRPr="005F7499" w:rsidRDefault="001D3584" w:rsidP="00340C3D"/>
    <w:p w14:paraId="5B325215" w14:textId="37D829D2" w:rsidR="007061CC" w:rsidRPr="001D3584" w:rsidRDefault="007061CC" w:rsidP="007061CC">
      <w:pPr>
        <w:rPr>
          <w:b/>
          <w:bCs/>
          <w:i/>
          <w:iCs/>
          <w:sz w:val="28"/>
          <w:szCs w:val="36"/>
        </w:rPr>
      </w:pPr>
      <w:r w:rsidRPr="001D3584">
        <w:rPr>
          <w:b/>
          <w:bCs/>
          <w:i/>
          <w:iCs/>
          <w:sz w:val="28"/>
          <w:szCs w:val="36"/>
        </w:rPr>
        <w:t>Wh</w:t>
      </w:r>
      <w:r>
        <w:rPr>
          <w:b/>
          <w:bCs/>
          <w:i/>
          <w:iCs/>
          <w:sz w:val="28"/>
          <w:szCs w:val="36"/>
        </w:rPr>
        <w:t>at practices need to do</w:t>
      </w:r>
    </w:p>
    <w:p w14:paraId="5B50718D" w14:textId="77777777" w:rsidR="004305D6" w:rsidRPr="004305D6" w:rsidRDefault="004305D6" w:rsidP="004305D6">
      <w:pPr>
        <w:pStyle w:val="ListParagraph"/>
        <w:numPr>
          <w:ilvl w:val="0"/>
          <w:numId w:val="6"/>
        </w:numPr>
      </w:pPr>
      <w:r w:rsidRPr="004305D6">
        <w:t>Confirm whether the patient meets standard eligibility requirements.</w:t>
      </w:r>
    </w:p>
    <w:p w14:paraId="38211F37" w14:textId="77777777" w:rsidR="004305D6" w:rsidRPr="004305D6" w:rsidRDefault="004305D6" w:rsidP="004305D6">
      <w:pPr>
        <w:pStyle w:val="ListParagraph"/>
        <w:numPr>
          <w:ilvl w:val="0"/>
          <w:numId w:val="6"/>
        </w:numPr>
      </w:pPr>
      <w:r w:rsidRPr="004305D6">
        <w:t>Where requirements are not met, assess whether an exemption pathway applies.</w:t>
      </w:r>
    </w:p>
    <w:p w14:paraId="69B75785" w14:textId="77777777" w:rsidR="004305D6" w:rsidRPr="004305D6" w:rsidRDefault="004305D6" w:rsidP="004305D6">
      <w:pPr>
        <w:pStyle w:val="ListParagraph"/>
        <w:numPr>
          <w:ilvl w:val="0"/>
          <w:numId w:val="6"/>
        </w:numPr>
      </w:pPr>
      <w:r w:rsidRPr="004305D6">
        <w:t>Select the appropriate category on the MyMedicare Registration Form.</w:t>
      </w:r>
    </w:p>
    <w:p w14:paraId="39A581A7" w14:textId="0493301A" w:rsidR="004305D6" w:rsidRPr="004305D6" w:rsidRDefault="004305D6" w:rsidP="004305D6">
      <w:pPr>
        <w:pStyle w:val="ListParagraph"/>
        <w:numPr>
          <w:ilvl w:val="0"/>
          <w:numId w:val="6"/>
        </w:numPr>
      </w:pPr>
      <w:r w:rsidRPr="004305D6">
        <w:t>Ensure records are maintained in line with existing compliance and record</w:t>
      </w:r>
      <w:r w:rsidRPr="004305D6">
        <w:noBreakHyphen/>
        <w:t>keeping requirements.</w:t>
      </w:r>
      <w:r w:rsidR="00A657A2">
        <w:br/>
      </w:r>
    </w:p>
    <w:p w14:paraId="2273980F" w14:textId="1D8966C2" w:rsidR="00A657A2" w:rsidRPr="001D3584" w:rsidRDefault="00A657A2" w:rsidP="00A657A2">
      <w:pPr>
        <w:rPr>
          <w:b/>
          <w:bCs/>
          <w:i/>
          <w:iCs/>
          <w:sz w:val="28"/>
          <w:szCs w:val="36"/>
        </w:rPr>
      </w:pPr>
      <w:r>
        <w:rPr>
          <w:b/>
          <w:bCs/>
          <w:i/>
          <w:iCs/>
          <w:sz w:val="28"/>
          <w:szCs w:val="36"/>
        </w:rPr>
        <w:t>Important to note</w:t>
      </w:r>
    </w:p>
    <w:p w14:paraId="5191779D" w14:textId="232A6DBE" w:rsidR="00A657A2" w:rsidRPr="00A657A2" w:rsidRDefault="00A657A2" w:rsidP="00A657A2">
      <w:pPr>
        <w:pStyle w:val="ListParagraph"/>
        <w:numPr>
          <w:ilvl w:val="0"/>
          <w:numId w:val="12"/>
        </w:numPr>
      </w:pPr>
      <w:r w:rsidRPr="00A657A2">
        <w:t xml:space="preserve">Exemptions are intended to support patients experiencing genuine barriers to care. </w:t>
      </w:r>
    </w:p>
    <w:p w14:paraId="54A694E8" w14:textId="348BAB10" w:rsidR="00A657A2" w:rsidRPr="00A657A2" w:rsidRDefault="00A657A2" w:rsidP="00A657A2">
      <w:pPr>
        <w:pStyle w:val="ListParagraph"/>
        <w:numPr>
          <w:ilvl w:val="0"/>
          <w:numId w:val="12"/>
        </w:numPr>
      </w:pPr>
      <w:r w:rsidRPr="00A657A2">
        <w:t xml:space="preserve">The most appropriate exemption category should be selected (not all circumstances fall under extenuating/unforeseen). </w:t>
      </w:r>
    </w:p>
    <w:p w14:paraId="15AB5E14" w14:textId="702F7A33" w:rsidR="00A657A2" w:rsidRPr="00A657A2" w:rsidRDefault="00A657A2" w:rsidP="00A657A2">
      <w:pPr>
        <w:pStyle w:val="ListParagraph"/>
        <w:numPr>
          <w:ilvl w:val="0"/>
          <w:numId w:val="12"/>
        </w:numPr>
      </w:pPr>
      <w:r w:rsidRPr="00A657A2">
        <w:t>Applying the correct category supports accurate reporting and program integrity.</w:t>
      </w:r>
      <w:r>
        <w:br/>
      </w:r>
    </w:p>
    <w:p w14:paraId="17AEDDF4" w14:textId="53AAAC8F" w:rsidR="00340C3D" w:rsidRPr="00AD7BB4" w:rsidRDefault="00A657A2" w:rsidP="00340C3D">
      <w:pPr>
        <w:rPr>
          <w:b/>
          <w:bCs/>
          <w:sz w:val="28"/>
          <w:szCs w:val="36"/>
        </w:rPr>
      </w:pPr>
      <w:r>
        <w:rPr>
          <w:b/>
          <w:bCs/>
          <w:i/>
          <w:iCs/>
          <w:sz w:val="28"/>
          <w:szCs w:val="36"/>
        </w:rPr>
        <w:t xml:space="preserve">Further </w:t>
      </w:r>
      <w:r w:rsidR="006C6675">
        <w:rPr>
          <w:b/>
          <w:bCs/>
          <w:i/>
          <w:iCs/>
          <w:sz w:val="28"/>
          <w:szCs w:val="36"/>
        </w:rPr>
        <w:t>information</w:t>
      </w:r>
    </w:p>
    <w:p w14:paraId="47140F6D" w14:textId="77777777" w:rsidR="00903CAF" w:rsidRDefault="00340C3D" w:rsidP="007736E2">
      <w:r w:rsidRPr="00340C3D">
        <w:t xml:space="preserve">For further information about MyMedicare registration pathways please </w:t>
      </w:r>
      <w:r w:rsidR="00646680">
        <w:t>refer to</w:t>
      </w:r>
      <w:r w:rsidR="00903CAF">
        <w:t xml:space="preserve">: </w:t>
      </w:r>
    </w:p>
    <w:p w14:paraId="7DFCE707" w14:textId="77777777" w:rsidR="00903CAF" w:rsidRDefault="00646680" w:rsidP="00522FA5">
      <w:pPr>
        <w:pStyle w:val="ListParagraph"/>
        <w:numPr>
          <w:ilvl w:val="0"/>
          <w:numId w:val="13"/>
        </w:numPr>
        <w:spacing w:line="480" w:lineRule="auto"/>
      </w:pPr>
      <w:hyperlink r:id="rId11" w:anchor="fact-sheets" w:history="1">
        <w:r w:rsidRPr="0077020A">
          <w:rPr>
            <w:rStyle w:val="Hyperlink"/>
          </w:rPr>
          <w:t>Resources for MyMedicare general practices and healthcare providers</w:t>
        </w:r>
      </w:hyperlink>
      <w:r w:rsidR="00903CAF">
        <w:t>;</w:t>
      </w:r>
    </w:p>
    <w:p w14:paraId="5D073DB3" w14:textId="77777777" w:rsidR="00903CAF" w:rsidRDefault="00903CAF" w:rsidP="00522FA5">
      <w:pPr>
        <w:pStyle w:val="ListParagraph"/>
        <w:numPr>
          <w:ilvl w:val="0"/>
          <w:numId w:val="13"/>
        </w:numPr>
        <w:spacing w:line="480" w:lineRule="auto"/>
      </w:pPr>
      <w:r>
        <w:t>E</w:t>
      </w:r>
      <w:r w:rsidR="00340C3D" w:rsidRPr="00340C3D">
        <w:t xml:space="preserve">mail </w:t>
      </w:r>
      <w:hyperlink r:id="rId12" w:history="1">
        <w:r w:rsidR="00340C3D" w:rsidRPr="00340C3D">
          <w:rPr>
            <w:rStyle w:val="Hyperlink"/>
          </w:rPr>
          <w:t>MyMedicare@health.gov.au</w:t>
        </w:r>
      </w:hyperlink>
      <w:r w:rsidR="00340C3D" w:rsidRPr="00340C3D">
        <w:t>.</w:t>
      </w:r>
      <w:r>
        <w:t>; or</w:t>
      </w:r>
    </w:p>
    <w:p w14:paraId="42221162" w14:textId="21DBE744" w:rsidR="00903CAF" w:rsidRPr="00903CAF" w:rsidRDefault="00903CAF" w:rsidP="00522FA5">
      <w:pPr>
        <w:pStyle w:val="ListParagraph"/>
        <w:numPr>
          <w:ilvl w:val="0"/>
          <w:numId w:val="13"/>
        </w:numPr>
        <w:spacing w:line="480" w:lineRule="auto"/>
        <w:ind w:right="-46"/>
      </w:pPr>
      <w:hyperlink r:id="rId13" w:history="1">
        <w:r w:rsidRPr="00522FA5">
          <w:rPr>
            <w:rStyle w:val="Hyperlink"/>
            <w:i/>
            <w:iCs/>
          </w:rPr>
          <w:t>MyMedicare Program Guidelines</w:t>
        </w:r>
      </w:hyperlink>
      <w:r w:rsidRPr="00903CAF">
        <w:t xml:space="preserve"> (Section 6.4 – Exemptions to patient eligibility requirements).</w:t>
      </w:r>
    </w:p>
    <w:p w14:paraId="173AF097" w14:textId="77777777" w:rsidR="00903CAF" w:rsidRPr="00F746C0" w:rsidRDefault="00903CAF" w:rsidP="00522FA5">
      <w:pPr>
        <w:spacing w:line="480" w:lineRule="auto"/>
      </w:pPr>
    </w:p>
    <w:sectPr w:rsidR="00903CAF" w:rsidRPr="00F746C0" w:rsidSect="00BD08A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440" w:bottom="1276" w:left="1440" w:header="708" w:footer="3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40DC9" w14:textId="77777777" w:rsidR="00315DD1" w:rsidRDefault="00315DD1" w:rsidP="00340C3D">
      <w:pPr>
        <w:spacing w:after="0" w:line="240" w:lineRule="auto"/>
      </w:pPr>
      <w:r>
        <w:separator/>
      </w:r>
    </w:p>
  </w:endnote>
  <w:endnote w:type="continuationSeparator" w:id="0">
    <w:p w14:paraId="53BD8ED5" w14:textId="77777777" w:rsidR="00315DD1" w:rsidRDefault="00315DD1" w:rsidP="00340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35543" w14:textId="2044F47C" w:rsidR="00340C3D" w:rsidRDefault="00340C3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0640780" wp14:editId="562958B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91160"/>
              <wp:effectExtent l="0" t="0" r="6350" b="0"/>
              <wp:wrapNone/>
              <wp:docPr id="1279050157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AC5337" w14:textId="6C012EEF" w:rsidR="00340C3D" w:rsidRPr="00340C3D" w:rsidRDefault="00340C3D" w:rsidP="00340C3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340C3D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64078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49pt;height:30.8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" filled="f" stroked="f">
              <v:textbox style="mso-fit-shape-to-text:t" inset="0,0,0,15pt">
                <w:txbxContent>
                  <w:p w14:paraId="16AC5337" w14:textId="6C012EEF" w:rsidR="00340C3D" w:rsidRPr="00340C3D" w:rsidRDefault="00340C3D" w:rsidP="00340C3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340C3D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B5D70" w14:textId="5A91613E" w:rsidR="00B245EF" w:rsidRDefault="00B245EF" w:rsidP="00BD08A0">
    <w:pPr>
      <w:pStyle w:val="Footer"/>
      <w:pBdr>
        <w:top w:val="single" w:sz="4" w:space="0" w:color="D9D9D9" w:themeColor="background1" w:themeShade="D9"/>
      </w:pBdr>
      <w:rPr>
        <w:rFonts w:ascii="Calibri" w:hAnsi="Calibri" w:cs="Calibri"/>
      </w:rPr>
    </w:pPr>
  </w:p>
  <w:p w14:paraId="2C73C44A" w14:textId="21B16D86" w:rsidR="00B245EF" w:rsidRDefault="00B245EF" w:rsidP="00BD08A0">
    <w:pPr>
      <w:pStyle w:val="Footer"/>
      <w:pBdr>
        <w:top w:val="single" w:sz="4" w:space="0" w:color="D9D9D9" w:themeColor="background1" w:themeShade="D9"/>
      </w:pBdr>
      <w:rPr>
        <w:rFonts w:ascii="Calibri" w:hAnsi="Calibri" w:cs="Calibri"/>
      </w:rPr>
    </w:pPr>
  </w:p>
  <w:p w14:paraId="16E3F929" w14:textId="3FFF248A" w:rsidR="00AE34E7" w:rsidRDefault="00BD08A0" w:rsidP="00BD08A0">
    <w:pPr>
      <w:pStyle w:val="Footer"/>
      <w:pBdr>
        <w:top w:val="single" w:sz="4" w:space="0" w:color="D9D9D9" w:themeColor="background1" w:themeShade="D9"/>
      </w:pBdr>
      <w:rPr>
        <w:rFonts w:ascii="Calibri" w:hAnsi="Calibri" w:cs="Calibri"/>
        <w:color w:val="808080" w:themeColor="background1" w:themeShade="80"/>
        <w:sz w:val="28"/>
        <w:szCs w:val="36"/>
      </w:rPr>
    </w:pPr>
    <w:r w:rsidRPr="00AE34E7">
      <w:rPr>
        <w:rFonts w:ascii="Calibri" w:hAnsi="Calibri" w:cs="Calibri"/>
        <w:noProof/>
        <w:color w:val="808080" w:themeColor="background1" w:themeShade="80"/>
        <w:sz w:val="28"/>
        <w:szCs w:val="36"/>
      </w:rPr>
      <w:drawing>
        <wp:inline distT="0" distB="0" distL="0" distR="0" wp14:anchorId="3A2999BA" wp14:editId="68FB3502">
          <wp:extent cx="2383634" cy="466725"/>
          <wp:effectExtent l="0" t="0" r="0" b="0"/>
          <wp:docPr id="195974309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6412" cy="471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F9962E" w14:textId="190FB2C1" w:rsidR="00340C3D" w:rsidRPr="00B245EF" w:rsidRDefault="00340C3D" w:rsidP="00BD08A0">
    <w:pPr>
      <w:pStyle w:val="Footer"/>
      <w:pBdr>
        <w:top w:val="single" w:sz="4" w:space="0" w:color="D9D9D9" w:themeColor="background1" w:themeShade="D9"/>
      </w:pBdr>
      <w:rPr>
        <w:rFonts w:ascii="Calibri" w:hAnsi="Calibri" w:cs="Calibri"/>
        <w:color w:val="808080" w:themeColor="background1" w:themeShade="80"/>
        <w:sz w:val="28"/>
        <w:szCs w:val="3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9C53E" w14:textId="24F10151" w:rsidR="00340C3D" w:rsidRDefault="00340C3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CCC52D9" wp14:editId="61A7711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91160"/>
              <wp:effectExtent l="0" t="0" r="6350" b="0"/>
              <wp:wrapNone/>
              <wp:docPr id="1630028815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391ADB" w14:textId="45C812AF" w:rsidR="00340C3D" w:rsidRPr="00340C3D" w:rsidRDefault="00340C3D" w:rsidP="00340C3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340C3D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CC52D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OFFICIAL" style="position:absolute;margin-left:0;margin-top:0;width:49pt;height:30.8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" filled="f" stroked="f">
              <v:textbox style="mso-fit-shape-to-text:t" inset="0,0,0,15pt">
                <w:txbxContent>
                  <w:p w14:paraId="4C391ADB" w14:textId="45C812AF" w:rsidR="00340C3D" w:rsidRPr="00340C3D" w:rsidRDefault="00340C3D" w:rsidP="00340C3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340C3D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71DE7" w14:textId="77777777" w:rsidR="00315DD1" w:rsidRDefault="00315DD1" w:rsidP="00340C3D">
      <w:pPr>
        <w:spacing w:after="0" w:line="240" w:lineRule="auto"/>
      </w:pPr>
      <w:r>
        <w:separator/>
      </w:r>
    </w:p>
  </w:footnote>
  <w:footnote w:type="continuationSeparator" w:id="0">
    <w:p w14:paraId="2ADCFAF8" w14:textId="77777777" w:rsidR="00315DD1" w:rsidRDefault="00315DD1" w:rsidP="00340C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4E0FE" w14:textId="5CBDE065" w:rsidR="00340C3D" w:rsidRDefault="00340C3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B565D93" wp14:editId="2EF762F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91160"/>
              <wp:effectExtent l="0" t="0" r="6350" b="8890"/>
              <wp:wrapNone/>
              <wp:docPr id="1168777891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6BAD19" w14:textId="02DC58E6" w:rsidR="00340C3D" w:rsidRPr="00340C3D" w:rsidRDefault="00340C3D" w:rsidP="00340C3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340C3D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565D9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30.8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" filled="f" stroked="f">
              <v:textbox style="mso-fit-shape-to-text:t" inset="0,15pt,0,0">
                <w:txbxContent>
                  <w:p w14:paraId="096BAD19" w14:textId="02DC58E6" w:rsidR="00340C3D" w:rsidRPr="00340C3D" w:rsidRDefault="00340C3D" w:rsidP="00340C3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340C3D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51FCE" w14:textId="1DE82C2B" w:rsidR="00340C3D" w:rsidRPr="00BA5CD0" w:rsidRDefault="008025C2" w:rsidP="00BA5CD0">
    <w:pPr>
      <w:pStyle w:val="Header"/>
    </w:pPr>
    <w:r>
      <w:rPr>
        <w:noProof/>
      </w:rPr>
      <w:drawing>
        <wp:anchor distT="0" distB="0" distL="114300" distR="114300" simplePos="0" relativeHeight="251667456" behindDoc="1" locked="0" layoutInCell="1" allowOverlap="1" wp14:anchorId="6EF31ED9" wp14:editId="0662A780">
          <wp:simplePos x="0" y="0"/>
          <wp:positionH relativeFrom="page">
            <wp:align>left</wp:align>
          </wp:positionH>
          <wp:positionV relativeFrom="page">
            <wp:posOffset>29845</wp:posOffset>
          </wp:positionV>
          <wp:extent cx="7560000" cy="979200"/>
          <wp:effectExtent l="0" t="0" r="3175" b="0"/>
          <wp:wrapNone/>
          <wp:docPr id="1278455619" name="Picture 127845561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97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E0C61" w:rsidRPr="007E0C61">
      <w:rPr>
        <w:noProof/>
      </w:rPr>
      <w:drawing>
        <wp:anchor distT="0" distB="0" distL="114300" distR="114300" simplePos="0" relativeHeight="251665408" behindDoc="1" locked="0" layoutInCell="1" allowOverlap="1" wp14:anchorId="2B7F2901" wp14:editId="49058E85">
          <wp:simplePos x="0" y="0"/>
          <wp:positionH relativeFrom="column">
            <wp:posOffset>3486150</wp:posOffset>
          </wp:positionH>
          <wp:positionV relativeFrom="paragraph">
            <wp:posOffset>-201930</wp:posOffset>
          </wp:positionV>
          <wp:extent cx="2790825" cy="662305"/>
          <wp:effectExtent l="0" t="0" r="9525" b="4445"/>
          <wp:wrapNone/>
          <wp:docPr id="125981390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135038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90825" cy="662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E0C61">
      <w:tab/>
    </w:r>
    <w:r w:rsidR="007E0C61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19069" w14:textId="3535DE7E" w:rsidR="00340C3D" w:rsidRDefault="00340C3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EA56163" wp14:editId="558178E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91160"/>
              <wp:effectExtent l="0" t="0" r="6350" b="8890"/>
              <wp:wrapNone/>
              <wp:docPr id="258924828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2FBAED" w14:textId="14230EA9" w:rsidR="00340C3D" w:rsidRPr="00340C3D" w:rsidRDefault="00340C3D" w:rsidP="00340C3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340C3D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A5616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9pt;height:30.8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" filled="f" stroked="f">
              <v:textbox style="mso-fit-shape-to-text:t" inset="0,15pt,0,0">
                <w:txbxContent>
                  <w:p w14:paraId="7A2FBAED" w14:textId="14230EA9" w:rsidR="00340C3D" w:rsidRPr="00340C3D" w:rsidRDefault="00340C3D" w:rsidP="00340C3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340C3D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438B4"/>
    <w:multiLevelType w:val="multilevel"/>
    <w:tmpl w:val="10B09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02258B"/>
    <w:multiLevelType w:val="hybridMultilevel"/>
    <w:tmpl w:val="0C3817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9A06ED"/>
    <w:multiLevelType w:val="multilevel"/>
    <w:tmpl w:val="B3729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01583E"/>
    <w:multiLevelType w:val="hybridMultilevel"/>
    <w:tmpl w:val="198A30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DD6AC4"/>
    <w:multiLevelType w:val="hybridMultilevel"/>
    <w:tmpl w:val="4C70DA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E15989"/>
    <w:multiLevelType w:val="multilevel"/>
    <w:tmpl w:val="408CCE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626C36"/>
    <w:multiLevelType w:val="multilevel"/>
    <w:tmpl w:val="4CB4E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E57915"/>
    <w:multiLevelType w:val="hybridMultilevel"/>
    <w:tmpl w:val="BC06CC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2872DA"/>
    <w:multiLevelType w:val="multilevel"/>
    <w:tmpl w:val="E31C4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836E36"/>
    <w:multiLevelType w:val="multilevel"/>
    <w:tmpl w:val="C30E8EC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EAB65C6"/>
    <w:multiLevelType w:val="multilevel"/>
    <w:tmpl w:val="7652B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AA6CBF"/>
    <w:multiLevelType w:val="hybridMultilevel"/>
    <w:tmpl w:val="0C5681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610F61"/>
    <w:multiLevelType w:val="hybridMultilevel"/>
    <w:tmpl w:val="4B8EEA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7733448">
    <w:abstractNumId w:val="5"/>
    <w:lvlOverride w:ilvl="0">
      <w:startOverride w:val="1"/>
    </w:lvlOverride>
  </w:num>
  <w:num w:numId="2" w16cid:durableId="1127234144">
    <w:abstractNumId w:val="9"/>
    <w:lvlOverride w:ilvl="0">
      <w:startOverride w:val="1"/>
    </w:lvlOverride>
  </w:num>
  <w:num w:numId="3" w16cid:durableId="1071006841">
    <w:abstractNumId w:val="3"/>
  </w:num>
  <w:num w:numId="4" w16cid:durableId="410397320">
    <w:abstractNumId w:val="2"/>
  </w:num>
  <w:num w:numId="5" w16cid:durableId="1908298291">
    <w:abstractNumId w:val="8"/>
  </w:num>
  <w:num w:numId="6" w16cid:durableId="116611412">
    <w:abstractNumId w:val="4"/>
  </w:num>
  <w:num w:numId="7" w16cid:durableId="256837380">
    <w:abstractNumId w:val="0"/>
  </w:num>
  <w:num w:numId="8" w16cid:durableId="1729568583">
    <w:abstractNumId w:val="6"/>
  </w:num>
  <w:num w:numId="9" w16cid:durableId="1031996839">
    <w:abstractNumId w:val="12"/>
  </w:num>
  <w:num w:numId="10" w16cid:durableId="1782608672">
    <w:abstractNumId w:val="11"/>
  </w:num>
  <w:num w:numId="11" w16cid:durableId="1082989217">
    <w:abstractNumId w:val="10"/>
  </w:num>
  <w:num w:numId="12" w16cid:durableId="1546600325">
    <w:abstractNumId w:val="1"/>
  </w:num>
  <w:num w:numId="13" w16cid:durableId="8758938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C3D"/>
    <w:rsid w:val="0000638D"/>
    <w:rsid w:val="0001040A"/>
    <w:rsid w:val="00040B8B"/>
    <w:rsid w:val="00063129"/>
    <w:rsid w:val="000721C8"/>
    <w:rsid w:val="00083395"/>
    <w:rsid w:val="000A7AD2"/>
    <w:rsid w:val="000B00A2"/>
    <w:rsid w:val="000B2D80"/>
    <w:rsid w:val="000B3B4C"/>
    <w:rsid w:val="000C0BE5"/>
    <w:rsid w:val="000D41FF"/>
    <w:rsid w:val="00101262"/>
    <w:rsid w:val="00112C68"/>
    <w:rsid w:val="001245BE"/>
    <w:rsid w:val="00131CA6"/>
    <w:rsid w:val="00134EB7"/>
    <w:rsid w:val="0013733A"/>
    <w:rsid w:val="00140572"/>
    <w:rsid w:val="001458AF"/>
    <w:rsid w:val="00150728"/>
    <w:rsid w:val="0015389F"/>
    <w:rsid w:val="00156C0F"/>
    <w:rsid w:val="00161385"/>
    <w:rsid w:val="00165666"/>
    <w:rsid w:val="00182EF3"/>
    <w:rsid w:val="00195784"/>
    <w:rsid w:val="001B00E9"/>
    <w:rsid w:val="001B03D2"/>
    <w:rsid w:val="001B502A"/>
    <w:rsid w:val="001B7414"/>
    <w:rsid w:val="001C4413"/>
    <w:rsid w:val="001C5B4E"/>
    <w:rsid w:val="001D3584"/>
    <w:rsid w:val="001D60A4"/>
    <w:rsid w:val="001E64C2"/>
    <w:rsid w:val="001F28E2"/>
    <w:rsid w:val="002411BB"/>
    <w:rsid w:val="00251E5D"/>
    <w:rsid w:val="00271F67"/>
    <w:rsid w:val="00280050"/>
    <w:rsid w:val="00292503"/>
    <w:rsid w:val="00295548"/>
    <w:rsid w:val="002976CC"/>
    <w:rsid w:val="002A4FB7"/>
    <w:rsid w:val="002D45AA"/>
    <w:rsid w:val="002F2A34"/>
    <w:rsid w:val="002F7851"/>
    <w:rsid w:val="00315DD1"/>
    <w:rsid w:val="003214D5"/>
    <w:rsid w:val="003266F6"/>
    <w:rsid w:val="003316E1"/>
    <w:rsid w:val="0033352F"/>
    <w:rsid w:val="00340C3D"/>
    <w:rsid w:val="00346723"/>
    <w:rsid w:val="00354390"/>
    <w:rsid w:val="00354B72"/>
    <w:rsid w:val="003617D9"/>
    <w:rsid w:val="0036243D"/>
    <w:rsid w:val="00363EF6"/>
    <w:rsid w:val="00374C83"/>
    <w:rsid w:val="00386501"/>
    <w:rsid w:val="00390C96"/>
    <w:rsid w:val="003A50DD"/>
    <w:rsid w:val="003B5D69"/>
    <w:rsid w:val="003F29C3"/>
    <w:rsid w:val="003F628C"/>
    <w:rsid w:val="00406B4C"/>
    <w:rsid w:val="0042278C"/>
    <w:rsid w:val="00423F4A"/>
    <w:rsid w:val="0042509B"/>
    <w:rsid w:val="00425E47"/>
    <w:rsid w:val="004305D6"/>
    <w:rsid w:val="00433CFC"/>
    <w:rsid w:val="00482CD1"/>
    <w:rsid w:val="004B230A"/>
    <w:rsid w:val="004C3F81"/>
    <w:rsid w:val="004D0ECA"/>
    <w:rsid w:val="004E4F8B"/>
    <w:rsid w:val="004F2772"/>
    <w:rsid w:val="004F2D0A"/>
    <w:rsid w:val="004F2E5D"/>
    <w:rsid w:val="00500099"/>
    <w:rsid w:val="00512433"/>
    <w:rsid w:val="00522FA5"/>
    <w:rsid w:val="00531181"/>
    <w:rsid w:val="00563128"/>
    <w:rsid w:val="005A4476"/>
    <w:rsid w:val="005D204F"/>
    <w:rsid w:val="005D46AE"/>
    <w:rsid w:val="005E1F17"/>
    <w:rsid w:val="005E674A"/>
    <w:rsid w:val="005F7499"/>
    <w:rsid w:val="006003FE"/>
    <w:rsid w:val="00601C4F"/>
    <w:rsid w:val="006244A5"/>
    <w:rsid w:val="00624584"/>
    <w:rsid w:val="00627F13"/>
    <w:rsid w:val="00631AA8"/>
    <w:rsid w:val="00637F50"/>
    <w:rsid w:val="00644CB2"/>
    <w:rsid w:val="00646680"/>
    <w:rsid w:val="00655029"/>
    <w:rsid w:val="006651A0"/>
    <w:rsid w:val="00665242"/>
    <w:rsid w:val="00686C42"/>
    <w:rsid w:val="006A4845"/>
    <w:rsid w:val="006A51F8"/>
    <w:rsid w:val="006A7465"/>
    <w:rsid w:val="006C6675"/>
    <w:rsid w:val="006C78B1"/>
    <w:rsid w:val="006D39F3"/>
    <w:rsid w:val="006D7071"/>
    <w:rsid w:val="006E05ED"/>
    <w:rsid w:val="007061CC"/>
    <w:rsid w:val="00710D75"/>
    <w:rsid w:val="0072093D"/>
    <w:rsid w:val="00735EF4"/>
    <w:rsid w:val="007406B0"/>
    <w:rsid w:val="00766264"/>
    <w:rsid w:val="0077020A"/>
    <w:rsid w:val="007736E2"/>
    <w:rsid w:val="007937B0"/>
    <w:rsid w:val="00794CFB"/>
    <w:rsid w:val="00795CA7"/>
    <w:rsid w:val="007B58E5"/>
    <w:rsid w:val="007B5916"/>
    <w:rsid w:val="007E0C61"/>
    <w:rsid w:val="007F5B5A"/>
    <w:rsid w:val="008025C2"/>
    <w:rsid w:val="00815736"/>
    <w:rsid w:val="00833C56"/>
    <w:rsid w:val="00836B7B"/>
    <w:rsid w:val="00874D27"/>
    <w:rsid w:val="008912EF"/>
    <w:rsid w:val="008A3782"/>
    <w:rsid w:val="008A4478"/>
    <w:rsid w:val="008C6B2E"/>
    <w:rsid w:val="008E4145"/>
    <w:rsid w:val="008F3291"/>
    <w:rsid w:val="009025D3"/>
    <w:rsid w:val="00903CAF"/>
    <w:rsid w:val="00911DB3"/>
    <w:rsid w:val="00920DAB"/>
    <w:rsid w:val="00925AA4"/>
    <w:rsid w:val="00941A95"/>
    <w:rsid w:val="0094699D"/>
    <w:rsid w:val="00950590"/>
    <w:rsid w:val="0095161F"/>
    <w:rsid w:val="009541F2"/>
    <w:rsid w:val="00957E45"/>
    <w:rsid w:val="00966208"/>
    <w:rsid w:val="009A165D"/>
    <w:rsid w:val="009A20D4"/>
    <w:rsid w:val="009A31E0"/>
    <w:rsid w:val="009A5A43"/>
    <w:rsid w:val="009B5EA8"/>
    <w:rsid w:val="009C4378"/>
    <w:rsid w:val="00A274C5"/>
    <w:rsid w:val="00A3112C"/>
    <w:rsid w:val="00A327C1"/>
    <w:rsid w:val="00A50BDE"/>
    <w:rsid w:val="00A60B93"/>
    <w:rsid w:val="00A657A2"/>
    <w:rsid w:val="00A73D4D"/>
    <w:rsid w:val="00A96FB3"/>
    <w:rsid w:val="00A9742A"/>
    <w:rsid w:val="00AA0DB7"/>
    <w:rsid w:val="00AA5D63"/>
    <w:rsid w:val="00AA7C66"/>
    <w:rsid w:val="00AD7BB4"/>
    <w:rsid w:val="00AE0001"/>
    <w:rsid w:val="00AE3185"/>
    <w:rsid w:val="00AE34E7"/>
    <w:rsid w:val="00B0335A"/>
    <w:rsid w:val="00B071B9"/>
    <w:rsid w:val="00B245EF"/>
    <w:rsid w:val="00B3262D"/>
    <w:rsid w:val="00B41F06"/>
    <w:rsid w:val="00B457EF"/>
    <w:rsid w:val="00B54225"/>
    <w:rsid w:val="00B5428B"/>
    <w:rsid w:val="00B61E02"/>
    <w:rsid w:val="00B913E8"/>
    <w:rsid w:val="00B95AF0"/>
    <w:rsid w:val="00BA5CD0"/>
    <w:rsid w:val="00BC4AAA"/>
    <w:rsid w:val="00BD08A0"/>
    <w:rsid w:val="00BD2CBF"/>
    <w:rsid w:val="00BE62B3"/>
    <w:rsid w:val="00BF085F"/>
    <w:rsid w:val="00BF4B19"/>
    <w:rsid w:val="00BF582E"/>
    <w:rsid w:val="00C074C6"/>
    <w:rsid w:val="00C613C1"/>
    <w:rsid w:val="00C7206D"/>
    <w:rsid w:val="00C7228D"/>
    <w:rsid w:val="00C72741"/>
    <w:rsid w:val="00C74C62"/>
    <w:rsid w:val="00C818F3"/>
    <w:rsid w:val="00C87722"/>
    <w:rsid w:val="00C92B87"/>
    <w:rsid w:val="00CD44A2"/>
    <w:rsid w:val="00D01C2B"/>
    <w:rsid w:val="00D14F09"/>
    <w:rsid w:val="00D23EF5"/>
    <w:rsid w:val="00D25F35"/>
    <w:rsid w:val="00D33D39"/>
    <w:rsid w:val="00D55892"/>
    <w:rsid w:val="00D5673B"/>
    <w:rsid w:val="00D7466C"/>
    <w:rsid w:val="00D75A08"/>
    <w:rsid w:val="00D9270E"/>
    <w:rsid w:val="00D93FF0"/>
    <w:rsid w:val="00DB1873"/>
    <w:rsid w:val="00DB4C20"/>
    <w:rsid w:val="00DC0F86"/>
    <w:rsid w:val="00DC2B45"/>
    <w:rsid w:val="00DC4BF5"/>
    <w:rsid w:val="00DD0980"/>
    <w:rsid w:val="00DD478B"/>
    <w:rsid w:val="00DE4354"/>
    <w:rsid w:val="00E11EC5"/>
    <w:rsid w:val="00E2713E"/>
    <w:rsid w:val="00E36CAB"/>
    <w:rsid w:val="00E55BBB"/>
    <w:rsid w:val="00E918D1"/>
    <w:rsid w:val="00E978E9"/>
    <w:rsid w:val="00EA6E28"/>
    <w:rsid w:val="00EB1756"/>
    <w:rsid w:val="00EC2473"/>
    <w:rsid w:val="00ED23C9"/>
    <w:rsid w:val="00EE6853"/>
    <w:rsid w:val="00EF641C"/>
    <w:rsid w:val="00F0743C"/>
    <w:rsid w:val="00F14D6C"/>
    <w:rsid w:val="00F3031B"/>
    <w:rsid w:val="00F34F66"/>
    <w:rsid w:val="00F56188"/>
    <w:rsid w:val="00F746C0"/>
    <w:rsid w:val="00F76F8A"/>
    <w:rsid w:val="00F81A49"/>
    <w:rsid w:val="00F81E3A"/>
    <w:rsid w:val="00F82A57"/>
    <w:rsid w:val="00F83B03"/>
    <w:rsid w:val="00FA39F6"/>
    <w:rsid w:val="00FA5FE8"/>
    <w:rsid w:val="00FD4886"/>
    <w:rsid w:val="00FE0F58"/>
    <w:rsid w:val="00FF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79DF3F"/>
  <w15:chartTrackingRefBased/>
  <w15:docId w15:val="{8886512D-2172-4652-B43F-9C719D4DD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kern w:val="2"/>
        <w:szCs w:val="24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0C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0C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0C3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0C3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0C3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0C3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0C3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0C3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0C3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0C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0C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0C3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0C3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0C3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0C3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0C3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0C3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0C3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0C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0C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0C3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0C3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0C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0C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0C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0C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0C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0C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0C3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40C3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0C3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40C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0C3D"/>
  </w:style>
  <w:style w:type="paragraph" w:styleId="Footer">
    <w:name w:val="footer"/>
    <w:basedOn w:val="Normal"/>
    <w:link w:val="FooterChar"/>
    <w:uiPriority w:val="99"/>
    <w:unhideWhenUsed/>
    <w:rsid w:val="00340C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0C3D"/>
  </w:style>
  <w:style w:type="character" w:styleId="CommentReference">
    <w:name w:val="annotation reference"/>
    <w:basedOn w:val="DefaultParagraphFont"/>
    <w:uiPriority w:val="99"/>
    <w:semiHidden/>
    <w:unhideWhenUsed/>
    <w:rsid w:val="00FA5F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5FE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5FE8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5F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5FE8"/>
    <w:rPr>
      <w:b/>
      <w:bCs/>
      <w:szCs w:val="20"/>
    </w:rPr>
  </w:style>
  <w:style w:type="paragraph" w:styleId="Revision">
    <w:name w:val="Revision"/>
    <w:hidden/>
    <w:uiPriority w:val="99"/>
    <w:semiHidden/>
    <w:rsid w:val="00B61E02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C92B87"/>
    <w:rPr>
      <w:color w:val="96607D" w:themeColor="followedHyperlink"/>
      <w:u w:val="single"/>
    </w:rPr>
  </w:style>
  <w:style w:type="paragraph" w:styleId="NoSpacing">
    <w:name w:val="No Spacing"/>
    <w:uiPriority w:val="1"/>
    <w:qFormat/>
    <w:rsid w:val="00112C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health.gov.au/resources/publications/mymedicare-program-guidelines?language=en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mymedicare@health.gov.au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ealth.gov.au/resources/collections/resources-for-mymedicare-general-practices-and-healthcare-providers?language=en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8B5644-057C-4502-84FE-A4AA7743F2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472EFD5-65C5-479F-A7DF-830A98535F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D878B6-9BCF-402E-81AA-DED86A06681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34A2F54-698F-4448-899A-5AC96409DB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472</Words>
  <Characters>3026</Characters>
  <Application>Microsoft Office Word</Application>
  <DocSecurity>0</DocSecurity>
  <Lines>64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Registration pathways to support people experiencing incapacity who need assistance</vt:lpstr>
    </vt:vector>
  </TitlesOfParts>
  <Company>Department of Health, Disability and Ageing</Company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 pathways to support people experiencing incapacity who need assistance</dc:title>
  <dc:subject>Medicare registration pathways</dc:subject>
  <dc:creator>Australian Government Department of Health, Disability and Ageing</dc:creator>
  <cp:keywords>Medicare</cp:keywords>
  <dc:description/>
  <dcterms:created xsi:type="dcterms:W3CDTF">2026-06-16T01:47:00Z</dcterms:created>
  <dcterms:modified xsi:type="dcterms:W3CDTF">2026-06-22T01:35:00Z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f6ee11c,45aa22a3,5114ad84</vt:lpwstr>
  </property>
  <property fmtid="{D5CDD505-2E9C-101B-9397-08002B2CF9AE}" pid="3" name="ClassificationContentMarkingHeaderFontProps">
    <vt:lpwstr>#ff0000,12,Aptos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6128440f,4c3cc1ad,66bac842</vt:lpwstr>
  </property>
  <property fmtid="{D5CDD505-2E9C-101B-9397-08002B2CF9AE}" pid="6" name="ClassificationContentMarkingFooterFontProps">
    <vt:lpwstr>#ff0000,12,Aptos</vt:lpwstr>
  </property>
  <property fmtid="{D5CDD505-2E9C-101B-9397-08002B2CF9AE}" pid="7" name="ClassificationContentMarkingFooterText">
    <vt:lpwstr>OFFICIAL</vt:lpwstr>
  </property>
  <property fmtid="{D5CDD505-2E9C-101B-9397-08002B2CF9AE}" pid="8" name="MSIP_Label_7cd3e8b9-ffed-43a8-b7f4-cc2fa0382d36_Enabled">
    <vt:lpwstr>true</vt:lpwstr>
  </property>
  <property fmtid="{D5CDD505-2E9C-101B-9397-08002B2CF9AE}" pid="9" name="MSIP_Label_7cd3e8b9-ffed-43a8-b7f4-cc2fa0382d36_SetDate">
    <vt:lpwstr>2026-03-31T04:31:30Z</vt:lpwstr>
  </property>
  <property fmtid="{D5CDD505-2E9C-101B-9397-08002B2CF9AE}" pid="10" name="MSIP_Label_7cd3e8b9-ffed-43a8-b7f4-cc2fa0382d36_Method">
    <vt:lpwstr>Privileged</vt:lpwstr>
  </property>
  <property fmtid="{D5CDD505-2E9C-101B-9397-08002B2CF9AE}" pid="11" name="MSIP_Label_7cd3e8b9-ffed-43a8-b7f4-cc2fa0382d36_Name">
    <vt:lpwstr>O</vt:lpwstr>
  </property>
  <property fmtid="{D5CDD505-2E9C-101B-9397-08002B2CF9AE}" pid="12" name="MSIP_Label_7cd3e8b9-ffed-43a8-b7f4-cc2fa0382d36_SiteId">
    <vt:lpwstr>34a3929c-73cf-4954-abfe-147dc3517892</vt:lpwstr>
  </property>
  <property fmtid="{D5CDD505-2E9C-101B-9397-08002B2CF9AE}" pid="13" name="MSIP_Label_7cd3e8b9-ffed-43a8-b7f4-cc2fa0382d36_ActionId">
    <vt:lpwstr>9a6cd880-df7f-4cca-bc63-d10b2e607e88</vt:lpwstr>
  </property>
  <property fmtid="{D5CDD505-2E9C-101B-9397-08002B2CF9AE}" pid="14" name="MSIP_Label_7cd3e8b9-ffed-43a8-b7f4-cc2fa0382d36_ContentBits">
    <vt:lpwstr>3</vt:lpwstr>
  </property>
  <property fmtid="{D5CDD505-2E9C-101B-9397-08002B2CF9AE}" pid="15" name="MSIP_Label_7cd3e8b9-ffed-43a8-b7f4-cc2fa0382d36_Tag">
    <vt:lpwstr>10, 0, 1, 1</vt:lpwstr>
  </property>
</Properties>
</file>