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B00" w14:textId="4F346E03" w:rsidR="00850483" w:rsidRDefault="00850483" w:rsidP="0072269A">
      <w:pPr>
        <w:pStyle w:val="Heading1"/>
        <w:ind w:left="0" w:right="35"/>
        <w:jc w:val="left"/>
      </w:pPr>
      <w:r>
        <w:t>Indigenous Australians’ Health Programme (IAHP) Primary Health Care Funding Distribution Model – Factsheet</w:t>
      </w:r>
    </w:p>
    <w:p w14:paraId="798FBD00" w14:textId="46D9AA29" w:rsidR="00850483" w:rsidRPr="00A436B6" w:rsidRDefault="00850483" w:rsidP="00A436B6">
      <w:pPr>
        <w:pStyle w:val="Heading2"/>
      </w:pPr>
      <w:r>
        <w:t>Purpose</w:t>
      </w:r>
    </w:p>
    <w:p w14:paraId="35934621" w14:textId="1796A1E9" w:rsidR="00850483" w:rsidRDefault="00850483" w:rsidP="0072269A">
      <w:pPr>
        <w:spacing w:before="1" w:line="256" w:lineRule="auto"/>
        <w:ind w:right="35"/>
      </w:pPr>
      <w:r>
        <w:t>From 2024-25 A</w:t>
      </w:r>
      <w:r w:rsidR="002A6EB4">
        <w:t xml:space="preserve">boriginal Community Controlled Health </w:t>
      </w:r>
      <w:r w:rsidR="6CCD8956">
        <w:t>Services</w:t>
      </w:r>
      <w:r w:rsidR="002A6EB4">
        <w:t xml:space="preserve"> (A</w:t>
      </w:r>
      <w:r>
        <w:t>CCH</w:t>
      </w:r>
      <w:r w:rsidR="6B04B20F">
        <w:t>S</w:t>
      </w:r>
      <w:r>
        <w:t>s</w:t>
      </w:r>
      <w:r w:rsidR="002A6EB4">
        <w:t>)</w:t>
      </w:r>
      <w:r>
        <w:t xml:space="preserve"> funded </w:t>
      </w:r>
      <w:r w:rsidR="79757AA7">
        <w:t>through</w:t>
      </w:r>
      <w:r>
        <w:t xml:space="preserve"> the IAHP to deliver comprehensive primary health care </w:t>
      </w:r>
      <w:r w:rsidR="4008CB3B">
        <w:t>(CPHC)</w:t>
      </w:r>
      <w:r>
        <w:t xml:space="preserve"> have four-year rolling funding agreements</w:t>
      </w:r>
      <w:r w:rsidR="00FE5897">
        <w:t>.</w:t>
      </w:r>
      <w:r>
        <w:rPr>
          <w:rStyle w:val="FootnoteReference"/>
        </w:rPr>
        <w:footnoteReference w:id="2"/>
      </w:r>
      <w:r>
        <w:t xml:space="preserve"> Every two years</w:t>
      </w:r>
      <w:r w:rsidR="46CE46CB">
        <w:t>,</w:t>
      </w:r>
      <w:r>
        <w:t xml:space="preserve"> the department review</w:t>
      </w:r>
      <w:r w:rsidR="0E7485A7">
        <w:t>s</w:t>
      </w:r>
      <w:r>
        <w:t xml:space="preserve"> each ACCH</w:t>
      </w:r>
      <w:r w:rsidR="287F47F0">
        <w:t>S</w:t>
      </w:r>
      <w:r w:rsidR="007B4E61">
        <w:t>’</w:t>
      </w:r>
      <w:r w:rsidR="287F47F0">
        <w:t>s</w:t>
      </w:r>
      <w:r>
        <w:t xml:space="preserve"> funding </w:t>
      </w:r>
      <w:r w:rsidR="1732ED7A">
        <w:t>using</w:t>
      </w:r>
      <w:r>
        <w:t xml:space="preserve"> the Funding Distribution Model</w:t>
      </w:r>
      <w:r w:rsidR="54F31ACC">
        <w:t>.</w:t>
      </w:r>
      <w:r>
        <w:t xml:space="preserve"> </w:t>
      </w:r>
      <w:r w:rsidR="56D5EF35">
        <w:t>After each review, the agreement is extended by another</w:t>
      </w:r>
      <w:r>
        <w:t xml:space="preserve"> two </w:t>
      </w:r>
      <w:r w:rsidR="00F7689D">
        <w:t>years,</w:t>
      </w:r>
      <w:r>
        <w:t xml:space="preserve"> </w:t>
      </w:r>
      <w:r w:rsidR="00CF2F9F">
        <w:t>providing longer-term funding certainty</w:t>
      </w:r>
      <w:r w:rsidR="0DCA3BC9">
        <w:t>.</w:t>
      </w:r>
    </w:p>
    <w:p w14:paraId="29C4D871" w14:textId="341880C0" w:rsidR="00850483" w:rsidRDefault="00850483" w:rsidP="0072269A">
      <w:pPr>
        <w:spacing w:before="1" w:line="256" w:lineRule="auto"/>
        <w:ind w:right="35"/>
      </w:pPr>
      <w:r>
        <w:t xml:space="preserve">This </w:t>
      </w:r>
      <w:r w:rsidR="43C611E1">
        <w:t>f</w:t>
      </w:r>
      <w:r>
        <w:t xml:space="preserve">actsheet </w:t>
      </w:r>
      <w:r w:rsidR="777C63BB">
        <w:t>explains</w:t>
      </w:r>
      <w:r>
        <w:t xml:space="preserve"> how the Funding Distribution Model </w:t>
      </w:r>
      <w:r w:rsidR="35FDE5CE">
        <w:t>works and how</w:t>
      </w:r>
      <w:r>
        <w:t xml:space="preserve"> the department </w:t>
      </w:r>
      <w:r w:rsidR="77C651BA">
        <w:t>calculates funding for</w:t>
      </w:r>
      <w:r>
        <w:t xml:space="preserve"> each ACCH</w:t>
      </w:r>
      <w:r w:rsidR="2508021C">
        <w:t>S</w:t>
      </w:r>
      <w:r>
        <w:t xml:space="preserve"> </w:t>
      </w:r>
      <w:r w:rsidR="0FF28978">
        <w:t xml:space="preserve">under these rolling </w:t>
      </w:r>
      <w:r>
        <w:t>agreements.</w:t>
      </w:r>
      <w:r w:rsidR="0096796D">
        <w:t xml:space="preserve"> </w:t>
      </w:r>
    </w:p>
    <w:p w14:paraId="3BABC132" w14:textId="68B27D4E" w:rsidR="00850483" w:rsidRDefault="00850483" w:rsidP="00630463">
      <w:pPr>
        <w:pStyle w:val="Heading2"/>
        <w:pBdr>
          <w:top w:val="single" w:sz="4" w:space="1" w:color="1F497D" w:themeColor="text2"/>
        </w:pBdr>
      </w:pPr>
      <w:r>
        <w:t>Model structure</w:t>
      </w:r>
    </w:p>
    <w:p w14:paraId="471F65F1" w14:textId="0AD8D565" w:rsidR="00850483" w:rsidRDefault="00850483" w:rsidP="0072269A">
      <w:pPr>
        <w:spacing w:before="1" w:line="256" w:lineRule="auto"/>
        <w:ind w:right="35"/>
      </w:pPr>
      <w:bookmarkStart w:id="0" w:name="_Hlk163749921"/>
      <w:r w:rsidRPr="00EA2835">
        <w:t xml:space="preserve">The Funding Distribution Model </w:t>
      </w:r>
      <w:r w:rsidR="236F0530">
        <w:t>shares IAHP comprehensive primary health care gran</w:t>
      </w:r>
      <w:r w:rsidR="00847C89">
        <w:t>t</w:t>
      </w:r>
      <w:r w:rsidR="236F0530">
        <w:t xml:space="preserve"> funding between ACCHSs based on their level of</w:t>
      </w:r>
      <w:r>
        <w:t xml:space="preserve"> </w:t>
      </w:r>
      <w:r w:rsidR="3354CAA7">
        <w:t>service</w:t>
      </w:r>
      <w:r>
        <w:t xml:space="preserve"> </w:t>
      </w:r>
      <w:r w:rsidRPr="00EA2835">
        <w:t>activity</w:t>
      </w:r>
      <w:r w:rsidR="00C52511">
        <w:t>. Activity</w:t>
      </w:r>
      <w:r w:rsidR="5E9FEA3D">
        <w:t xml:space="preserve"> is</w:t>
      </w:r>
      <w:r w:rsidR="00C52511">
        <w:t xml:space="preserve"> </w:t>
      </w:r>
      <w:r w:rsidR="00733D64">
        <w:t>measured</w:t>
      </w:r>
      <w:r w:rsidR="593847AF">
        <w:t xml:space="preserve"> using two main indicators</w:t>
      </w:r>
      <w:r w:rsidR="00733D64">
        <w:t xml:space="preserve"> </w:t>
      </w:r>
      <w:r w:rsidR="593847AF">
        <w:t>reported each year</w:t>
      </w:r>
      <w:r w:rsidR="00733D64">
        <w:t xml:space="preserve"> </w:t>
      </w:r>
      <w:r w:rsidR="593847AF">
        <w:t>through the</w:t>
      </w:r>
      <w:r w:rsidR="00733D64">
        <w:t xml:space="preserve"> </w:t>
      </w:r>
      <w:r w:rsidR="326387C7">
        <w:t>Online Services Report (OSR):</w:t>
      </w:r>
      <w:r w:rsidR="00733D64">
        <w:t xml:space="preserve"> </w:t>
      </w:r>
      <w:r w:rsidRPr="008946F6">
        <w:rPr>
          <w:b/>
          <w:bCs/>
        </w:rPr>
        <w:t>client numbers</w:t>
      </w:r>
      <w:r w:rsidRPr="00EA2835">
        <w:t xml:space="preserve"> and </w:t>
      </w:r>
      <w:r w:rsidRPr="008946F6">
        <w:rPr>
          <w:b/>
          <w:bCs/>
        </w:rPr>
        <w:t>episodes of care</w:t>
      </w:r>
      <w:r w:rsidR="164D3535" w:rsidRPr="18E85967">
        <w:rPr>
          <w:b/>
          <w:bCs/>
        </w:rPr>
        <w:t>.</w:t>
      </w:r>
      <w:r w:rsidRPr="0E8B0BF4">
        <w:rPr>
          <w:b/>
        </w:rPr>
        <w:t xml:space="preserve"> </w:t>
      </w:r>
      <w:r w:rsidR="00733D64" w:rsidRPr="00EA2835">
        <w:t xml:space="preserve"> </w:t>
      </w:r>
      <w:r w:rsidR="358606AC">
        <w:t>These figures</w:t>
      </w:r>
      <w:r w:rsidR="00733D64">
        <w:t xml:space="preserve"> are then </w:t>
      </w:r>
      <w:r w:rsidR="006C395F">
        <w:rPr>
          <w:b/>
          <w:bCs/>
        </w:rPr>
        <w:t>adjusted</w:t>
      </w:r>
      <w:r w:rsidR="006C395F">
        <w:t xml:space="preserve"> </w:t>
      </w:r>
      <w:r>
        <w:t xml:space="preserve">to </w:t>
      </w:r>
      <w:r w:rsidR="457972E1">
        <w:t>reflect</w:t>
      </w:r>
      <w:r>
        <w:t xml:space="preserve"> </w:t>
      </w:r>
      <w:r w:rsidRPr="00EA2835">
        <w:t xml:space="preserve">the cost of delivering services </w:t>
      </w:r>
      <w:r w:rsidR="41E0A8D4">
        <w:t>in different locations</w:t>
      </w:r>
      <w:r w:rsidRPr="00EA2835">
        <w:t xml:space="preserve"> and </w:t>
      </w:r>
      <w:r w:rsidR="333ADEF4">
        <w:t xml:space="preserve">the </w:t>
      </w:r>
      <w:r>
        <w:t>relative</w:t>
      </w:r>
      <w:r w:rsidRPr="00EA2835">
        <w:t xml:space="preserve"> health needs of communities.</w:t>
      </w:r>
      <w:r>
        <w:t xml:space="preserve"> </w:t>
      </w:r>
      <w:r w:rsidR="0060417D">
        <w:t>T</w:t>
      </w:r>
      <w:r>
        <w:t xml:space="preserve">hese key terms are described in </w:t>
      </w:r>
      <w:hyperlink w:anchor="_bookmark0" w:history="1">
        <w:r>
          <w:t>Table 1</w:t>
        </w:r>
      </w:hyperlink>
      <w:r w:rsidR="0060417D">
        <w:t>.</w:t>
      </w:r>
    </w:p>
    <w:p w14:paraId="225F03A3" w14:textId="6AF264C7" w:rsidR="00850483" w:rsidRPr="00630463" w:rsidRDefault="00630463" w:rsidP="00630463">
      <w:pPr>
        <w:pStyle w:val="Caption"/>
      </w:pPr>
      <w:bookmarkStart w:id="1" w:name="_bookmark0"/>
      <w:bookmarkStart w:id="2" w:name="_Table_1._Definition"/>
      <w:bookmarkStart w:id="3" w:name="Table_1_Definition"/>
      <w:bookmarkEnd w:id="0"/>
      <w:bookmarkEnd w:id="1"/>
      <w:bookmarkEnd w:id="2"/>
      <w:r>
        <w:t xml:space="preserve">Table </w:t>
      </w:r>
      <w:r>
        <w:fldChar w:fldCharType="begin"/>
      </w:r>
      <w:r>
        <w:instrText xml:space="preserve"> SEQ Table \* ARABIC </w:instrText>
      </w:r>
      <w:r>
        <w:fldChar w:fldCharType="separate"/>
      </w:r>
      <w:r>
        <w:rPr>
          <w:noProof/>
        </w:rPr>
        <w:t>1</w:t>
      </w:r>
      <w:r>
        <w:fldChar w:fldCharType="end"/>
      </w:r>
      <w:r w:rsidR="00850483" w:rsidRPr="00630463">
        <w:t>. Definition of Funding Distribution Model terms</w:t>
      </w:r>
    </w:p>
    <w:tbl>
      <w:tblPr>
        <w:tblStyle w:val="PlainTable1"/>
        <w:tblW w:w="9721" w:type="dxa"/>
        <w:tblInd w:w="-5" w:type="dxa"/>
        <w:tblLook w:val="04A0" w:firstRow="1" w:lastRow="0" w:firstColumn="1" w:lastColumn="0" w:noHBand="0" w:noVBand="1"/>
      </w:tblPr>
      <w:tblGrid>
        <w:gridCol w:w="1985"/>
        <w:gridCol w:w="7736"/>
      </w:tblGrid>
      <w:tr w:rsidR="00850483" w14:paraId="59D30EBB" w14:textId="77777777" w:rsidTr="421DB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bookmarkEnd w:id="3"/>
          <w:p w14:paraId="6BD8DD96" w14:textId="77777777" w:rsidR="00850483" w:rsidRPr="005702BF" w:rsidRDefault="00850483" w:rsidP="0072269A">
            <w:pPr>
              <w:pStyle w:val="Heading4"/>
              <w:ind w:right="35"/>
            </w:pPr>
            <w:r w:rsidRPr="005702BF">
              <w:t>Client numbers</w:t>
            </w:r>
          </w:p>
        </w:tc>
        <w:tc>
          <w:tcPr>
            <w:tcW w:w="7736" w:type="dxa"/>
          </w:tcPr>
          <w:p w14:paraId="79B9C63D" w14:textId="2FE368D7" w:rsidR="00850483" w:rsidRPr="003946EA" w:rsidRDefault="003946EA" w:rsidP="0072269A">
            <w:pPr>
              <w:widowControl/>
              <w:autoSpaceDE/>
              <w:autoSpaceDN/>
              <w:ind w:right="35"/>
              <w:cnfStyle w:val="100000000000" w:firstRow="1" w:lastRow="0" w:firstColumn="0" w:lastColumn="0" w:oddVBand="0" w:evenVBand="0" w:oddHBand="0" w:evenHBand="0" w:firstRowFirstColumn="0" w:firstRowLastColumn="0" w:lastRowFirstColumn="0" w:lastRowLastColumn="0"/>
              <w:rPr>
                <w:b w:val="0"/>
                <w:bCs w:val="0"/>
              </w:rPr>
            </w:pPr>
            <w:r w:rsidRPr="003946EA">
              <w:rPr>
                <w:b w:val="0"/>
                <w:bCs w:val="0"/>
              </w:rPr>
              <w:t>This refers to how many individuals received health care from the ACCH</w:t>
            </w:r>
            <w:r w:rsidR="007B4E61">
              <w:rPr>
                <w:b w:val="0"/>
                <w:bCs w:val="0"/>
              </w:rPr>
              <w:t>S</w:t>
            </w:r>
            <w:r w:rsidRPr="003946EA">
              <w:rPr>
                <w:b w:val="0"/>
                <w:bCs w:val="0"/>
              </w:rPr>
              <w:t xml:space="preserve"> during the collection period.</w:t>
            </w:r>
            <w:r w:rsidR="00BA67E4">
              <w:rPr>
                <w:b w:val="0"/>
                <w:bCs w:val="0"/>
              </w:rPr>
              <w:t xml:space="preserve"> </w:t>
            </w:r>
            <w:r w:rsidR="002D49F3">
              <w:rPr>
                <w:b w:val="0"/>
                <w:bCs w:val="0"/>
              </w:rPr>
              <w:t xml:space="preserve">1 </w:t>
            </w:r>
            <w:r w:rsidR="00BA67E4" w:rsidRPr="00BA67E4">
              <w:rPr>
                <w:b w:val="0"/>
                <w:bCs w:val="0"/>
              </w:rPr>
              <w:t xml:space="preserve">July to </w:t>
            </w:r>
            <w:r w:rsidR="002D49F3">
              <w:rPr>
                <w:b w:val="0"/>
                <w:bCs w:val="0"/>
              </w:rPr>
              <w:t xml:space="preserve">30 </w:t>
            </w:r>
            <w:r w:rsidR="00BA67E4" w:rsidRPr="00BA67E4">
              <w:rPr>
                <w:b w:val="0"/>
                <w:bCs w:val="0"/>
              </w:rPr>
              <w:t xml:space="preserve">June would constitute one collection period. </w:t>
            </w:r>
            <w:bookmarkStart w:id="4" w:name="_Int_Zu7qa0r4"/>
            <w:proofErr w:type="gramStart"/>
            <w:r w:rsidR="00850483" w:rsidRPr="003946EA">
              <w:rPr>
                <w:b w:val="0"/>
                <w:bCs w:val="0"/>
              </w:rPr>
              <w:t>Each individual</w:t>
            </w:r>
            <w:bookmarkEnd w:id="4"/>
            <w:proofErr w:type="gramEnd"/>
            <w:r w:rsidR="00850483" w:rsidRPr="003946EA">
              <w:rPr>
                <w:b w:val="0"/>
                <w:bCs w:val="0"/>
              </w:rPr>
              <w:t xml:space="preserve"> is counted as a client once regardless of how many times they are seen. Visitors and transient clients are included in client counts, but clients attending group activities only (and who do not receive individual care) are excluded. This method of counting clients is </w:t>
            </w:r>
            <w:r w:rsidR="00823676">
              <w:rPr>
                <w:b w:val="0"/>
                <w:bCs w:val="0"/>
              </w:rPr>
              <w:t>collected</w:t>
            </w:r>
            <w:r w:rsidR="00850483" w:rsidRPr="003946EA">
              <w:rPr>
                <w:b w:val="0"/>
                <w:bCs w:val="0"/>
              </w:rPr>
              <w:t xml:space="preserve"> in the </w:t>
            </w:r>
            <w:r w:rsidR="00850483">
              <w:rPr>
                <w:b w:val="0"/>
                <w:bCs w:val="0"/>
              </w:rPr>
              <w:t>OSR</w:t>
            </w:r>
            <w:r w:rsidR="006C12E6" w:rsidRPr="003946EA">
              <w:rPr>
                <w:rStyle w:val="FootnoteReference"/>
                <w:b w:val="0"/>
                <w:bCs w:val="0"/>
              </w:rPr>
              <w:footnoteReference w:id="3"/>
            </w:r>
            <w:r w:rsidR="00850483" w:rsidRPr="003946EA">
              <w:rPr>
                <w:b w:val="0"/>
                <w:bCs w:val="0"/>
              </w:rPr>
              <w:t>.</w:t>
            </w:r>
          </w:p>
          <w:p w14:paraId="2113F13C" w14:textId="4D128810" w:rsidR="00A436B6" w:rsidRPr="00A436B6" w:rsidRDefault="00436EBD" w:rsidP="00A436B6">
            <w:pPr>
              <w:cnfStyle w:val="100000000000" w:firstRow="1" w:lastRow="0" w:firstColumn="0" w:lastColumn="0" w:oddVBand="0" w:evenVBand="0" w:oddHBand="0" w:evenHBand="0" w:firstRowFirstColumn="0" w:firstRowLastColumn="0" w:lastRowFirstColumn="0" w:lastRowLastColumn="0"/>
            </w:pPr>
            <w:r w:rsidRPr="00A436B6">
              <w:t>W</w:t>
            </w:r>
            <w:r w:rsidR="003B406B" w:rsidRPr="00A436B6">
              <w:t xml:space="preserve">hile </w:t>
            </w:r>
            <w:r w:rsidRPr="00A436B6">
              <w:t>the IAHP’s purpose</w:t>
            </w:r>
            <w:r w:rsidR="003B406B" w:rsidRPr="00A436B6">
              <w:t xml:space="preserve"> is to</w:t>
            </w:r>
            <w:r w:rsidR="00FB61D5" w:rsidRPr="00A436B6">
              <w:t xml:space="preserve"> support ACCH</w:t>
            </w:r>
            <w:r w:rsidR="007B4E61">
              <w:t>S</w:t>
            </w:r>
            <w:r w:rsidR="00FB61D5" w:rsidRPr="00A436B6">
              <w:t xml:space="preserve">s to deliver CPHC tailored to the health needs of </w:t>
            </w:r>
            <w:r w:rsidR="003B406B" w:rsidRPr="00A436B6">
              <w:t xml:space="preserve">Aboriginal and Torres Strait Islander </w:t>
            </w:r>
            <w:r w:rsidR="00FB61D5" w:rsidRPr="00A436B6">
              <w:t>people,</w:t>
            </w:r>
            <w:r w:rsidR="00ED5B8E" w:rsidRPr="00A436B6">
              <w:t xml:space="preserve"> </w:t>
            </w:r>
            <w:r w:rsidR="00FB61D5" w:rsidRPr="00A436B6">
              <w:t>ACCH</w:t>
            </w:r>
            <w:r w:rsidR="007B4E61">
              <w:t>S</w:t>
            </w:r>
            <w:r w:rsidR="00FB61D5" w:rsidRPr="00A436B6">
              <w:t xml:space="preserve">s </w:t>
            </w:r>
            <w:r w:rsidR="00D23895" w:rsidRPr="00A436B6">
              <w:t>also deliver CPHC to non-Indigenous people.</w:t>
            </w:r>
            <w:r w:rsidRPr="00A436B6">
              <w:t xml:space="preserve"> </w:t>
            </w:r>
            <w:r w:rsidR="00ED5B8E" w:rsidRPr="00A436B6">
              <w:t>F</w:t>
            </w:r>
            <w:r w:rsidR="00151EC2" w:rsidRPr="00A436B6">
              <w:t xml:space="preserve">or the purposes of the Funding Distribution Model, </w:t>
            </w:r>
            <w:r w:rsidRPr="00A436B6">
              <w:t>t</w:t>
            </w:r>
            <w:r w:rsidR="005F396C" w:rsidRPr="00A436B6">
              <w:t xml:space="preserve">he total number of clients that will be counted towards </w:t>
            </w:r>
            <w:r w:rsidR="00151EC2" w:rsidRPr="00A436B6">
              <w:t>an ACCH</w:t>
            </w:r>
            <w:r w:rsidR="00AC0383">
              <w:t>S</w:t>
            </w:r>
            <w:r w:rsidR="00151EC2" w:rsidRPr="00A436B6">
              <w:t>’s activity levels</w:t>
            </w:r>
            <w:r w:rsidR="005F396C" w:rsidRPr="00A436B6">
              <w:t xml:space="preserve"> will be the </w:t>
            </w:r>
            <w:r w:rsidR="00926638" w:rsidRPr="00A436B6">
              <w:t>sum</w:t>
            </w:r>
            <w:r w:rsidR="005F396C" w:rsidRPr="00A436B6">
              <w:t xml:space="preserve"> of </w:t>
            </w:r>
            <w:r w:rsidR="002552C8" w:rsidRPr="00A436B6">
              <w:t>Aboriginal and Torres Strait Islander</w:t>
            </w:r>
            <w:r w:rsidR="005F396C" w:rsidRPr="00A436B6">
              <w:t xml:space="preserve"> clients plus up to 15% of the overall client number (including non-Indigenous clients). The final figure will not exceed</w:t>
            </w:r>
            <w:r w:rsidR="005F396C" w:rsidRPr="00A436B6" w:rsidDel="00283A69">
              <w:t xml:space="preserve"> </w:t>
            </w:r>
            <w:r w:rsidR="005F396C" w:rsidRPr="00A436B6">
              <w:t xml:space="preserve">the overall </w:t>
            </w:r>
            <w:r w:rsidR="00283A69" w:rsidRPr="00A436B6">
              <w:t xml:space="preserve">number of </w:t>
            </w:r>
            <w:r w:rsidR="005F396C" w:rsidRPr="00A436B6">
              <w:t>client</w:t>
            </w:r>
            <w:r w:rsidR="00283A69" w:rsidRPr="00A436B6">
              <w:t>s reported by an organisation</w:t>
            </w:r>
            <w:r w:rsidR="005F396C" w:rsidRPr="00A436B6">
              <w:t>.</w:t>
            </w:r>
          </w:p>
          <w:p w14:paraId="145C614D" w14:textId="790C4E10" w:rsidR="117D6F34" w:rsidRDefault="526C5769" w:rsidP="117D6F34">
            <w:pPr>
              <w:pStyle w:val="Heading4"/>
              <w:ind w:right="35"/>
              <w:cnfStyle w:val="100000000000" w:firstRow="1" w:lastRow="0" w:firstColumn="0" w:lastColumn="0" w:oddVBand="0" w:evenVBand="0" w:oddHBand="0" w:evenHBand="0" w:firstRowFirstColumn="0" w:firstRowLastColumn="0" w:lastRowFirstColumn="0" w:lastRowLastColumn="0"/>
              <w:rPr>
                <w:rStyle w:val="Strong"/>
                <w:b w:val="0"/>
                <w:bCs w:val="0"/>
              </w:rPr>
            </w:pPr>
            <w:r w:rsidRPr="608FED13">
              <w:rPr>
                <w:rStyle w:val="Strong"/>
                <w:b w:val="0"/>
                <w:bCs w:val="0"/>
              </w:rPr>
              <w:t xml:space="preserve">The following </w:t>
            </w:r>
            <w:r w:rsidRPr="447097E3">
              <w:rPr>
                <w:rStyle w:val="Strong"/>
                <w:b w:val="0"/>
                <w:bCs w:val="0"/>
              </w:rPr>
              <w:t xml:space="preserve">example uses a </w:t>
            </w:r>
            <w:r w:rsidRPr="0498DDBC">
              <w:rPr>
                <w:rStyle w:val="Strong"/>
                <w:b w:val="0"/>
                <w:bCs w:val="0"/>
              </w:rPr>
              <w:t xml:space="preserve">hypothetical ACCHS </w:t>
            </w:r>
            <w:r w:rsidRPr="0CD981E1">
              <w:rPr>
                <w:rStyle w:val="Strong"/>
                <w:b w:val="0"/>
                <w:bCs w:val="0"/>
              </w:rPr>
              <w:t>(‘</w:t>
            </w:r>
            <w:r w:rsidRPr="0498DDBC">
              <w:rPr>
                <w:rStyle w:val="Strong"/>
                <w:b w:val="0"/>
                <w:bCs w:val="0"/>
              </w:rPr>
              <w:t xml:space="preserve">ACCHS </w:t>
            </w:r>
            <w:r w:rsidRPr="21B0F820">
              <w:rPr>
                <w:rStyle w:val="Strong"/>
                <w:b w:val="0"/>
                <w:bCs w:val="0"/>
              </w:rPr>
              <w:t>A’</w:t>
            </w:r>
            <w:r w:rsidRPr="0498DDBC">
              <w:rPr>
                <w:rStyle w:val="Strong"/>
                <w:b w:val="0"/>
                <w:bCs w:val="0"/>
              </w:rPr>
              <w:t>) to</w:t>
            </w:r>
            <w:r w:rsidRPr="3F0CC30E">
              <w:rPr>
                <w:rStyle w:val="Strong"/>
                <w:b w:val="0"/>
                <w:bCs w:val="0"/>
              </w:rPr>
              <w:t xml:space="preserve"> illustrate</w:t>
            </w:r>
            <w:r w:rsidRPr="2E8291BC">
              <w:rPr>
                <w:rStyle w:val="Strong"/>
                <w:b w:val="0"/>
                <w:bCs w:val="0"/>
              </w:rPr>
              <w:t xml:space="preserve"> </w:t>
            </w:r>
            <w:r w:rsidRPr="2130E8CA">
              <w:rPr>
                <w:rStyle w:val="Strong"/>
                <w:b w:val="0"/>
                <w:bCs w:val="0"/>
              </w:rPr>
              <w:t xml:space="preserve">how </w:t>
            </w:r>
            <w:r w:rsidR="00F33F9B" w:rsidRPr="00F33F9B">
              <w:rPr>
                <w:rStyle w:val="Strong"/>
                <w:b w:val="0"/>
                <w:bCs w:val="0"/>
              </w:rPr>
              <w:t>client numbers are calculated.</w:t>
            </w:r>
          </w:p>
          <w:p w14:paraId="2F548DDC" w14:textId="408C643D" w:rsidR="005F7678" w:rsidRPr="00A436B6" w:rsidRDefault="006015D0" w:rsidP="00A436B6">
            <w:pPr>
              <w:pStyle w:val="Heading4"/>
              <w:ind w:right="35"/>
              <w:cnfStyle w:val="100000000000" w:firstRow="1" w:lastRow="0" w:firstColumn="0" w:lastColumn="0" w:oddVBand="0" w:evenVBand="0" w:oddHBand="0" w:evenHBand="0" w:firstRowFirstColumn="0" w:firstRowLastColumn="0" w:lastRowFirstColumn="0" w:lastRowLastColumn="0"/>
              <w:rPr>
                <w:b/>
                <w:bCs/>
              </w:rPr>
            </w:pPr>
            <w:r w:rsidRPr="421DB9F1">
              <w:rPr>
                <w:rStyle w:val="Strong"/>
                <w:b w:val="0"/>
                <w:bCs w:val="0"/>
              </w:rPr>
              <w:t>Example: ACCH</w:t>
            </w:r>
            <w:r w:rsidR="00AC0383" w:rsidRPr="421DB9F1">
              <w:rPr>
                <w:rStyle w:val="Strong"/>
                <w:b w:val="0"/>
                <w:bCs w:val="0"/>
              </w:rPr>
              <w:t>S</w:t>
            </w:r>
            <w:r w:rsidRPr="421DB9F1">
              <w:rPr>
                <w:rStyle w:val="Strong"/>
                <w:b w:val="0"/>
                <w:bCs w:val="0"/>
              </w:rPr>
              <w:t xml:space="preserve"> A </w:t>
            </w:r>
            <w:r w:rsidR="006D4DCF" w:rsidRPr="421DB9F1">
              <w:rPr>
                <w:rStyle w:val="Strong"/>
                <w:b w:val="0"/>
                <w:bCs w:val="0"/>
              </w:rPr>
              <w:t>deliver</w:t>
            </w:r>
            <w:r w:rsidR="00076C70" w:rsidRPr="421DB9F1">
              <w:rPr>
                <w:rStyle w:val="Strong"/>
                <w:b w:val="0"/>
                <w:bCs w:val="0"/>
              </w:rPr>
              <w:t>ed care to</w:t>
            </w:r>
            <w:r w:rsidRPr="421DB9F1">
              <w:rPr>
                <w:rStyle w:val="Strong"/>
                <w:b w:val="0"/>
                <w:bCs w:val="0"/>
              </w:rPr>
              <w:t xml:space="preserve"> 100 clients</w:t>
            </w:r>
            <w:r w:rsidR="00C55990" w:rsidRPr="421DB9F1">
              <w:rPr>
                <w:rStyle w:val="Strong"/>
                <w:b w:val="0"/>
                <w:bCs w:val="0"/>
              </w:rPr>
              <w:t>,</w:t>
            </w:r>
            <w:r w:rsidR="006C1F48" w:rsidRPr="421DB9F1">
              <w:rPr>
                <w:rStyle w:val="Strong"/>
                <w:b w:val="0"/>
                <w:bCs w:val="0"/>
              </w:rPr>
              <w:t xml:space="preserve"> comprising 79 Aboriginal and Torres Strait Islander clients </w:t>
            </w:r>
            <w:r w:rsidR="00D7691E" w:rsidRPr="421DB9F1">
              <w:rPr>
                <w:rStyle w:val="Strong"/>
                <w:b w:val="0"/>
                <w:bCs w:val="0"/>
              </w:rPr>
              <w:t xml:space="preserve">(79%) </w:t>
            </w:r>
            <w:r w:rsidR="006C1F48" w:rsidRPr="421DB9F1">
              <w:rPr>
                <w:rStyle w:val="Strong"/>
                <w:b w:val="0"/>
                <w:bCs w:val="0"/>
              </w:rPr>
              <w:t>and</w:t>
            </w:r>
            <w:r w:rsidRPr="421DB9F1">
              <w:rPr>
                <w:rStyle w:val="Strong"/>
                <w:b w:val="0"/>
                <w:bCs w:val="0"/>
              </w:rPr>
              <w:t xml:space="preserve"> </w:t>
            </w:r>
            <w:r w:rsidR="57F0CB31" w:rsidRPr="421DB9F1">
              <w:rPr>
                <w:rStyle w:val="Strong"/>
                <w:b w:val="0"/>
                <w:bCs w:val="0"/>
              </w:rPr>
              <w:t>21</w:t>
            </w:r>
            <w:r w:rsidR="006C1F48" w:rsidRPr="421DB9F1">
              <w:rPr>
                <w:rStyle w:val="Strong"/>
                <w:b w:val="0"/>
                <w:bCs w:val="0"/>
              </w:rPr>
              <w:t xml:space="preserve"> non-Indigenous</w:t>
            </w:r>
            <w:r w:rsidRPr="421DB9F1">
              <w:rPr>
                <w:rStyle w:val="Strong"/>
                <w:b w:val="0"/>
                <w:bCs w:val="0"/>
              </w:rPr>
              <w:t xml:space="preserve"> clients</w:t>
            </w:r>
            <w:r w:rsidR="00D7691E" w:rsidRPr="421DB9F1">
              <w:rPr>
                <w:rStyle w:val="Strong"/>
                <w:b w:val="0"/>
                <w:bCs w:val="0"/>
              </w:rPr>
              <w:t xml:space="preserve"> (21%)</w:t>
            </w:r>
            <w:r w:rsidRPr="421DB9F1">
              <w:rPr>
                <w:rStyle w:val="Strong"/>
                <w:b w:val="0"/>
                <w:bCs w:val="0"/>
              </w:rPr>
              <w:t xml:space="preserve">. </w:t>
            </w:r>
            <w:r w:rsidR="00771E98" w:rsidRPr="421DB9F1">
              <w:rPr>
                <w:rStyle w:val="Strong"/>
                <w:b w:val="0"/>
                <w:bCs w:val="0"/>
              </w:rPr>
              <w:t xml:space="preserve">For modelling purposes, </w:t>
            </w:r>
            <w:r w:rsidR="00B33CBA" w:rsidRPr="421DB9F1">
              <w:rPr>
                <w:rStyle w:val="Strong"/>
                <w:b w:val="0"/>
                <w:bCs w:val="0"/>
              </w:rPr>
              <w:t xml:space="preserve">15 of the 21 </w:t>
            </w:r>
            <w:r w:rsidR="00D7691E" w:rsidRPr="421DB9F1">
              <w:rPr>
                <w:rStyle w:val="Strong"/>
                <w:b w:val="0"/>
                <w:bCs w:val="0"/>
              </w:rPr>
              <w:t>non-Indigenous clients will</w:t>
            </w:r>
            <w:r w:rsidR="00A07A5F" w:rsidRPr="421DB9F1">
              <w:rPr>
                <w:rStyle w:val="Strong"/>
                <w:b w:val="0"/>
                <w:bCs w:val="0"/>
              </w:rPr>
              <w:t xml:space="preserve"> be added to </w:t>
            </w:r>
            <w:r w:rsidR="00CD14D1" w:rsidRPr="421DB9F1">
              <w:rPr>
                <w:rStyle w:val="Strong"/>
                <w:b w:val="0"/>
                <w:bCs w:val="0"/>
              </w:rPr>
              <w:t>ACCH</w:t>
            </w:r>
            <w:r w:rsidR="00AC0383" w:rsidRPr="421DB9F1">
              <w:rPr>
                <w:rStyle w:val="Strong"/>
                <w:b w:val="0"/>
                <w:bCs w:val="0"/>
              </w:rPr>
              <w:t>S</w:t>
            </w:r>
            <w:r w:rsidR="001A35C6" w:rsidRPr="421DB9F1">
              <w:rPr>
                <w:rStyle w:val="Strong"/>
                <w:b w:val="0"/>
                <w:bCs w:val="0"/>
              </w:rPr>
              <w:t xml:space="preserve"> A</w:t>
            </w:r>
            <w:r w:rsidR="00CD14D1" w:rsidRPr="421DB9F1">
              <w:rPr>
                <w:rStyle w:val="Strong"/>
                <w:b w:val="0"/>
                <w:bCs w:val="0"/>
              </w:rPr>
              <w:t>’s Aboriginal and Torres Strait Islander clients</w:t>
            </w:r>
            <w:r w:rsidR="00151862" w:rsidRPr="421DB9F1">
              <w:rPr>
                <w:rStyle w:val="Strong"/>
                <w:b w:val="0"/>
                <w:bCs w:val="0"/>
              </w:rPr>
              <w:t xml:space="preserve">, </w:t>
            </w:r>
            <w:r w:rsidR="003000B9" w:rsidRPr="421DB9F1">
              <w:rPr>
                <w:rStyle w:val="Strong"/>
                <w:b w:val="0"/>
                <w:bCs w:val="0"/>
              </w:rPr>
              <w:t xml:space="preserve">meaning </w:t>
            </w:r>
            <w:r w:rsidR="001A35C6" w:rsidRPr="421DB9F1">
              <w:rPr>
                <w:rStyle w:val="Strong"/>
                <w:b w:val="0"/>
                <w:bCs w:val="0"/>
              </w:rPr>
              <w:t>ACCH</w:t>
            </w:r>
            <w:r w:rsidR="00AC0383" w:rsidRPr="421DB9F1">
              <w:rPr>
                <w:rStyle w:val="Strong"/>
                <w:b w:val="0"/>
                <w:bCs w:val="0"/>
              </w:rPr>
              <w:t>S</w:t>
            </w:r>
            <w:r w:rsidR="001A35C6" w:rsidRPr="421DB9F1">
              <w:rPr>
                <w:rStyle w:val="Strong"/>
                <w:b w:val="0"/>
                <w:bCs w:val="0"/>
              </w:rPr>
              <w:t xml:space="preserve"> A’s</w:t>
            </w:r>
            <w:r w:rsidR="003000B9" w:rsidRPr="421DB9F1">
              <w:rPr>
                <w:rStyle w:val="Strong"/>
                <w:b w:val="0"/>
                <w:bCs w:val="0"/>
              </w:rPr>
              <w:t xml:space="preserve"> total number of </w:t>
            </w:r>
            <w:r w:rsidR="003000B9" w:rsidRPr="421DB9F1">
              <w:rPr>
                <w:rStyle w:val="Strong"/>
                <w:b w:val="0"/>
                <w:bCs w:val="0"/>
              </w:rPr>
              <w:lastRenderedPageBreak/>
              <w:t>clients</w:t>
            </w:r>
            <w:r w:rsidR="004518E4" w:rsidRPr="421DB9F1">
              <w:rPr>
                <w:rStyle w:val="Strong"/>
                <w:b w:val="0"/>
                <w:bCs w:val="0"/>
              </w:rPr>
              <w:t xml:space="preserve"> </w:t>
            </w:r>
            <w:r w:rsidR="240881D8" w:rsidRPr="421DB9F1">
              <w:rPr>
                <w:rStyle w:val="Strong"/>
                <w:b w:val="0"/>
                <w:bCs w:val="0"/>
              </w:rPr>
              <w:t xml:space="preserve">for the purposes of the Model is </w:t>
            </w:r>
            <w:r w:rsidR="0091466E" w:rsidRPr="421DB9F1">
              <w:rPr>
                <w:rStyle w:val="Strong"/>
                <w:b w:val="0"/>
                <w:bCs w:val="0"/>
              </w:rPr>
              <w:t>15</w:t>
            </w:r>
            <w:r w:rsidR="004518E4" w:rsidRPr="421DB9F1">
              <w:rPr>
                <w:rStyle w:val="Strong"/>
                <w:b w:val="0"/>
                <w:bCs w:val="0"/>
              </w:rPr>
              <w:t xml:space="preserve"> </w:t>
            </w:r>
            <w:r w:rsidR="0091466E" w:rsidRPr="421DB9F1">
              <w:rPr>
                <w:rStyle w:val="Strong"/>
                <w:b w:val="0"/>
                <w:bCs w:val="0"/>
              </w:rPr>
              <w:t xml:space="preserve">+ 79 = 94 clients. </w:t>
            </w:r>
          </w:p>
        </w:tc>
      </w:tr>
      <w:tr w:rsidR="00850483" w14:paraId="7F510953" w14:textId="77777777" w:rsidTr="421DB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0E905A9" w14:textId="2FBF5510" w:rsidR="00850483" w:rsidRPr="005702BF" w:rsidRDefault="00850483" w:rsidP="0072269A">
            <w:pPr>
              <w:pStyle w:val="Heading4"/>
              <w:ind w:right="35"/>
            </w:pPr>
            <w:r w:rsidRPr="005702BF">
              <w:lastRenderedPageBreak/>
              <w:t>Episode</w:t>
            </w:r>
            <w:r w:rsidR="00CC3FC6">
              <w:t>(</w:t>
            </w:r>
            <w:r w:rsidRPr="005702BF">
              <w:t>s</w:t>
            </w:r>
            <w:r w:rsidR="00CC3FC6">
              <w:t>)</w:t>
            </w:r>
            <w:r w:rsidRPr="005702BF">
              <w:t xml:space="preserve"> of care</w:t>
            </w:r>
          </w:p>
        </w:tc>
        <w:tc>
          <w:tcPr>
            <w:tcW w:w="7736" w:type="dxa"/>
          </w:tcPr>
          <w:p w14:paraId="293A6428" w14:textId="343876F4" w:rsidR="00850483" w:rsidRPr="00A436B6" w:rsidRDefault="00850483" w:rsidP="00A436B6">
            <w:pPr>
              <w:cnfStyle w:val="000000100000" w:firstRow="0" w:lastRow="0" w:firstColumn="0" w:lastColumn="0" w:oddVBand="0" w:evenVBand="0" w:oddHBand="1" w:evenHBand="0" w:firstRowFirstColumn="0" w:firstRowLastColumn="0" w:lastRowFirstColumn="0" w:lastRowLastColumn="0"/>
            </w:pPr>
            <w:r>
              <w:t xml:space="preserve">An </w:t>
            </w:r>
            <w:r w:rsidR="00956C3F">
              <w:t xml:space="preserve">Episode </w:t>
            </w:r>
            <w:r>
              <w:t xml:space="preserve">of </w:t>
            </w:r>
            <w:r w:rsidR="00956C3F">
              <w:t>Care (</w:t>
            </w:r>
            <w:proofErr w:type="spellStart"/>
            <w:r w:rsidR="00956C3F">
              <w:t>EoC</w:t>
            </w:r>
            <w:proofErr w:type="spellEnd"/>
            <w:r w:rsidR="00956C3F">
              <w:t xml:space="preserve">) </w:t>
            </w:r>
            <w:r>
              <w:t>is a contact between an individual client and a service,</w:t>
            </w:r>
            <w:r w:rsidR="00956C3F">
              <w:t xml:space="preserve"> </w:t>
            </w:r>
            <w:r>
              <w:t>with one or more staff, to provide health care within one calendar day. All contacts on the one day are treated holistically as</w:t>
            </w:r>
            <w:r w:rsidR="00CC3FC6">
              <w:t xml:space="preserve"> an</w:t>
            </w:r>
            <w:r>
              <w:t xml:space="preserve"> </w:t>
            </w:r>
            <w:proofErr w:type="spellStart"/>
            <w:r w:rsidR="00956C3F">
              <w:t>EoC</w:t>
            </w:r>
            <w:proofErr w:type="spellEnd"/>
            <w:r>
              <w:t xml:space="preserve">. This is the method of counting </w:t>
            </w:r>
            <w:proofErr w:type="spellStart"/>
            <w:r w:rsidR="00956C3F">
              <w:t>EoC</w:t>
            </w:r>
            <w:proofErr w:type="spellEnd"/>
            <w:r>
              <w:t xml:space="preserve"> </w:t>
            </w:r>
            <w:r w:rsidR="00823676">
              <w:t>collected</w:t>
            </w:r>
            <w:r>
              <w:t xml:space="preserve"> in the OSR.</w:t>
            </w:r>
          </w:p>
          <w:p w14:paraId="60C84D79" w14:textId="3CEAF1A7" w:rsidR="00850483" w:rsidRPr="00A436B6" w:rsidRDefault="00F1211D" w:rsidP="00A436B6">
            <w:pPr>
              <w:cnfStyle w:val="000000100000" w:firstRow="0" w:lastRow="0" w:firstColumn="0" w:lastColumn="0" w:oddVBand="0" w:evenVBand="0" w:oddHBand="1" w:evenHBand="0" w:firstRowFirstColumn="0" w:firstRowLastColumn="0" w:lastRowFirstColumn="0" w:lastRowLastColumn="0"/>
            </w:pPr>
            <w:r w:rsidRPr="00A436B6">
              <w:t xml:space="preserve">As with the treatment of </w:t>
            </w:r>
            <w:r w:rsidR="00006CD5" w:rsidRPr="00A436B6">
              <w:t>an ACCH</w:t>
            </w:r>
            <w:r w:rsidR="00AC0383">
              <w:t>S</w:t>
            </w:r>
            <w:r w:rsidR="00006CD5" w:rsidRPr="00A436B6">
              <w:t xml:space="preserve">’s </w:t>
            </w:r>
            <w:r w:rsidRPr="00A436B6">
              <w:t>client numbers, t</w:t>
            </w:r>
            <w:r w:rsidR="005F396C" w:rsidRPr="00A436B6">
              <w:t xml:space="preserve">he total number of </w:t>
            </w:r>
            <w:proofErr w:type="spellStart"/>
            <w:r w:rsidR="00956C3F" w:rsidRPr="00A436B6">
              <w:t>EoC</w:t>
            </w:r>
            <w:proofErr w:type="spellEnd"/>
            <w:r w:rsidR="005F396C" w:rsidRPr="00A436B6">
              <w:t xml:space="preserve"> that will be counted towards the </w:t>
            </w:r>
            <w:r w:rsidR="00E65DA9" w:rsidRPr="00A436B6">
              <w:t>F</w:t>
            </w:r>
            <w:r w:rsidR="005F396C" w:rsidRPr="00A436B6">
              <w:t>unding</w:t>
            </w:r>
            <w:r w:rsidRPr="00A436B6">
              <w:t xml:space="preserve"> </w:t>
            </w:r>
            <w:r w:rsidR="00E65DA9" w:rsidRPr="00A436B6">
              <w:t>D</w:t>
            </w:r>
            <w:r w:rsidRPr="00A436B6">
              <w:t>istribution</w:t>
            </w:r>
            <w:r w:rsidR="005F396C" w:rsidRPr="00A436B6">
              <w:t xml:space="preserve"> </w:t>
            </w:r>
            <w:r w:rsidR="00E65DA9" w:rsidRPr="00A436B6">
              <w:t>M</w:t>
            </w:r>
            <w:r w:rsidR="005F396C" w:rsidRPr="00A436B6">
              <w:t xml:space="preserve">odel will be the </w:t>
            </w:r>
            <w:r w:rsidRPr="00A436B6">
              <w:t>sum of Aboriginal and Torres Strait Islander</w:t>
            </w:r>
            <w:r w:rsidR="005F396C" w:rsidRPr="00A436B6">
              <w:t xml:space="preserve"> </w:t>
            </w:r>
            <w:proofErr w:type="spellStart"/>
            <w:r w:rsidR="00956C3F" w:rsidRPr="00A436B6">
              <w:t>EoC</w:t>
            </w:r>
            <w:proofErr w:type="spellEnd"/>
            <w:r w:rsidR="005F396C" w:rsidRPr="00A436B6">
              <w:t xml:space="preserve"> plus up to 15% of the overall </w:t>
            </w:r>
            <w:proofErr w:type="spellStart"/>
            <w:r w:rsidR="00956C3F" w:rsidRPr="00A436B6">
              <w:t>EoC</w:t>
            </w:r>
            <w:proofErr w:type="spellEnd"/>
            <w:r w:rsidR="005F396C" w:rsidRPr="00A436B6">
              <w:t xml:space="preserve"> (including non-Indigenous </w:t>
            </w:r>
            <w:proofErr w:type="spellStart"/>
            <w:r w:rsidR="008A7440" w:rsidRPr="00A436B6">
              <w:t>EoC</w:t>
            </w:r>
            <w:proofErr w:type="spellEnd"/>
            <w:r w:rsidR="005F396C" w:rsidRPr="00A436B6">
              <w:t xml:space="preserve">). </w:t>
            </w:r>
          </w:p>
        </w:tc>
      </w:tr>
      <w:tr w:rsidR="00850483" w14:paraId="36CDEC68" w14:textId="77777777" w:rsidTr="421DB9F1">
        <w:tc>
          <w:tcPr>
            <w:cnfStyle w:val="001000000000" w:firstRow="0" w:lastRow="0" w:firstColumn="1" w:lastColumn="0" w:oddVBand="0" w:evenVBand="0" w:oddHBand="0" w:evenHBand="0" w:firstRowFirstColumn="0" w:firstRowLastColumn="0" w:lastRowFirstColumn="0" w:lastRowLastColumn="0"/>
            <w:tcW w:w="1985" w:type="dxa"/>
          </w:tcPr>
          <w:p w14:paraId="62DFA458" w14:textId="77777777" w:rsidR="00850483" w:rsidRPr="005702BF" w:rsidRDefault="00850483" w:rsidP="0072269A">
            <w:pPr>
              <w:pStyle w:val="Heading4"/>
              <w:ind w:right="35"/>
            </w:pPr>
            <w:r w:rsidRPr="005702BF">
              <w:t>Adjustments</w:t>
            </w:r>
          </w:p>
        </w:tc>
        <w:tc>
          <w:tcPr>
            <w:tcW w:w="7736" w:type="dxa"/>
          </w:tcPr>
          <w:p w14:paraId="38B0B317" w14:textId="5A2447FA" w:rsidR="00850483" w:rsidRPr="005702BF" w:rsidRDefault="00850483" w:rsidP="0072269A">
            <w:pPr>
              <w:pStyle w:val="Heading4"/>
              <w:ind w:right="35"/>
              <w:cnfStyle w:val="000000000000" w:firstRow="0" w:lastRow="0" w:firstColumn="0" w:lastColumn="0" w:oddVBand="0" w:evenVBand="0" w:oddHBand="0" w:evenHBand="0" w:firstRowFirstColumn="0" w:firstRowLastColumn="0" w:lastRowFirstColumn="0" w:lastRowLastColumn="0"/>
              <w:rPr>
                <w:b w:val="0"/>
                <w:bCs w:val="0"/>
              </w:rPr>
            </w:pPr>
            <w:r w:rsidRPr="00FF1C57">
              <w:rPr>
                <w:b w:val="0"/>
                <w:bCs w:val="0"/>
              </w:rPr>
              <w:t xml:space="preserve">Weighting adjustments made to the client numbers and </w:t>
            </w:r>
            <w:proofErr w:type="spellStart"/>
            <w:r w:rsidR="00BA64E5">
              <w:rPr>
                <w:b w:val="0"/>
                <w:bCs w:val="0"/>
              </w:rPr>
              <w:t>EoC</w:t>
            </w:r>
            <w:proofErr w:type="spellEnd"/>
            <w:r>
              <w:rPr>
                <w:b w:val="0"/>
                <w:bCs w:val="0"/>
              </w:rPr>
              <w:t xml:space="preserve"> </w:t>
            </w:r>
            <w:r w:rsidRPr="00FF1C57">
              <w:rPr>
                <w:b w:val="0"/>
                <w:bCs w:val="0"/>
              </w:rPr>
              <w:t xml:space="preserve">to account for the cost of </w:t>
            </w:r>
            <w:r>
              <w:rPr>
                <w:b w:val="0"/>
                <w:bCs w:val="0"/>
              </w:rPr>
              <w:t xml:space="preserve">CPHC service delivery depending on </w:t>
            </w:r>
            <w:r w:rsidRPr="00E2343B">
              <w:t>remoteness</w:t>
            </w:r>
            <w:r>
              <w:rPr>
                <w:b w:val="0"/>
                <w:bCs w:val="0"/>
              </w:rPr>
              <w:t xml:space="preserve"> and </w:t>
            </w:r>
            <w:r w:rsidRPr="00E2343B">
              <w:t>relative health needs</w:t>
            </w:r>
            <w:r>
              <w:rPr>
                <w:b w:val="0"/>
                <w:bCs w:val="0"/>
              </w:rPr>
              <w:t xml:space="preserve"> of individual communities</w:t>
            </w:r>
            <w:r w:rsidRPr="00FF1C57">
              <w:rPr>
                <w:b w:val="0"/>
                <w:bCs w:val="0"/>
              </w:rPr>
              <w:t xml:space="preserve"> across Australia. </w:t>
            </w:r>
          </w:p>
          <w:p w14:paraId="5B90C059" w14:textId="22B463B3" w:rsidR="00850483" w:rsidRDefault="00850483" w:rsidP="0072269A">
            <w:pPr>
              <w:pStyle w:val="Heading4"/>
              <w:ind w:right="35"/>
              <w:cnfStyle w:val="000000000000" w:firstRow="0" w:lastRow="0" w:firstColumn="0" w:lastColumn="0" w:oddVBand="0" w:evenVBand="0" w:oddHBand="0" w:evenHBand="0" w:firstRowFirstColumn="0" w:firstRowLastColumn="0" w:lastRowFirstColumn="0" w:lastRowLastColumn="0"/>
              <w:rPr>
                <w:b w:val="0"/>
                <w:bCs w:val="0"/>
              </w:rPr>
            </w:pPr>
            <w:r>
              <w:rPr>
                <w:b w:val="0"/>
                <w:bCs w:val="0"/>
              </w:rPr>
              <w:t xml:space="preserve">For </w:t>
            </w:r>
            <w:r w:rsidR="008C24D6">
              <w:rPr>
                <w:b w:val="0"/>
                <w:bCs w:val="0"/>
              </w:rPr>
              <w:t>remoteness,</w:t>
            </w:r>
            <w:r>
              <w:rPr>
                <w:b w:val="0"/>
                <w:bCs w:val="0"/>
              </w:rPr>
              <w:t xml:space="preserve"> the Funding Distribution Model uses the location of service delivery based on </w:t>
            </w:r>
            <w:r w:rsidRPr="005702BF">
              <w:rPr>
                <w:b w:val="0"/>
                <w:bCs w:val="0"/>
              </w:rPr>
              <w:t>the Remoteness Structure component of the Australian Bureau of Statistics’ Australian Statistical Geography Standard</w:t>
            </w:r>
            <w:r>
              <w:rPr>
                <w:b w:val="0"/>
                <w:bCs w:val="0"/>
              </w:rPr>
              <w:t xml:space="preserve">. </w:t>
            </w:r>
          </w:p>
          <w:p w14:paraId="371EE1EC" w14:textId="52E46A32" w:rsidR="00850483" w:rsidRPr="00A436B6" w:rsidRDefault="00850483" w:rsidP="00A436B6">
            <w:pPr>
              <w:pStyle w:val="Heading4"/>
              <w:ind w:right="35"/>
              <w:cnfStyle w:val="000000000000" w:firstRow="0" w:lastRow="0" w:firstColumn="0" w:lastColumn="0" w:oddVBand="0" w:evenVBand="0" w:oddHBand="0" w:evenHBand="0" w:firstRowFirstColumn="0" w:firstRowLastColumn="0" w:lastRowFirstColumn="0" w:lastRowLastColumn="0"/>
              <w:rPr>
                <w:b w:val="0"/>
                <w:bCs w:val="0"/>
                <w:color w:val="0000FF" w:themeColor="hyperlink"/>
                <w:u w:val="single"/>
              </w:rPr>
            </w:pPr>
            <w:r>
              <w:rPr>
                <w:b w:val="0"/>
                <w:bCs w:val="0"/>
              </w:rPr>
              <w:t xml:space="preserve">To estimate the relative health needs of individual communities, the Funding Distribution Model uses the service delivery location’s Indigenous Relative Socioeconomic Outcomes (IRSEO) index as a proxy. For more </w:t>
            </w:r>
            <w:bookmarkStart w:id="5" w:name="_Int_KnDo1xTY"/>
            <w:r>
              <w:rPr>
                <w:b w:val="0"/>
                <w:bCs w:val="0"/>
              </w:rPr>
              <w:t>information</w:t>
            </w:r>
            <w:bookmarkEnd w:id="5"/>
            <w:r>
              <w:rPr>
                <w:b w:val="0"/>
                <w:bCs w:val="0"/>
              </w:rPr>
              <w:t xml:space="preserve"> see the </w:t>
            </w:r>
            <w:hyperlink r:id="rId11" w:history="1">
              <w:r w:rsidR="003E2FBB" w:rsidRPr="00DD2127">
                <w:rPr>
                  <w:rStyle w:val="Hyperlink"/>
                  <w:b w:val="0"/>
                  <w:bCs w:val="0"/>
                </w:rPr>
                <w:t xml:space="preserve">IAHP Primary Health Care </w:t>
              </w:r>
              <w:r w:rsidRPr="00DD2127">
                <w:rPr>
                  <w:rStyle w:val="Hyperlink"/>
                  <w:b w:val="0"/>
                  <w:bCs w:val="0"/>
                </w:rPr>
                <w:t>Funding Model Technical Factsheet on Location and Health Care Need</w:t>
              </w:r>
            </w:hyperlink>
            <w:r w:rsidRPr="00DD2127">
              <w:rPr>
                <w:b w:val="0"/>
                <w:bCs w:val="0"/>
              </w:rPr>
              <w:t>.</w:t>
            </w:r>
          </w:p>
        </w:tc>
      </w:tr>
      <w:tr w:rsidR="00850483" w14:paraId="332514BD" w14:textId="77777777" w:rsidTr="421DB9F1">
        <w:trPr>
          <w:cnfStyle w:val="000000100000" w:firstRow="0" w:lastRow="0" w:firstColumn="0" w:lastColumn="0" w:oddVBand="0" w:evenVBand="0" w:oddHBand="1" w:evenHBand="0" w:firstRowFirstColumn="0" w:firstRowLastColumn="0" w:lastRowFirstColumn="0" w:lastRowLastColumn="0"/>
          <w:trHeight w:val="1847"/>
        </w:trPr>
        <w:tc>
          <w:tcPr>
            <w:cnfStyle w:val="001000000000" w:firstRow="0" w:lastRow="0" w:firstColumn="1" w:lastColumn="0" w:oddVBand="0" w:evenVBand="0" w:oddHBand="0" w:evenHBand="0" w:firstRowFirstColumn="0" w:firstRowLastColumn="0" w:lastRowFirstColumn="0" w:lastRowLastColumn="0"/>
            <w:tcW w:w="1985" w:type="dxa"/>
          </w:tcPr>
          <w:p w14:paraId="14F32B2C" w14:textId="335C1232" w:rsidR="00850483" w:rsidRPr="005702BF" w:rsidRDefault="00AC5125" w:rsidP="0072269A">
            <w:pPr>
              <w:pStyle w:val="Heading4"/>
              <w:ind w:right="35"/>
            </w:pPr>
            <w:r>
              <w:t>A</w:t>
            </w:r>
            <w:r w:rsidR="00850483">
              <w:t xml:space="preserve">vailable grant funds </w:t>
            </w:r>
          </w:p>
        </w:tc>
        <w:tc>
          <w:tcPr>
            <w:tcW w:w="7736" w:type="dxa"/>
          </w:tcPr>
          <w:p w14:paraId="4FCC0535" w14:textId="2D5ED338" w:rsidR="00850483" w:rsidRDefault="00850483" w:rsidP="0072269A">
            <w:pPr>
              <w:pStyle w:val="Heading4"/>
              <w:ind w:right="35"/>
              <w:cnfStyle w:val="000000100000" w:firstRow="0" w:lastRow="0" w:firstColumn="0" w:lastColumn="0" w:oddVBand="0" w:evenVBand="0" w:oddHBand="1" w:evenHBand="0" w:firstRowFirstColumn="0" w:firstRowLastColumn="0" w:lastRowFirstColumn="0" w:lastRowLastColumn="0"/>
              <w:rPr>
                <w:b w:val="0"/>
                <w:bCs w:val="0"/>
              </w:rPr>
            </w:pPr>
            <w:r w:rsidRPr="009B5B65">
              <w:rPr>
                <w:b w:val="0"/>
                <w:bCs w:val="0"/>
              </w:rPr>
              <w:t xml:space="preserve">The </w:t>
            </w:r>
            <w:r>
              <w:rPr>
                <w:b w:val="0"/>
                <w:bCs w:val="0"/>
              </w:rPr>
              <w:t>f</w:t>
            </w:r>
            <w:r w:rsidRPr="009B5B65">
              <w:rPr>
                <w:b w:val="0"/>
                <w:bCs w:val="0"/>
              </w:rPr>
              <w:t xml:space="preserve">unding </w:t>
            </w:r>
            <w:r>
              <w:rPr>
                <w:b w:val="0"/>
                <w:bCs w:val="0"/>
              </w:rPr>
              <w:t>distribution m</w:t>
            </w:r>
            <w:r w:rsidRPr="009B5B65">
              <w:rPr>
                <w:b w:val="0"/>
                <w:bCs w:val="0"/>
              </w:rPr>
              <w:t>odel distributes</w:t>
            </w:r>
            <w:r>
              <w:rPr>
                <w:b w:val="0"/>
                <w:bCs w:val="0"/>
              </w:rPr>
              <w:t xml:space="preserve"> the</w:t>
            </w:r>
            <w:r w:rsidRPr="009B5B65">
              <w:rPr>
                <w:b w:val="0"/>
                <w:bCs w:val="0"/>
              </w:rPr>
              <w:t xml:space="preserve"> </w:t>
            </w:r>
            <w:r>
              <w:rPr>
                <w:b w:val="0"/>
                <w:bCs w:val="0"/>
              </w:rPr>
              <w:t>IAHP grant funds available to</w:t>
            </w:r>
            <w:r w:rsidRPr="009B5B65">
              <w:rPr>
                <w:b w:val="0"/>
                <w:bCs w:val="0"/>
              </w:rPr>
              <w:t xml:space="preserve"> ACCH</w:t>
            </w:r>
            <w:r w:rsidR="00AC0383">
              <w:rPr>
                <w:b w:val="0"/>
                <w:bCs w:val="0"/>
              </w:rPr>
              <w:t>S</w:t>
            </w:r>
            <w:r>
              <w:rPr>
                <w:b w:val="0"/>
                <w:bCs w:val="0"/>
              </w:rPr>
              <w:t>s</w:t>
            </w:r>
            <w:r w:rsidRPr="009B5B65">
              <w:rPr>
                <w:b w:val="0"/>
                <w:bCs w:val="0"/>
              </w:rPr>
              <w:t xml:space="preserve"> </w:t>
            </w:r>
            <w:r>
              <w:rPr>
                <w:b w:val="0"/>
                <w:bCs w:val="0"/>
              </w:rPr>
              <w:t>funded under the rolling agreements to deliver CPHC under the Grant Opportunity GO6742</w:t>
            </w:r>
            <w:r w:rsidRPr="009B5B65">
              <w:rPr>
                <w:b w:val="0"/>
                <w:bCs w:val="0"/>
              </w:rPr>
              <w:t>.</w:t>
            </w:r>
            <w:r>
              <w:rPr>
                <w:b w:val="0"/>
                <w:bCs w:val="0"/>
              </w:rPr>
              <w:t xml:space="preserve"> Up to</w:t>
            </w:r>
            <w:r w:rsidRPr="009B5B65">
              <w:rPr>
                <w:b w:val="0"/>
                <w:bCs w:val="0"/>
              </w:rPr>
              <w:t xml:space="preserve"> </w:t>
            </w:r>
            <w:r w:rsidRPr="00C71B7E">
              <w:rPr>
                <w:b w:val="0"/>
                <w:bCs w:val="0"/>
              </w:rPr>
              <w:t xml:space="preserve">$2.697 billion </w:t>
            </w:r>
            <w:r>
              <w:rPr>
                <w:b w:val="0"/>
                <w:bCs w:val="0"/>
              </w:rPr>
              <w:t>(GST exclusive, indexation inclusive)</w:t>
            </w:r>
            <w:r w:rsidRPr="00C71B7E">
              <w:rPr>
                <w:b w:val="0"/>
                <w:bCs w:val="0"/>
              </w:rPr>
              <w:t xml:space="preserve"> is available under GO6742 over four years from 2024-25.</w:t>
            </w:r>
            <w:r>
              <w:rPr>
                <w:b w:val="0"/>
                <w:bCs w:val="0"/>
              </w:rPr>
              <w:t xml:space="preserve"> </w:t>
            </w:r>
          </w:p>
          <w:tbl>
            <w:tblPr>
              <w:tblStyle w:val="TableGrid"/>
              <w:tblW w:w="0" w:type="auto"/>
              <w:tblLook w:val="04A0" w:firstRow="1" w:lastRow="0" w:firstColumn="1" w:lastColumn="0" w:noHBand="0" w:noVBand="1"/>
            </w:tblPr>
            <w:tblGrid>
              <w:gridCol w:w="1502"/>
              <w:gridCol w:w="1502"/>
              <w:gridCol w:w="1502"/>
              <w:gridCol w:w="1502"/>
              <w:gridCol w:w="1502"/>
            </w:tblGrid>
            <w:tr w:rsidR="006F3420" w14:paraId="2855BC5D" w14:textId="77777777" w:rsidTr="006F3420">
              <w:tc>
                <w:tcPr>
                  <w:tcW w:w="1502" w:type="dxa"/>
                </w:tcPr>
                <w:p w14:paraId="405F27E0" w14:textId="186B3EA4" w:rsidR="006F3420" w:rsidRDefault="006F3420" w:rsidP="0072269A">
                  <w:pPr>
                    <w:pStyle w:val="Heading4"/>
                    <w:ind w:right="35"/>
                    <w:rPr>
                      <w:b w:val="0"/>
                      <w:bCs w:val="0"/>
                    </w:rPr>
                  </w:pPr>
                  <w:r w:rsidRPr="00450057">
                    <w:t>2024-25:</w:t>
                  </w:r>
                </w:p>
              </w:tc>
              <w:tc>
                <w:tcPr>
                  <w:tcW w:w="1502" w:type="dxa"/>
                </w:tcPr>
                <w:p w14:paraId="1D8984E8" w14:textId="53AE0125" w:rsidR="006F3420" w:rsidRDefault="006F3420" w:rsidP="0072269A">
                  <w:pPr>
                    <w:pStyle w:val="Heading4"/>
                    <w:ind w:right="35"/>
                    <w:rPr>
                      <w:b w:val="0"/>
                      <w:bCs w:val="0"/>
                    </w:rPr>
                  </w:pPr>
                  <w:r w:rsidRPr="00450057">
                    <w:t>2025-26:</w:t>
                  </w:r>
                </w:p>
              </w:tc>
              <w:tc>
                <w:tcPr>
                  <w:tcW w:w="1502" w:type="dxa"/>
                </w:tcPr>
                <w:p w14:paraId="3FBC8B87" w14:textId="5DDD81C2" w:rsidR="006F3420" w:rsidRDefault="006F3420" w:rsidP="0072269A">
                  <w:pPr>
                    <w:pStyle w:val="Heading4"/>
                    <w:ind w:right="35"/>
                    <w:rPr>
                      <w:b w:val="0"/>
                      <w:bCs w:val="0"/>
                    </w:rPr>
                  </w:pPr>
                  <w:r w:rsidRPr="00450057">
                    <w:t>2026-27:</w:t>
                  </w:r>
                </w:p>
              </w:tc>
              <w:tc>
                <w:tcPr>
                  <w:tcW w:w="1502" w:type="dxa"/>
                </w:tcPr>
                <w:p w14:paraId="3F418C51" w14:textId="2B5F293C" w:rsidR="006F3420" w:rsidRDefault="006F3420" w:rsidP="0072269A">
                  <w:pPr>
                    <w:pStyle w:val="Heading4"/>
                    <w:ind w:right="35"/>
                    <w:rPr>
                      <w:b w:val="0"/>
                      <w:bCs w:val="0"/>
                    </w:rPr>
                  </w:pPr>
                  <w:r w:rsidRPr="00450057">
                    <w:t>2027-28:</w:t>
                  </w:r>
                </w:p>
              </w:tc>
              <w:tc>
                <w:tcPr>
                  <w:tcW w:w="1502" w:type="dxa"/>
                </w:tcPr>
                <w:p w14:paraId="50B0C3D6" w14:textId="1EA644A1" w:rsidR="006F3420" w:rsidRDefault="006F3420" w:rsidP="0072269A">
                  <w:pPr>
                    <w:pStyle w:val="Heading4"/>
                    <w:ind w:right="35"/>
                    <w:rPr>
                      <w:b w:val="0"/>
                      <w:bCs w:val="0"/>
                    </w:rPr>
                  </w:pPr>
                  <w:r w:rsidRPr="00450057">
                    <w:t>Total</w:t>
                  </w:r>
                </w:p>
              </w:tc>
            </w:tr>
            <w:tr w:rsidR="006F3420" w14:paraId="3C992C33" w14:textId="77777777" w:rsidTr="006F3420">
              <w:tc>
                <w:tcPr>
                  <w:tcW w:w="1502" w:type="dxa"/>
                </w:tcPr>
                <w:p w14:paraId="7C280A88" w14:textId="7052EB2E" w:rsidR="006F3420" w:rsidRDefault="006F3420" w:rsidP="0072269A">
                  <w:pPr>
                    <w:pStyle w:val="Heading4"/>
                    <w:ind w:right="35"/>
                    <w:rPr>
                      <w:b w:val="0"/>
                      <w:bCs w:val="0"/>
                    </w:rPr>
                  </w:pPr>
                  <w:r w:rsidRPr="00450057">
                    <w:rPr>
                      <w:b w:val="0"/>
                      <w:bCs w:val="0"/>
                    </w:rPr>
                    <w:t>$600.9M</w:t>
                  </w:r>
                </w:p>
              </w:tc>
              <w:tc>
                <w:tcPr>
                  <w:tcW w:w="1502" w:type="dxa"/>
                </w:tcPr>
                <w:p w14:paraId="2728FFF0" w14:textId="70CFC9A0" w:rsidR="006F3420" w:rsidRDefault="006F3420" w:rsidP="0072269A">
                  <w:pPr>
                    <w:pStyle w:val="Heading4"/>
                    <w:ind w:right="35"/>
                    <w:rPr>
                      <w:b w:val="0"/>
                      <w:bCs w:val="0"/>
                    </w:rPr>
                  </w:pPr>
                  <w:r w:rsidRPr="00450057">
                    <w:rPr>
                      <w:b w:val="0"/>
                      <w:bCs w:val="0"/>
                    </w:rPr>
                    <w:t>$648.93M</w:t>
                  </w:r>
                </w:p>
              </w:tc>
              <w:tc>
                <w:tcPr>
                  <w:tcW w:w="1502" w:type="dxa"/>
                </w:tcPr>
                <w:p w14:paraId="6AEF6FD4" w14:textId="416D7582" w:rsidR="006F3420" w:rsidRDefault="006F3420" w:rsidP="0072269A">
                  <w:pPr>
                    <w:pStyle w:val="Heading4"/>
                    <w:ind w:right="35"/>
                    <w:rPr>
                      <w:b w:val="0"/>
                      <w:bCs w:val="0"/>
                    </w:rPr>
                  </w:pPr>
                  <w:r w:rsidRPr="00450057">
                    <w:rPr>
                      <w:b w:val="0"/>
                      <w:bCs w:val="0"/>
                    </w:rPr>
                    <w:t>$698.39M</w:t>
                  </w:r>
                </w:p>
              </w:tc>
              <w:tc>
                <w:tcPr>
                  <w:tcW w:w="1502" w:type="dxa"/>
                </w:tcPr>
                <w:p w14:paraId="7EA20974" w14:textId="4E44A2C4" w:rsidR="006F3420" w:rsidRDefault="006F3420" w:rsidP="0072269A">
                  <w:pPr>
                    <w:pStyle w:val="Heading4"/>
                    <w:ind w:right="35"/>
                    <w:rPr>
                      <w:b w:val="0"/>
                      <w:bCs w:val="0"/>
                    </w:rPr>
                  </w:pPr>
                  <w:r w:rsidRPr="00450057">
                    <w:rPr>
                      <w:b w:val="0"/>
                      <w:bCs w:val="0"/>
                    </w:rPr>
                    <w:t>$749.35M</w:t>
                  </w:r>
                </w:p>
              </w:tc>
              <w:tc>
                <w:tcPr>
                  <w:tcW w:w="1502" w:type="dxa"/>
                </w:tcPr>
                <w:p w14:paraId="2951A7A5" w14:textId="73819632" w:rsidR="006F3420" w:rsidRDefault="006F3420" w:rsidP="0072269A">
                  <w:pPr>
                    <w:pStyle w:val="Heading4"/>
                    <w:ind w:right="35"/>
                    <w:rPr>
                      <w:b w:val="0"/>
                      <w:bCs w:val="0"/>
                    </w:rPr>
                  </w:pPr>
                  <w:r w:rsidRPr="00450057">
                    <w:rPr>
                      <w:b w:val="0"/>
                      <w:bCs w:val="0"/>
                    </w:rPr>
                    <w:t>$2.</w:t>
                  </w:r>
                  <w:r>
                    <w:rPr>
                      <w:b w:val="0"/>
                      <w:bCs w:val="0"/>
                    </w:rPr>
                    <w:t>697</w:t>
                  </w:r>
                  <w:r w:rsidRPr="00450057">
                    <w:rPr>
                      <w:b w:val="0"/>
                      <w:bCs w:val="0"/>
                    </w:rPr>
                    <w:t>B</w:t>
                  </w:r>
                </w:p>
              </w:tc>
            </w:tr>
          </w:tbl>
          <w:p w14:paraId="7BD846E7" w14:textId="77777777" w:rsidR="00850483" w:rsidRPr="009A46B1" w:rsidRDefault="00850483" w:rsidP="0072269A">
            <w:pPr>
              <w:pStyle w:val="Heading4"/>
              <w:ind w:right="35"/>
              <w:cnfStyle w:val="000000100000" w:firstRow="0" w:lastRow="0" w:firstColumn="0" w:lastColumn="0" w:oddVBand="0" w:evenVBand="0" w:oddHBand="1" w:evenHBand="0" w:firstRowFirstColumn="0" w:firstRowLastColumn="0" w:lastRowFirstColumn="0" w:lastRowLastColumn="0"/>
              <w:rPr>
                <w:b w:val="0"/>
                <w:bCs w:val="0"/>
              </w:rPr>
            </w:pPr>
          </w:p>
        </w:tc>
      </w:tr>
      <w:tr w:rsidR="00850483" w14:paraId="10C08B4F" w14:textId="77777777" w:rsidTr="421DB9F1">
        <w:tc>
          <w:tcPr>
            <w:cnfStyle w:val="001000000000" w:firstRow="0" w:lastRow="0" w:firstColumn="1" w:lastColumn="0" w:oddVBand="0" w:evenVBand="0" w:oddHBand="0" w:evenHBand="0" w:firstRowFirstColumn="0" w:firstRowLastColumn="0" w:lastRowFirstColumn="0" w:lastRowLastColumn="0"/>
            <w:tcW w:w="1985" w:type="dxa"/>
          </w:tcPr>
          <w:p w14:paraId="30996436" w14:textId="77777777" w:rsidR="00850483" w:rsidRPr="005702BF" w:rsidRDefault="00850483" w:rsidP="0072269A">
            <w:pPr>
              <w:pStyle w:val="Heading4"/>
              <w:ind w:right="35"/>
            </w:pPr>
            <w:r>
              <w:t>Allocated funding</w:t>
            </w:r>
          </w:p>
        </w:tc>
        <w:tc>
          <w:tcPr>
            <w:tcW w:w="7736" w:type="dxa"/>
          </w:tcPr>
          <w:p w14:paraId="07A64563" w14:textId="22D98CBB" w:rsidR="00850483" w:rsidRPr="009B5B65" w:rsidRDefault="00850483" w:rsidP="00A436B6">
            <w:pPr>
              <w:pStyle w:val="Heading4"/>
              <w:ind w:right="35"/>
              <w:cnfStyle w:val="000000000000" w:firstRow="0" w:lastRow="0" w:firstColumn="0" w:lastColumn="0" w:oddVBand="0" w:evenVBand="0" w:oddHBand="0" w:evenHBand="0" w:firstRowFirstColumn="0" w:firstRowLastColumn="0" w:lastRowFirstColumn="0" w:lastRowLastColumn="0"/>
              <w:rPr>
                <w:b w:val="0"/>
                <w:bCs w:val="0"/>
              </w:rPr>
            </w:pPr>
            <w:r>
              <w:rPr>
                <w:b w:val="0"/>
                <w:bCs w:val="0"/>
              </w:rPr>
              <w:t>The actual amount of IAHP CPHC grant funds allocated to each individual ACCHO under the rolling funding agreements each year.</w:t>
            </w:r>
          </w:p>
        </w:tc>
      </w:tr>
      <w:tr w:rsidR="00850483" w14:paraId="765C7EB9" w14:textId="77777777" w:rsidTr="421DB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5AD0CD9" w14:textId="77777777" w:rsidR="00850483" w:rsidRPr="005702BF" w:rsidRDefault="00850483" w:rsidP="0072269A">
            <w:pPr>
              <w:pStyle w:val="Heading4"/>
              <w:ind w:right="35"/>
            </w:pPr>
            <w:r>
              <w:t>Model-calculated funding</w:t>
            </w:r>
          </w:p>
        </w:tc>
        <w:tc>
          <w:tcPr>
            <w:tcW w:w="7736" w:type="dxa"/>
          </w:tcPr>
          <w:p w14:paraId="24FEDD0B" w14:textId="41FE826F" w:rsidR="00595F01" w:rsidRPr="00595F01" w:rsidRDefault="00595F01" w:rsidP="00595F01">
            <w:pPr>
              <w:widowControl/>
              <w:autoSpaceDE/>
              <w:autoSpaceDN/>
              <w:ind w:right="35"/>
              <w:cnfStyle w:val="000000100000" w:firstRow="0" w:lastRow="0" w:firstColumn="0" w:lastColumn="0" w:oddVBand="0" w:evenVBand="0" w:oddHBand="1" w:evenHBand="0" w:firstRowFirstColumn="0" w:firstRowLastColumn="0" w:lastRowFirstColumn="0" w:lastRowLastColumn="0"/>
            </w:pPr>
            <w:r w:rsidRPr="00595F01">
              <w:t>An ACCH</w:t>
            </w:r>
            <w:r w:rsidR="00A4043C">
              <w:t>S</w:t>
            </w:r>
            <w:r w:rsidRPr="00595F01">
              <w:t>’s model</w:t>
            </w:r>
            <w:r w:rsidRPr="00595F01">
              <w:noBreakHyphen/>
              <w:t>calculated funding is determined by splitting the total funding pool for the year into two equal parts: one based on adjusted client numbers and the other on adjusted Episodes of Care (</w:t>
            </w:r>
            <w:proofErr w:type="spellStart"/>
            <w:r w:rsidRPr="00595F01">
              <w:t>EoC</w:t>
            </w:r>
            <w:proofErr w:type="spellEnd"/>
            <w:r w:rsidRPr="00595F01">
              <w:t>). An ACCH</w:t>
            </w:r>
            <w:r w:rsidR="00A4043C">
              <w:t>S</w:t>
            </w:r>
            <w:r w:rsidRPr="00595F01">
              <w:t>’s allocated funding may sit above or below this model</w:t>
            </w:r>
            <w:r w:rsidRPr="00595F01">
              <w:noBreakHyphen/>
              <w:t>calculated amount.</w:t>
            </w:r>
          </w:p>
          <w:p w14:paraId="6072A3D2" w14:textId="0B412C73" w:rsidR="00595F01" w:rsidRPr="00595F01" w:rsidRDefault="00595F01" w:rsidP="00595F01">
            <w:pPr>
              <w:widowControl/>
              <w:autoSpaceDE/>
              <w:autoSpaceDN/>
              <w:ind w:right="35"/>
              <w:cnfStyle w:val="000000100000" w:firstRow="0" w:lastRow="0" w:firstColumn="0" w:lastColumn="0" w:oddVBand="0" w:evenVBand="0" w:oddHBand="1" w:evenHBand="0" w:firstRowFirstColumn="0" w:firstRowLastColumn="0" w:lastRowFirstColumn="0" w:lastRowLastColumn="0"/>
            </w:pPr>
            <w:r w:rsidRPr="00595F01">
              <w:t>For the first two years of the rolling agreements (2024–25 and 2025–26), the department used averaged OSR data from 2021–22 and 2022–23 to account for past COVID</w:t>
            </w:r>
            <w:r w:rsidRPr="00595F01">
              <w:noBreakHyphen/>
              <w:t>related data impacts. During these years, a ±25% threshold was applied when comparing an ACCH</w:t>
            </w:r>
            <w:r w:rsidR="00A4043C">
              <w:t>S</w:t>
            </w:r>
            <w:r w:rsidRPr="00595F01">
              <w:t>’s model</w:t>
            </w:r>
            <w:r w:rsidRPr="00595F01">
              <w:noBreakHyphen/>
              <w:t>calculated funding to its allocated funding.</w:t>
            </w:r>
          </w:p>
          <w:p w14:paraId="29038B4D" w14:textId="77777777" w:rsidR="00595F01" w:rsidRPr="00595F01" w:rsidRDefault="00595F01" w:rsidP="00595F01">
            <w:pPr>
              <w:widowControl/>
              <w:autoSpaceDE/>
              <w:autoSpaceDN/>
              <w:ind w:right="35"/>
              <w:cnfStyle w:val="000000100000" w:firstRow="0" w:lastRow="0" w:firstColumn="0" w:lastColumn="0" w:oddVBand="0" w:evenVBand="0" w:oddHBand="1" w:evenHBand="0" w:firstRowFirstColumn="0" w:firstRowLastColumn="0" w:lastRowFirstColumn="0" w:lastRowLastColumn="0"/>
            </w:pPr>
            <w:r w:rsidRPr="00595F01">
              <w:t>From 2026–27 onwards, the above</w:t>
            </w:r>
            <w:r w:rsidRPr="00595F01">
              <w:noBreakHyphen/>
              <w:t>or</w:t>
            </w:r>
            <w:r w:rsidRPr="00595F01">
              <w:noBreakHyphen/>
              <w:t>below threshold is set at 0%.</w:t>
            </w:r>
          </w:p>
          <w:p w14:paraId="0D0E3D90" w14:textId="682E96E7" w:rsidR="006B154A" w:rsidRPr="009B5B65" w:rsidRDefault="006B154A" w:rsidP="00A436B6">
            <w:pPr>
              <w:pStyle w:val="Heading4"/>
              <w:ind w:right="35"/>
              <w:cnfStyle w:val="000000100000" w:firstRow="0" w:lastRow="0" w:firstColumn="0" w:lastColumn="0" w:oddVBand="0" w:evenVBand="0" w:oddHBand="1" w:evenHBand="0" w:firstRowFirstColumn="0" w:firstRowLastColumn="0" w:lastRowFirstColumn="0" w:lastRowLastColumn="0"/>
              <w:rPr>
                <w:b w:val="0"/>
                <w:bCs w:val="0"/>
              </w:rPr>
            </w:pPr>
          </w:p>
        </w:tc>
      </w:tr>
    </w:tbl>
    <w:p w14:paraId="0562C1F5" w14:textId="77777777" w:rsidR="00A436B6" w:rsidRDefault="00A436B6">
      <w:pPr>
        <w:spacing w:before="0" w:after="0"/>
      </w:pPr>
      <w:bookmarkStart w:id="6" w:name="Counting_Indigenous_and_non-Indigenous_c"/>
      <w:bookmarkStart w:id="7" w:name="_bookmark1"/>
      <w:bookmarkStart w:id="8" w:name="Adjusting_for_location_and_health_care_n"/>
      <w:bookmarkStart w:id="9" w:name="Model-calculated_funding_amounts"/>
      <w:bookmarkStart w:id="10" w:name="Model_implementation"/>
      <w:bookmarkEnd w:id="6"/>
      <w:bookmarkEnd w:id="7"/>
      <w:bookmarkEnd w:id="8"/>
      <w:bookmarkEnd w:id="9"/>
      <w:bookmarkEnd w:id="10"/>
      <w:r>
        <w:br w:type="page"/>
      </w:r>
    </w:p>
    <w:p w14:paraId="754F98B3" w14:textId="46130FFC" w:rsidR="00850483" w:rsidRDefault="54941A28" w:rsidP="0072269A">
      <w:pPr>
        <w:pStyle w:val="Heading2"/>
        <w:spacing w:before="44"/>
        <w:ind w:right="35"/>
        <w:rPr>
          <w:color w:val="0D0D0D"/>
        </w:rPr>
      </w:pPr>
      <w:r w:rsidRPr="68C33039">
        <w:rPr>
          <w:color w:val="0D0D0D" w:themeColor="text1" w:themeTint="F2"/>
        </w:rPr>
        <w:lastRenderedPageBreak/>
        <w:t xml:space="preserve">How funding is </w:t>
      </w:r>
      <w:r w:rsidRPr="78AFD301">
        <w:rPr>
          <w:color w:val="0D0D0D" w:themeColor="text1" w:themeTint="F2"/>
        </w:rPr>
        <w:t>calculated</w:t>
      </w:r>
      <w:r w:rsidR="00850483" w:rsidRPr="4A958A74">
        <w:rPr>
          <w:color w:val="0D0D0D" w:themeColor="text1" w:themeTint="F2"/>
        </w:rPr>
        <w:t xml:space="preserve"> under the four-year rolling agreements</w:t>
      </w:r>
    </w:p>
    <w:p w14:paraId="49E556D9" w14:textId="77777777" w:rsidR="004F36D9" w:rsidRPr="00A436B6" w:rsidRDefault="26396756" w:rsidP="004F36D9">
      <w:pPr>
        <w:pStyle w:val="Heading4"/>
      </w:pPr>
      <w:r>
        <w:t>Year 1 – 2024-25</w:t>
      </w:r>
    </w:p>
    <w:p w14:paraId="18486567" w14:textId="202B79A7" w:rsidR="004F36D9" w:rsidRPr="00A436B6" w:rsidRDefault="26396756" w:rsidP="6A1E1044">
      <w:pPr>
        <w:pStyle w:val="BodyText"/>
        <w:ind w:right="35"/>
      </w:pPr>
      <w:r>
        <w:t>Each ACCHS receive</w:t>
      </w:r>
      <w:r w:rsidR="000A67EF">
        <w:t>d</w:t>
      </w:r>
      <w:r>
        <w:t xml:space="preserve"> its 2023-24 </w:t>
      </w:r>
      <w:r w:rsidR="004C1AE2">
        <w:t>CPHC</w:t>
      </w:r>
      <w:r>
        <w:t xml:space="preserve"> funding amount plus a one-off increase of 5%. </w:t>
      </w:r>
    </w:p>
    <w:p w14:paraId="5BF1B6CF" w14:textId="77777777" w:rsidR="004F36D9" w:rsidRPr="00A436B6" w:rsidRDefault="26396756" w:rsidP="004F36D9">
      <w:pPr>
        <w:pStyle w:val="Heading4"/>
      </w:pPr>
      <w:r>
        <w:t>Year 2 – 2025-26</w:t>
      </w:r>
    </w:p>
    <w:p w14:paraId="0885A3D2" w14:textId="4F63D57D" w:rsidR="004F36D9" w:rsidRPr="00A436B6" w:rsidRDefault="26396756" w:rsidP="427A7BA4">
      <w:pPr>
        <w:pStyle w:val="BodyText"/>
        <w:ind w:right="35"/>
      </w:pPr>
      <w:r>
        <w:t>Each ACCHS receive</w:t>
      </w:r>
      <w:r w:rsidR="000A67EF">
        <w:t>d</w:t>
      </w:r>
      <w:r>
        <w:t xml:space="preserve"> its 2024-25 funding amount, plus an additional percentage increase worked out using the Funding Distribution Model. </w:t>
      </w:r>
    </w:p>
    <w:p w14:paraId="30D744C8" w14:textId="589D76B8" w:rsidR="004F36D9" w:rsidRPr="00A436B6" w:rsidRDefault="004F36D9" w:rsidP="004F36D9">
      <w:pPr>
        <w:pStyle w:val="Heading4"/>
      </w:pPr>
      <w:r w:rsidRPr="00A436B6">
        <w:t>Years 3 and 4 – 2026-27 and 2027-28</w:t>
      </w:r>
    </w:p>
    <w:p w14:paraId="7AABEE06" w14:textId="6612FC97" w:rsidR="004F36D9" w:rsidRPr="004F36D9" w:rsidRDefault="120DD619" w:rsidP="004F36D9">
      <w:pPr>
        <w:pStyle w:val="BodyText"/>
        <w:ind w:right="35"/>
      </w:pPr>
      <w:r>
        <w:t>Funding for</w:t>
      </w:r>
      <w:r w:rsidR="004F36D9">
        <w:t xml:space="preserve"> 2026-27 and 2027-28 </w:t>
      </w:r>
      <w:r w:rsidR="2B3FDC98">
        <w:t>starts with each ACCHS</w:t>
      </w:r>
      <w:r w:rsidR="000A67EF">
        <w:t>’</w:t>
      </w:r>
      <w:r w:rsidR="2B3FDC98">
        <w:t>s</w:t>
      </w:r>
      <w:r w:rsidR="004F36D9">
        <w:t xml:space="preserve"> 2025-26 funding </w:t>
      </w:r>
      <w:r w:rsidR="40B81DB6">
        <w:t>amount.</w:t>
      </w:r>
      <w:r w:rsidR="00B13CF5">
        <w:t xml:space="preserve"> </w:t>
      </w:r>
      <w:r w:rsidR="425D22D0">
        <w:t>A</w:t>
      </w:r>
      <w:r w:rsidR="004F36D9">
        <w:t xml:space="preserve">ny additional </w:t>
      </w:r>
      <w:r w:rsidR="00DB3272">
        <w:t xml:space="preserve">funding is pooled together as “growth” and distributed proportionally according to the </w:t>
      </w:r>
      <w:r w:rsidR="004F36D9">
        <w:t xml:space="preserve">Funding Distribution Model. </w:t>
      </w:r>
      <w:r w:rsidR="008E5C45">
        <w:t xml:space="preserve">Additional growth </w:t>
      </w:r>
      <w:r w:rsidR="004F36D9">
        <w:t xml:space="preserve">funding </w:t>
      </w:r>
      <w:r w:rsidR="00073B71">
        <w:t>was</w:t>
      </w:r>
      <w:r w:rsidR="004F36D9">
        <w:t xml:space="preserve"> </w:t>
      </w:r>
      <w:r w:rsidR="008E5C45">
        <w:t xml:space="preserve">determined </w:t>
      </w:r>
      <w:r w:rsidR="73C4A825">
        <w:t>during</w:t>
      </w:r>
      <w:r w:rsidR="004F36D9">
        <w:t xml:space="preserve"> the first funding review in 2025-26. </w:t>
      </w:r>
    </w:p>
    <w:p w14:paraId="05FEA651" w14:textId="7CB53132" w:rsidR="00927476" w:rsidRDefault="00770A4C" w:rsidP="00927476">
      <w:pPr>
        <w:pStyle w:val="BodyText"/>
        <w:numPr>
          <w:ilvl w:val="0"/>
          <w:numId w:val="17"/>
        </w:numPr>
        <w:ind w:left="284" w:right="35" w:hanging="284"/>
      </w:pPr>
      <w:r w:rsidRPr="00770A4C">
        <w:t xml:space="preserve">Where an </w:t>
      </w:r>
      <w:r>
        <w:t>ACCH</w:t>
      </w:r>
      <w:r w:rsidR="4A327B0A">
        <w:t>S</w:t>
      </w:r>
      <w:r w:rsidR="007A34A4">
        <w:t>’</w:t>
      </w:r>
      <w:r w:rsidR="4A327B0A">
        <w:t>s</w:t>
      </w:r>
      <w:r w:rsidRPr="00770A4C">
        <w:t xml:space="preserve"> model</w:t>
      </w:r>
      <w:r w:rsidRPr="00770A4C">
        <w:noBreakHyphen/>
        <w:t xml:space="preserve">calculated funding is </w:t>
      </w:r>
      <w:r w:rsidR="0E488614">
        <w:t>lower</w:t>
      </w:r>
      <w:r w:rsidRPr="00770A4C">
        <w:t xml:space="preserve"> </w:t>
      </w:r>
      <w:r w:rsidR="5D4F6571">
        <w:t>than</w:t>
      </w:r>
      <w:r>
        <w:t xml:space="preserve"> </w:t>
      </w:r>
      <w:r w:rsidRPr="00770A4C">
        <w:t>its allocated funding, its funding for the</w:t>
      </w:r>
      <w:r>
        <w:t xml:space="preserve"> </w:t>
      </w:r>
      <w:r w:rsidRPr="00770A4C">
        <w:t xml:space="preserve">next period equals </w:t>
      </w:r>
      <w:r w:rsidR="3F158760">
        <w:t>is</w:t>
      </w:r>
      <w:r>
        <w:t xml:space="preserve"> </w:t>
      </w:r>
      <w:r w:rsidRPr="00770A4C">
        <w:t>its current allocated funding plus a 1% increase.</w:t>
      </w:r>
    </w:p>
    <w:p w14:paraId="1B240BB7" w14:textId="502620A5" w:rsidR="00EE7087" w:rsidRPr="00EE7087" w:rsidRDefault="00770A4C" w:rsidP="00EE7087">
      <w:pPr>
        <w:pStyle w:val="BodyText"/>
        <w:numPr>
          <w:ilvl w:val="0"/>
          <w:numId w:val="17"/>
        </w:numPr>
        <w:ind w:left="284" w:right="35" w:hanging="284"/>
      </w:pPr>
      <w:r w:rsidRPr="00927476">
        <w:rPr>
          <w:rFonts w:hAnsi="Symbol"/>
          <w:lang w:bidi="ar-SA"/>
        </w:rPr>
        <w:t xml:space="preserve">Where an </w:t>
      </w:r>
      <w:r w:rsidR="007A34A4">
        <w:t>ACCHS’s</w:t>
      </w:r>
      <w:r w:rsidRPr="00927476">
        <w:rPr>
          <w:rFonts w:hAnsi="Symbol"/>
          <w:lang w:bidi="ar-SA"/>
        </w:rPr>
        <w:t xml:space="preserve"> model</w:t>
      </w:r>
      <w:r w:rsidRPr="00927476">
        <w:rPr>
          <w:rFonts w:hAnsi="Symbol"/>
          <w:lang w:bidi="ar-SA"/>
        </w:rPr>
        <w:noBreakHyphen/>
        <w:t xml:space="preserve">calculated funding is </w:t>
      </w:r>
      <w:r w:rsidR="4570740E" w:rsidRPr="00927476">
        <w:rPr>
          <w:rFonts w:hAnsi="Symbol"/>
          <w:lang w:bidi="ar-SA"/>
        </w:rPr>
        <w:t>higher than</w:t>
      </w:r>
      <w:r w:rsidRPr="00927476">
        <w:rPr>
          <w:rFonts w:hAnsi="Symbol"/>
          <w:lang w:bidi="ar-SA"/>
        </w:rPr>
        <w:t xml:space="preserve"> its allocated funding, its </w:t>
      </w:r>
      <w:r w:rsidR="15236D9F" w:rsidRPr="00927476">
        <w:rPr>
          <w:rFonts w:hAnsi="Symbol"/>
          <w:lang w:bidi="ar-SA"/>
        </w:rPr>
        <w:t>funding</w:t>
      </w:r>
      <w:r w:rsidRPr="00927476">
        <w:rPr>
          <w:rFonts w:hAnsi="Symbol"/>
          <w:lang w:bidi="ar-SA"/>
        </w:rPr>
        <w:t xml:space="preserve"> for the next period </w:t>
      </w:r>
      <w:r w:rsidR="6E817B5B" w:rsidRPr="00927476">
        <w:rPr>
          <w:rFonts w:hAnsi="Symbol"/>
          <w:lang w:bidi="ar-SA"/>
        </w:rPr>
        <w:t>is its</w:t>
      </w:r>
      <w:r w:rsidRPr="00927476">
        <w:rPr>
          <w:rFonts w:hAnsi="Symbol"/>
          <w:lang w:bidi="ar-SA"/>
        </w:rPr>
        <w:t xml:space="preserve"> current allocated funding plus a 3% increase, </w:t>
      </w:r>
      <w:r w:rsidR="00B05D8F">
        <w:rPr>
          <w:rFonts w:hAnsi="Symbol"/>
          <w:lang w:bidi="ar-SA"/>
        </w:rPr>
        <w:t xml:space="preserve">plus their </w:t>
      </w:r>
      <w:r w:rsidRPr="00927476">
        <w:rPr>
          <w:rFonts w:hAnsi="Symbol"/>
          <w:lang w:bidi="ar-SA"/>
        </w:rPr>
        <w:t xml:space="preserve">share of </w:t>
      </w:r>
      <w:r w:rsidR="00D1370D">
        <w:rPr>
          <w:rFonts w:hAnsi="Symbol"/>
          <w:lang w:bidi="ar-SA"/>
        </w:rPr>
        <w:t>growth</w:t>
      </w:r>
      <w:r w:rsidR="00B05D8F">
        <w:rPr>
          <w:rFonts w:hAnsi="Symbol"/>
          <w:lang w:bidi="ar-SA"/>
        </w:rPr>
        <w:t xml:space="preserve"> funding</w:t>
      </w:r>
      <w:r w:rsidRPr="009E3DF4">
        <w:rPr>
          <w:rFonts w:hAnsi="Symbol"/>
          <w:lang w:bidi="ar-SA"/>
        </w:rPr>
        <w:t>.</w:t>
      </w:r>
    </w:p>
    <w:p w14:paraId="492D00E9" w14:textId="53AEB38E" w:rsidR="003D5BEF" w:rsidRDefault="003D5BEF" w:rsidP="00EE7087">
      <w:pPr>
        <w:pStyle w:val="BodyText"/>
        <w:numPr>
          <w:ilvl w:val="0"/>
          <w:numId w:val="17"/>
        </w:numPr>
        <w:ind w:left="284" w:right="35" w:hanging="284"/>
      </w:pPr>
      <w:r>
        <w:t xml:space="preserve">The size of each ACCHS share is calculated using the Funding Distribution Model and is based on adjusted client numbers and adjusted episodes of care, as described in </w:t>
      </w:r>
      <w:hyperlink w:anchor="Table_1_Definition" w:history="1">
        <w:r w:rsidRPr="0032533D">
          <w:rPr>
            <w:rStyle w:val="Hyperlink"/>
          </w:rPr>
          <w:t>Table 1. Definition of Funding Distribution Model terms</w:t>
        </w:r>
      </w:hyperlink>
      <w:r>
        <w:t>.</w:t>
      </w:r>
    </w:p>
    <w:p w14:paraId="7B90D264" w14:textId="77777777" w:rsidR="00850EB5" w:rsidRPr="00D71E16" w:rsidRDefault="00850EB5" w:rsidP="00850EB5">
      <w:pPr>
        <w:pStyle w:val="Heading2"/>
        <w:spacing w:before="44"/>
        <w:ind w:right="35"/>
        <w:rPr>
          <w:color w:val="0D0D0D"/>
        </w:rPr>
      </w:pPr>
      <w:r w:rsidRPr="00D71E16">
        <w:rPr>
          <w:color w:val="0D0D0D"/>
        </w:rPr>
        <w:t>Treatment of indexation under the rolling agreements</w:t>
      </w:r>
    </w:p>
    <w:p w14:paraId="7DE4324C" w14:textId="3EE6CCBE" w:rsidR="00850EB5" w:rsidRDefault="00850EB5" w:rsidP="00850EB5">
      <w:pPr>
        <w:pStyle w:val="BodyText"/>
        <w:spacing w:before="159" w:line="256" w:lineRule="auto"/>
        <w:ind w:right="35"/>
      </w:pPr>
      <w:r>
        <w:t xml:space="preserve">Indexation is applied to the IAHP </w:t>
      </w:r>
      <w:r w:rsidR="00DE1E4C">
        <w:t>CPHC</w:t>
      </w:r>
      <w:r>
        <w:t xml:space="preserve"> funding pool for ACCH</w:t>
      </w:r>
      <w:r w:rsidR="7D451C66">
        <w:t>S</w:t>
      </w:r>
      <w:r w:rsidR="002A3467">
        <w:t>s</w:t>
      </w:r>
      <w:r>
        <w:t xml:space="preserve"> </w:t>
      </w:r>
      <w:r w:rsidR="6381618D">
        <w:t>with</w:t>
      </w:r>
      <w:r>
        <w:t xml:space="preserve"> rolling funding agreements</w:t>
      </w:r>
      <w:r w:rsidR="60319797">
        <w:t>.</w:t>
      </w:r>
      <w:r>
        <w:t xml:space="preserve"> </w:t>
      </w:r>
      <w:r w:rsidR="45C4CC2B">
        <w:t xml:space="preserve">This is </w:t>
      </w:r>
      <w:r>
        <w:t xml:space="preserve">consistent with the Government’s commitment to increase the funding pool </w:t>
      </w:r>
      <w:r w:rsidR="7889D5AC">
        <w:t>by</w:t>
      </w:r>
      <w:r>
        <w:t xml:space="preserve"> 3% </w:t>
      </w:r>
      <w:r w:rsidR="6E9BEA7D">
        <w:t xml:space="preserve">each </w:t>
      </w:r>
      <w:r>
        <w:t>year</w:t>
      </w:r>
      <w:r w:rsidR="47118382">
        <w:t>,</w:t>
      </w:r>
      <w:r w:rsidR="002E2FEF">
        <w:t xml:space="preserve"> </w:t>
      </w:r>
      <w:r>
        <w:t>inclu</w:t>
      </w:r>
      <w:r w:rsidR="0B23DD73">
        <w:t>ding</w:t>
      </w:r>
      <w:r>
        <w:t xml:space="preserve"> indexation. </w:t>
      </w:r>
    </w:p>
    <w:p w14:paraId="366A8412" w14:textId="7852279F" w:rsidR="00850EB5" w:rsidRDefault="45EA944B" w:rsidP="00850EB5">
      <w:pPr>
        <w:pStyle w:val="BodyText"/>
        <w:tabs>
          <w:tab w:val="left" w:pos="9498"/>
        </w:tabs>
        <w:spacing w:before="159" w:line="256" w:lineRule="auto"/>
        <w:ind w:right="35"/>
      </w:pPr>
      <w:r>
        <w:t>In practice</w:t>
      </w:r>
      <w:r w:rsidR="00850EB5">
        <w:t>, indexation is built into ACCH</w:t>
      </w:r>
      <w:r w:rsidR="3E4E55A1">
        <w:t>Ss</w:t>
      </w:r>
      <w:r w:rsidR="00850EB5">
        <w:t xml:space="preserve"> </w:t>
      </w:r>
      <w:r w:rsidR="0901F228">
        <w:t>annual funding</w:t>
      </w:r>
      <w:r w:rsidR="00850EB5">
        <w:t xml:space="preserve"> </w:t>
      </w:r>
      <w:r w:rsidR="2FF2EFCC">
        <w:t>through</w:t>
      </w:r>
      <w:r w:rsidR="00850EB5">
        <w:t xml:space="preserve"> </w:t>
      </w:r>
      <w:r w:rsidR="2FF2EFCC">
        <w:t>the</w:t>
      </w:r>
      <w:r w:rsidR="00850EB5">
        <w:t xml:space="preserve"> 1% or 3% increase and </w:t>
      </w:r>
      <w:r w:rsidR="1BA0901F">
        <w:t xml:space="preserve">any </w:t>
      </w:r>
      <w:r w:rsidR="00850EB5">
        <w:t xml:space="preserve">additional funds </w:t>
      </w:r>
      <w:r w:rsidR="6C9075E3">
        <w:t xml:space="preserve">distributed through </w:t>
      </w:r>
      <w:r w:rsidR="795B00EA">
        <w:t>the</w:t>
      </w:r>
      <w:r w:rsidR="00850EB5">
        <w:t xml:space="preserve"> </w:t>
      </w:r>
      <w:r w:rsidR="11DA86A7">
        <w:t>m</w:t>
      </w:r>
      <w:r w:rsidR="00850EB5">
        <w:t xml:space="preserve">odel. </w:t>
      </w:r>
      <w:r w:rsidR="248F5A22">
        <w:t>It is not paid as a separate extra gran</w:t>
      </w:r>
      <w:r w:rsidR="00D53F11">
        <w:t>t</w:t>
      </w:r>
      <w:r w:rsidR="248F5A22">
        <w:t xml:space="preserve"> amount.</w:t>
      </w:r>
      <w:r w:rsidR="00850EB5">
        <w:t xml:space="preserve"> This</w:t>
      </w:r>
      <w:r w:rsidR="5A0F8567">
        <w:t xml:space="preserve"> </w:t>
      </w:r>
      <w:r w:rsidR="271FCC16">
        <w:t>approach</w:t>
      </w:r>
      <w:r w:rsidR="00E15297">
        <w:t xml:space="preserve"> is</w:t>
      </w:r>
      <w:r w:rsidR="271FCC16">
        <w:t xml:space="preserve"> intended to</w:t>
      </w:r>
      <w:r w:rsidR="00850EB5">
        <w:t xml:space="preserve"> provide greater funding certainty </w:t>
      </w:r>
      <w:r w:rsidR="5C8B85CF">
        <w:t>and reduce</w:t>
      </w:r>
      <w:r w:rsidR="00850EB5">
        <w:t xml:space="preserve"> administrative burden. </w:t>
      </w:r>
    </w:p>
    <w:p w14:paraId="5D55E2CF" w14:textId="77777777" w:rsidR="00850EB5" w:rsidRPr="00A436B6" w:rsidRDefault="00850EB5" w:rsidP="00A436B6">
      <w:r w:rsidRPr="00A436B6">
        <w:br w:type="page"/>
      </w:r>
    </w:p>
    <w:p w14:paraId="7E0CA31F" w14:textId="4D902E08" w:rsidR="00850483" w:rsidRDefault="2188F5DE" w:rsidP="0072269A">
      <w:pPr>
        <w:pStyle w:val="Heading2"/>
        <w:spacing w:before="44"/>
        <w:ind w:right="35"/>
        <w:rPr>
          <w:color w:val="0D0D0D"/>
        </w:rPr>
      </w:pPr>
      <w:r w:rsidRPr="2EE26BA6">
        <w:rPr>
          <w:color w:val="0D0D0D" w:themeColor="text1" w:themeTint="F2"/>
        </w:rPr>
        <w:lastRenderedPageBreak/>
        <w:t>How the model is applied</w:t>
      </w:r>
    </w:p>
    <w:p w14:paraId="745DDA27" w14:textId="2F2DEEFD" w:rsidR="005C6FD8" w:rsidRPr="005C6FD8" w:rsidRDefault="005C6FD8" w:rsidP="005C6FD8">
      <w:pPr>
        <w:keepNext/>
        <w:ind w:right="35"/>
      </w:pPr>
    </w:p>
    <w:p w14:paraId="47E42C2E" w14:textId="2347603B" w:rsidR="006F7B6C" w:rsidRDefault="009B25C7" w:rsidP="00C30574">
      <w:pPr>
        <w:keepNext/>
        <w:ind w:right="35"/>
      </w:pPr>
      <w:r w:rsidRPr="009B25C7">
        <w:rPr>
          <w:noProof/>
        </w:rPr>
        <w:drawing>
          <wp:inline distT="0" distB="0" distL="0" distR="0" wp14:anchorId="04CF9FE2" wp14:editId="43918B8C">
            <wp:extent cx="6053455" cy="2228215"/>
            <wp:effectExtent l="0" t="0" r="4445" b="635"/>
            <wp:docPr id="998291150" name="Picture 1" descr="Flowchart illustrating funding allocation process based on comparison between current year's allocated funding and modelled funding, with decision points leading to either a 3% increase plus redistribution or a 1% increase in funding. Key components include decision nodes in blue, process steps in blue rectangles, and results highlighted in green boxes, showing funding adjustment outcomes for ACC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91150" name="Picture 1" descr="Flowchart illustrating funding allocation process based on comparison between current year's allocated funding and modelled funding, with decision points leading to either a 3% increase plus redistribution or a 1% increase in funding. Key components include decision nodes in blue, process steps in blue rectangles, and results highlighted in green boxes, showing funding adjustment outcomes for ACCHSs."/>
                    <pic:cNvPicPr/>
                  </pic:nvPicPr>
                  <pic:blipFill>
                    <a:blip r:embed="rId12"/>
                    <a:stretch>
                      <a:fillRect/>
                    </a:stretch>
                  </pic:blipFill>
                  <pic:spPr>
                    <a:xfrm>
                      <a:off x="0" y="0"/>
                      <a:ext cx="6053455" cy="2228215"/>
                    </a:xfrm>
                    <a:prstGeom prst="rect">
                      <a:avLst/>
                    </a:prstGeom>
                  </pic:spPr>
                </pic:pic>
              </a:graphicData>
            </a:graphic>
          </wp:inline>
        </w:drawing>
      </w:r>
      <w:r w:rsidRPr="009B25C7">
        <w:rPr>
          <w:noProof/>
        </w:rPr>
        <w:t xml:space="preserve"> </w:t>
      </w:r>
    </w:p>
    <w:p w14:paraId="1069A53F" w14:textId="0E67CBA3" w:rsidR="0070489E" w:rsidRPr="0070489E" w:rsidRDefault="006F7B6C" w:rsidP="00C30574">
      <w:pPr>
        <w:pStyle w:val="Caption"/>
        <w:rPr>
          <w:rFonts w:ascii="Times New Roman" w:eastAsia="Times New Roman" w:hAnsi="Times New Roman" w:cs="Times New Roman"/>
          <w:sz w:val="24"/>
          <w:szCs w:val="24"/>
          <w:lang w:eastAsia="zh-CN" w:bidi="ar-SA"/>
        </w:rPr>
      </w:pPr>
      <w:r>
        <w:t xml:space="preserve">Figure </w:t>
      </w:r>
      <w:r>
        <w:fldChar w:fldCharType="begin"/>
      </w:r>
      <w:r>
        <w:instrText xml:space="preserve"> SEQ Figure \* ARABIC </w:instrText>
      </w:r>
      <w:r>
        <w:fldChar w:fldCharType="separate"/>
      </w:r>
      <w:r w:rsidR="00207CAF">
        <w:rPr>
          <w:noProof/>
        </w:rPr>
        <w:t>1</w:t>
      </w:r>
      <w:r>
        <w:fldChar w:fldCharType="end"/>
      </w:r>
      <w:r w:rsidR="00C24CB1">
        <w:t xml:space="preserve"> </w:t>
      </w:r>
      <w:r>
        <w:t>Illustration of the Funding Distribution Model</w:t>
      </w:r>
    </w:p>
    <w:p w14:paraId="0613010D" w14:textId="2671FFA5" w:rsidR="00610A96" w:rsidRDefault="00850483" w:rsidP="00A436B6">
      <w:pPr>
        <w:pStyle w:val="BodyText"/>
        <w:spacing w:before="165" w:line="259" w:lineRule="auto"/>
        <w:ind w:right="35"/>
      </w:pPr>
      <w:r>
        <w:t>Th</w:t>
      </w:r>
      <w:r w:rsidR="0082309E">
        <w:t>is</w:t>
      </w:r>
      <w:r>
        <w:t xml:space="preserve"> figure shows how </w:t>
      </w:r>
      <w:r w:rsidR="458E7C4A">
        <w:t xml:space="preserve">the department compares </w:t>
      </w:r>
      <w:r>
        <w:t>an ACCH</w:t>
      </w:r>
      <w:r w:rsidR="7EC35BA4">
        <w:t>S</w:t>
      </w:r>
      <w:r w:rsidR="00AA5E64">
        <w:t>’</w:t>
      </w:r>
      <w:r w:rsidR="7EC35BA4">
        <w:t>s</w:t>
      </w:r>
      <w:r>
        <w:t xml:space="preserve"> allocated </w:t>
      </w:r>
      <w:r w:rsidR="77B5AA9A">
        <w:t>funding with its</w:t>
      </w:r>
      <w:r>
        <w:t xml:space="preserve"> model-calculated funding. ACCH</w:t>
      </w:r>
      <w:r w:rsidR="66E4B8DE">
        <w:t>Ss</w:t>
      </w:r>
      <w:r>
        <w:t xml:space="preserve"> are </w:t>
      </w:r>
      <w:r w:rsidR="2D5411C0">
        <w:t>then groupe</w:t>
      </w:r>
      <w:r w:rsidR="007A63CD">
        <w:t>d</w:t>
      </w:r>
      <w:r w:rsidR="2D5411C0">
        <w:t xml:space="preserve"> according to whether their allocated funding is</w:t>
      </w:r>
      <w:r>
        <w:t xml:space="preserve"> above or below their model-calculated amount</w:t>
      </w:r>
      <w:r w:rsidR="00C107AB">
        <w:t xml:space="preserve"> to decide the percentage increase that applies</w:t>
      </w:r>
      <w:r>
        <w:t xml:space="preserve">. </w:t>
      </w:r>
    </w:p>
    <w:p w14:paraId="0C265138" w14:textId="398EA666" w:rsidR="00C543C3" w:rsidRPr="00A436B6" w:rsidRDefault="00BE0A3F" w:rsidP="00A436B6">
      <w:pPr>
        <w:widowControl/>
        <w:autoSpaceDE/>
        <w:autoSpaceDN/>
        <w:ind w:right="35"/>
        <w:rPr>
          <w:rFonts w:ascii="Times New Roman" w:eastAsia="SimSun" w:hAnsi="Times New Roman" w:cs="Times New Roman"/>
          <w:sz w:val="24"/>
          <w:szCs w:val="24"/>
          <w:lang w:eastAsia="zh-CN" w:bidi="ar-SA"/>
        </w:rPr>
      </w:pPr>
      <w:r>
        <w:t>After the percentage increases are applied, any remaining funding is distributed only to ACCHSs whose allocated funding is below their model</w:t>
      </w:r>
      <w:r w:rsidR="009562F9">
        <w:rPr>
          <w:rFonts w:ascii="Cambria Math" w:hAnsi="Cambria Math" w:cs="Cambria Math"/>
        </w:rPr>
        <w:t>-</w:t>
      </w:r>
      <w:r>
        <w:t>calculated funding and shared between them in proportion to their model</w:t>
      </w:r>
      <w:r w:rsidR="009562F9">
        <w:rPr>
          <w:rFonts w:ascii="Cambria Math" w:hAnsi="Cambria Math" w:cs="Cambria Math"/>
        </w:rPr>
        <w:t>-</w:t>
      </w:r>
      <w:r>
        <w:t>calculated funding.</w:t>
      </w:r>
      <w:r w:rsidR="0072269A">
        <w:t xml:space="preserve"> </w:t>
      </w:r>
      <w:bookmarkStart w:id="11" w:name="_bookmark2"/>
      <w:bookmarkEnd w:id="11"/>
      <w:r w:rsidR="0072269A" w:rsidRPr="421DB9F1">
        <w:rPr>
          <w:rFonts w:ascii="Times New Roman" w:eastAsia="SimSun" w:hAnsi="Times New Roman" w:cs="Times New Roman"/>
          <w:sz w:val="24"/>
          <w:szCs w:val="24"/>
          <w:lang w:eastAsia="zh-CN" w:bidi="ar-SA"/>
        </w:rPr>
        <w:t xml:space="preserve"> </w:t>
      </w:r>
    </w:p>
    <w:p w14:paraId="4336CF6D" w14:textId="0795AE03" w:rsidR="0040146F" w:rsidRDefault="49C6DB7F" w:rsidP="00A436B6">
      <w:r>
        <w:t>The example below shows</w:t>
      </w:r>
      <w:r w:rsidR="00865A22">
        <w:t xml:space="preserve"> how the Funding Distribution Model</w:t>
      </w:r>
      <w:r w:rsidR="655F2F0B">
        <w:t xml:space="preserve"> works using three ACCHSs</w:t>
      </w:r>
      <w:r w:rsidR="00865A22">
        <w:t>: Orgs A, B</w:t>
      </w:r>
      <w:r w:rsidR="52085965">
        <w:t xml:space="preserve"> and C</w:t>
      </w:r>
      <w:r w:rsidR="00865A22">
        <w:t xml:space="preserve">. </w:t>
      </w:r>
      <w:r w:rsidR="5AD3C7D9">
        <w:t>It compares each organisation’s</w:t>
      </w:r>
      <w:r w:rsidR="00950723">
        <w:t xml:space="preserve"> allocated </w:t>
      </w:r>
      <w:r w:rsidR="6E7427E2">
        <w:t>funding with its</w:t>
      </w:r>
      <w:r w:rsidR="0047059F">
        <w:t xml:space="preserve"> model-calculated funding. </w:t>
      </w:r>
    </w:p>
    <w:p w14:paraId="22DEAEEF" w14:textId="357FC015" w:rsidR="000B6BEE" w:rsidRDefault="000B6BEE" w:rsidP="000B6BEE">
      <w:pPr>
        <w:rPr>
          <w:noProof/>
        </w:rPr>
      </w:pPr>
    </w:p>
    <w:p w14:paraId="7E9A651F" w14:textId="5C9B879E" w:rsidR="006222B1" w:rsidRPr="006222B1" w:rsidRDefault="006222B1" w:rsidP="006222B1">
      <w:pPr>
        <w:rPr>
          <w:noProof/>
        </w:rPr>
      </w:pPr>
      <w:r w:rsidRPr="006222B1">
        <w:rPr>
          <w:noProof/>
        </w:rPr>
        <w:drawing>
          <wp:inline distT="0" distB="0" distL="0" distR="0" wp14:anchorId="1FD9B8FC" wp14:editId="0421A2C2">
            <wp:extent cx="6053455" cy="2907665"/>
            <wp:effectExtent l="0" t="0" r="4445" b="6985"/>
            <wp:docPr id="728673038" name="Picture 10" descr="Flowchart illustrating current and future year funding information for three organisations, showing allocation amounts, model calculations, and percentage over or under allocation. Key components include colour-coded sections for current funding, CPHC funding pool, remaining funds distribution, and total future funding, with specific figures and percentage changes detailed for each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73038" name="Picture 10" descr="Flowchart illustrating current and future year funding information for three organisations, showing allocation amounts, model calculations, and percentage over or under allocation. Key components include colour-coded sections for current funding, CPHC funding pool, remaining funds distribution, and total future funding, with specific figures and percentage changes detailed for each organis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3455" cy="2907665"/>
                    </a:xfrm>
                    <a:prstGeom prst="rect">
                      <a:avLst/>
                    </a:prstGeom>
                    <a:noFill/>
                    <a:ln>
                      <a:noFill/>
                    </a:ln>
                  </pic:spPr>
                </pic:pic>
              </a:graphicData>
            </a:graphic>
          </wp:inline>
        </w:drawing>
      </w:r>
    </w:p>
    <w:p w14:paraId="0D7D425F" w14:textId="1D2C3121" w:rsidR="00B431C0" w:rsidRDefault="0040146F" w:rsidP="00B431C0">
      <w:pPr>
        <w:pStyle w:val="ListBullet"/>
      </w:pPr>
      <w:r>
        <w:t xml:space="preserve">Figure </w:t>
      </w:r>
      <w:r>
        <w:fldChar w:fldCharType="begin"/>
      </w:r>
      <w:r>
        <w:instrText xml:space="preserve"> SEQ Figure \* ARABIC </w:instrText>
      </w:r>
      <w:r>
        <w:fldChar w:fldCharType="separate"/>
      </w:r>
      <w:r>
        <w:rPr>
          <w:noProof/>
        </w:rPr>
        <w:t>2</w:t>
      </w:r>
      <w:r>
        <w:fldChar w:fldCharType="end"/>
      </w:r>
      <w:r>
        <w:t xml:space="preserve"> Illustration of how </w:t>
      </w:r>
      <w:r w:rsidR="00A32459">
        <w:t xml:space="preserve">an </w:t>
      </w:r>
      <w:r w:rsidRPr="004D25E5">
        <w:t>ACCH</w:t>
      </w:r>
      <w:r w:rsidR="007B7707">
        <w:t>S</w:t>
      </w:r>
      <w:r w:rsidRPr="004D25E5">
        <w:t>’s distributed share is determined by its model-calculated funding amount</w:t>
      </w:r>
      <w:r w:rsidR="007774E1">
        <w:t xml:space="preserve"> </w:t>
      </w:r>
      <w:r w:rsidR="00B431C0">
        <w:t xml:space="preserve">ACCHS’s that are below their model-calculated funding receive a larger increase (3%) and a share of additional funding. ACCHS that are already funded above the model receive a smaller increase only (1%). </w:t>
      </w:r>
    </w:p>
    <w:p w14:paraId="7EE89A00" w14:textId="49F9C166" w:rsidR="00865A22" w:rsidRDefault="002A5A94" w:rsidP="00A436B6">
      <w:pPr>
        <w:pStyle w:val="ListBullet"/>
      </w:pPr>
      <w:r>
        <w:t>T</w:t>
      </w:r>
      <w:r w:rsidR="009E0F5D">
        <w:t>o</w:t>
      </w:r>
      <w:r w:rsidR="00710707">
        <w:t xml:space="preserve"> </w:t>
      </w:r>
      <w:r w:rsidR="25B724C2">
        <w:t>decide whether a</w:t>
      </w:r>
      <w:r w:rsidR="00607449">
        <w:t xml:space="preserve"> </w:t>
      </w:r>
      <w:r w:rsidR="00A32459">
        <w:t>1% or 3%</w:t>
      </w:r>
      <w:r w:rsidR="17D26430">
        <w:t xml:space="preserve"> increase</w:t>
      </w:r>
      <w:r w:rsidR="00710707">
        <w:t xml:space="preserve"> applie</w:t>
      </w:r>
      <w:r w:rsidR="6EA9558C">
        <w:t>s,</w:t>
      </w:r>
      <w:r w:rsidR="00710707">
        <w:t xml:space="preserve"> </w:t>
      </w:r>
      <w:r w:rsidR="75153A34">
        <w:t>the department compares</w:t>
      </w:r>
      <w:r w:rsidR="00710707">
        <w:t xml:space="preserve"> each ACCH</w:t>
      </w:r>
      <w:r w:rsidR="76F90DE6">
        <w:t>S</w:t>
      </w:r>
      <w:r w:rsidR="00040F2C">
        <w:t>’</w:t>
      </w:r>
      <w:r w:rsidR="76F90DE6">
        <w:t>s</w:t>
      </w:r>
      <w:r w:rsidR="00865A22" w:rsidRPr="00294F1A">
        <w:t xml:space="preserve"> </w:t>
      </w:r>
      <w:r w:rsidR="00865A22" w:rsidRPr="00C30574">
        <w:t>allocated</w:t>
      </w:r>
      <w:r w:rsidR="00865A22" w:rsidRPr="00294F1A">
        <w:t xml:space="preserve"> funding amount </w:t>
      </w:r>
      <w:r w:rsidR="452F1C1B">
        <w:t>with</w:t>
      </w:r>
      <w:r w:rsidR="00865A22" w:rsidRPr="00294F1A">
        <w:t xml:space="preserve"> </w:t>
      </w:r>
      <w:r>
        <w:t>its</w:t>
      </w:r>
      <w:r w:rsidRPr="00294F1A">
        <w:t xml:space="preserve"> </w:t>
      </w:r>
      <w:r w:rsidR="00865A22" w:rsidRPr="00C30574">
        <w:t>model-calculated</w:t>
      </w:r>
      <w:r w:rsidR="00865A22" w:rsidRPr="00294F1A">
        <w:t xml:space="preserve"> </w:t>
      </w:r>
      <w:r w:rsidR="7B8E53DE">
        <w:t>funding</w:t>
      </w:r>
      <w:r w:rsidR="00865A22" w:rsidRPr="00294F1A">
        <w:t>:</w:t>
      </w:r>
    </w:p>
    <w:p w14:paraId="1F28C667" w14:textId="72953CD5" w:rsidR="0065638E" w:rsidRDefault="0065638E" w:rsidP="2EE26BA6">
      <w:pPr>
        <w:pStyle w:val="ListBullet"/>
      </w:pPr>
      <w:r>
        <w:lastRenderedPageBreak/>
        <w:t>If an ACCH</w:t>
      </w:r>
      <w:r w:rsidR="61D17E70">
        <w:t>S</w:t>
      </w:r>
      <w:r w:rsidR="00040F2C">
        <w:t>’</w:t>
      </w:r>
      <w:r w:rsidR="61D17E70">
        <w:t>s</w:t>
      </w:r>
      <w:r>
        <w:t xml:space="preserve"> model</w:t>
      </w:r>
      <w:r w:rsidR="00FE39EE">
        <w:rPr>
          <w:rFonts w:ascii="Cambria Math" w:hAnsi="Cambria Math" w:cs="Cambria Math"/>
        </w:rPr>
        <w:t>-</w:t>
      </w:r>
      <w:r>
        <w:t xml:space="preserve">calculated funding is </w:t>
      </w:r>
      <w:r w:rsidR="3DA73854">
        <w:t>lower</w:t>
      </w:r>
      <w:r>
        <w:t xml:space="preserve"> </w:t>
      </w:r>
      <w:r w:rsidR="4A6489A6">
        <w:t>than</w:t>
      </w:r>
      <w:r>
        <w:t xml:space="preserve"> its allocated funding (</w:t>
      </w:r>
      <w:r w:rsidR="3FC88510">
        <w:t>for example</w:t>
      </w:r>
      <w:r>
        <w:t xml:space="preserve"> Org C), its funding for the next period </w:t>
      </w:r>
      <w:r w:rsidR="555EFBED">
        <w:t>is</w:t>
      </w:r>
      <w:r>
        <w:t xml:space="preserve"> its current allocated amount plus a 1% increase.</w:t>
      </w:r>
    </w:p>
    <w:p w14:paraId="344C70F6" w14:textId="47C9A121" w:rsidR="0065638E" w:rsidRPr="00294F1A" w:rsidRDefault="0065638E" w:rsidP="2EE26BA6">
      <w:pPr>
        <w:pStyle w:val="ListBullet"/>
      </w:pPr>
      <w:r>
        <w:t>If an ACCH</w:t>
      </w:r>
      <w:r w:rsidR="675F2680">
        <w:t>S</w:t>
      </w:r>
      <w:r w:rsidR="00DE1A1F">
        <w:t>’</w:t>
      </w:r>
      <w:r w:rsidR="675F2680">
        <w:t>s</w:t>
      </w:r>
      <w:r>
        <w:t xml:space="preserve"> model</w:t>
      </w:r>
      <w:r w:rsidR="00DE1A1F">
        <w:rPr>
          <w:rFonts w:ascii="Cambria Math" w:hAnsi="Cambria Math" w:cs="Cambria Math"/>
        </w:rPr>
        <w:t>-</w:t>
      </w:r>
      <w:r>
        <w:t xml:space="preserve">calculated funding is </w:t>
      </w:r>
      <w:r w:rsidR="5E3D952F">
        <w:t>higher than</w:t>
      </w:r>
      <w:r>
        <w:t xml:space="preserve"> its allocated funding amount (</w:t>
      </w:r>
      <w:r w:rsidR="551DBDB3">
        <w:t>for example</w:t>
      </w:r>
      <w:r>
        <w:t xml:space="preserve"> Org A and Org B), its funding for the next period </w:t>
      </w:r>
      <w:r w:rsidR="4D43D8E8">
        <w:t>is</w:t>
      </w:r>
      <w:r>
        <w:t xml:space="preserve"> its current allocated amount plus a 3% increase, </w:t>
      </w:r>
      <w:r w:rsidR="2555824A">
        <w:t>as well</w:t>
      </w:r>
      <w:r>
        <w:t xml:space="preserve"> </w:t>
      </w:r>
      <w:r w:rsidR="4F2F34FD">
        <w:t>as</w:t>
      </w:r>
      <w:r>
        <w:t xml:space="preserve"> a share of any remaining funds in the pool.</w:t>
      </w:r>
    </w:p>
    <w:p w14:paraId="7F3B4661" w14:textId="0BF8BF23" w:rsidR="00493C5E" w:rsidRDefault="5D6641BF" w:rsidP="00A436B6">
      <w:pPr>
        <w:pStyle w:val="ListBullet"/>
      </w:pPr>
      <w:r>
        <w:t>In this example,</w:t>
      </w:r>
      <w:r w:rsidR="00493C5E">
        <w:t xml:space="preserve"> the total IAHP </w:t>
      </w:r>
      <w:r w:rsidR="00EC7B60">
        <w:t>CPHC</w:t>
      </w:r>
      <w:r w:rsidR="00493C5E">
        <w:t xml:space="preserve"> funding available </w:t>
      </w:r>
      <w:r w:rsidR="4E9E749B">
        <w:t>to</w:t>
      </w:r>
      <w:r w:rsidR="00493C5E">
        <w:t xml:space="preserve"> the three ACCH</w:t>
      </w:r>
      <w:r w:rsidR="1B153617">
        <w:t>Ss</w:t>
      </w:r>
      <w:r w:rsidR="00493C5E">
        <w:t xml:space="preserve"> </w:t>
      </w:r>
      <w:r w:rsidR="002D72F8" w:rsidRPr="00CE63F0">
        <w:t>is $1,000 in the current period and $1,100 in the next period</w:t>
      </w:r>
      <w:r w:rsidR="7D1578E3">
        <w:t>.</w:t>
      </w:r>
      <w:r w:rsidR="002D72F8">
        <w:t xml:space="preserve"> </w:t>
      </w:r>
      <w:r w:rsidR="2F4E64B8">
        <w:t>T</w:t>
      </w:r>
      <w:r w:rsidR="002D72F8">
        <w:t>he</w:t>
      </w:r>
      <w:r w:rsidR="65516498">
        <w:t xml:space="preserve"> funding is then worked out</w:t>
      </w:r>
      <w:r w:rsidR="002D72F8" w:rsidRPr="00CE63F0">
        <w:t xml:space="preserve"> as </w:t>
      </w:r>
      <w:r w:rsidR="008C5736" w:rsidRPr="00CE63F0">
        <w:t>follows:</w:t>
      </w:r>
    </w:p>
    <w:p w14:paraId="2007E1B7" w14:textId="77777777" w:rsidR="00493C5E" w:rsidRDefault="00493C5E" w:rsidP="00493C5E">
      <w:pPr>
        <w:widowControl/>
        <w:numPr>
          <w:ilvl w:val="1"/>
          <w:numId w:val="12"/>
        </w:numPr>
        <w:autoSpaceDE/>
        <w:autoSpaceDN/>
        <w:spacing w:after="160" w:line="259" w:lineRule="auto"/>
      </w:pPr>
      <w:r>
        <w:t>Org A receives $500 + ($500 x 3%) + a share of the remaining funds = $515 + share</w:t>
      </w:r>
    </w:p>
    <w:p w14:paraId="696AE14D" w14:textId="77777777" w:rsidR="00493C5E" w:rsidRDefault="00493C5E" w:rsidP="00493C5E">
      <w:pPr>
        <w:widowControl/>
        <w:numPr>
          <w:ilvl w:val="1"/>
          <w:numId w:val="12"/>
        </w:numPr>
        <w:autoSpaceDE/>
        <w:autoSpaceDN/>
        <w:spacing w:after="160" w:line="259" w:lineRule="auto"/>
      </w:pPr>
      <w:r>
        <w:t>Org B receives $300 + ($300 x 3%) + a share of the remaining funds = $309 + share</w:t>
      </w:r>
    </w:p>
    <w:p w14:paraId="44522D2D" w14:textId="77777777" w:rsidR="00493C5E" w:rsidRDefault="00493C5E" w:rsidP="00493C5E">
      <w:pPr>
        <w:widowControl/>
        <w:numPr>
          <w:ilvl w:val="1"/>
          <w:numId w:val="12"/>
        </w:numPr>
        <w:autoSpaceDE/>
        <w:autoSpaceDN/>
        <w:spacing w:after="160" w:line="259" w:lineRule="auto"/>
      </w:pPr>
      <w:r>
        <w:t>Org C receives $200 + ($200 x 1%) = $202</w:t>
      </w:r>
    </w:p>
    <w:p w14:paraId="1F9BE7E6" w14:textId="4E36A867" w:rsidR="00493C5E" w:rsidRDefault="00493C5E" w:rsidP="00A436B6">
      <w:pPr>
        <w:pStyle w:val="ListBullet"/>
      </w:pPr>
      <w:r>
        <w:t>After</w:t>
      </w:r>
      <w:r w:rsidR="7CBF79D3">
        <w:t xml:space="preserve"> these</w:t>
      </w:r>
      <w:r>
        <w:t xml:space="preserve"> percentage increases </w:t>
      </w:r>
      <w:r w:rsidR="332E2AD2">
        <w:t>are applied</w:t>
      </w:r>
      <w:r>
        <w:t>, $74 remain</w:t>
      </w:r>
      <w:r w:rsidR="63BE4630">
        <w:t>s</w:t>
      </w:r>
      <w:r>
        <w:t xml:space="preserve"> in the funding pool for Orgs A and B ($1100 – </w:t>
      </w:r>
      <w:r w:rsidR="00CA7103">
        <w:t>$</w:t>
      </w:r>
      <w:r>
        <w:t xml:space="preserve">515 – </w:t>
      </w:r>
      <w:r w:rsidR="00CA7103">
        <w:t>$</w:t>
      </w:r>
      <w:r>
        <w:t xml:space="preserve">309 – </w:t>
      </w:r>
      <w:r w:rsidR="00CA7103">
        <w:t>$</w:t>
      </w:r>
      <w:r>
        <w:t>202 = $74).  Org C</w:t>
      </w:r>
      <w:r w:rsidR="40E084AE">
        <w:t xml:space="preserve"> does not </w:t>
      </w:r>
      <w:r w:rsidR="00F66E89">
        <w:t>receive</w:t>
      </w:r>
      <w:r w:rsidR="40E084AE">
        <w:t xml:space="preserve"> a share of the remaining funds because its </w:t>
      </w:r>
      <w:r>
        <w:t xml:space="preserve">model-calculated funding is </w:t>
      </w:r>
      <w:r w:rsidR="77D54D8F">
        <w:t>lower than</w:t>
      </w:r>
      <w:r>
        <w:t xml:space="preserve"> its allocated funding</w:t>
      </w:r>
      <w:r w:rsidR="2E9C245B">
        <w:t>.</w:t>
      </w:r>
    </w:p>
    <w:p w14:paraId="3B1C2025" w14:textId="0CBFDC22" w:rsidR="00493C5E" w:rsidRPr="00294F1A" w:rsidRDefault="00493C5E" w:rsidP="00A436B6">
      <w:pPr>
        <w:pStyle w:val="ListBullet"/>
      </w:pPr>
      <w:r>
        <w:t xml:space="preserve">The steps </w:t>
      </w:r>
      <w:r w:rsidR="40E52EFB">
        <w:t xml:space="preserve">below </w:t>
      </w:r>
      <w:r>
        <w:t xml:space="preserve">show how the </w:t>
      </w:r>
      <w:r w:rsidR="771E22A9">
        <w:t>model calculates</w:t>
      </w:r>
      <w:r>
        <w:t xml:space="preserve"> Org A and Org B’s shares </w:t>
      </w:r>
      <w:r w:rsidR="26E3D70E">
        <w:t xml:space="preserve">of the </w:t>
      </w:r>
      <w:r w:rsidR="00F66E89">
        <w:t>remaining</w:t>
      </w:r>
      <w:r w:rsidR="00F91EAB">
        <w:t xml:space="preserve"> $74</w:t>
      </w:r>
      <w:r w:rsidR="2B7BB208">
        <w:t>.</w:t>
      </w:r>
    </w:p>
    <w:p w14:paraId="3A3F9865" w14:textId="180D0B90" w:rsidR="00493C5E" w:rsidRPr="00A436B6" w:rsidRDefault="00493C5E" w:rsidP="00A436B6">
      <w:pPr>
        <w:jc w:val="center"/>
      </w:pPr>
      <w:r w:rsidRPr="00294F1A">
        <w:t xml:space="preserve">Org A’s share = </w:t>
      </w:r>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s Model Calc. Amount</m:t>
            </m:r>
          </m:num>
          <m:den>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s Model Calc. Amount+</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s Model Calc. Amount</m:t>
            </m:r>
          </m:den>
        </m:f>
        <m:r>
          <w:rPr>
            <w:rFonts w:ascii="Cambria Math" w:hAnsi="Cambria Math"/>
          </w:rPr>
          <m:t>× $74=</m:t>
        </m:r>
        <m:f>
          <m:fPr>
            <m:ctrlPr>
              <w:rPr>
                <w:rFonts w:ascii="Cambria Math" w:hAnsi="Cambria Math"/>
                <w:i/>
              </w:rPr>
            </m:ctrlPr>
          </m:fPr>
          <m:num>
            <m:r>
              <w:rPr>
                <w:rFonts w:ascii="Cambria Math" w:hAnsi="Cambria Math"/>
              </w:rPr>
              <m:t>610</m:t>
            </m:r>
          </m:num>
          <m:den>
            <m:r>
              <w:rPr>
                <w:rFonts w:ascii="Cambria Math" w:hAnsi="Cambria Math"/>
              </w:rPr>
              <m:t>610+280</m:t>
            </m:r>
          </m:den>
        </m:f>
        <m:r>
          <w:rPr>
            <w:rFonts w:ascii="Cambria Math" w:hAnsi="Cambria Math"/>
          </w:rPr>
          <m:t>×$74=$50.72</m:t>
        </m:r>
      </m:oMath>
    </w:p>
    <w:p w14:paraId="32F1160B" w14:textId="141495A6" w:rsidR="00493C5E" w:rsidRDefault="00493C5E" w:rsidP="00A436B6">
      <w:pPr>
        <w:jc w:val="center"/>
      </w:pPr>
      <w:r w:rsidRPr="00294F1A">
        <w:t>Org B’s share =</w:t>
      </w: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s Model Calc. Amount</m:t>
            </m:r>
          </m:num>
          <m:den>
            <m:sSup>
              <m:sSupPr>
                <m:ctrlPr>
                  <w:rPr>
                    <w:rFonts w:ascii="Cambria Math" w:hAnsi="Cambria Math"/>
                    <w:i/>
                  </w:rPr>
                </m:ctrlPr>
              </m:sSupPr>
              <m:e>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sModel Calc. Amount+ B</m:t>
                </m:r>
              </m:e>
              <m:sup>
                <m:r>
                  <w:rPr>
                    <w:rFonts w:ascii="Cambria Math" w:hAnsi="Cambria Math"/>
                  </w:rPr>
                  <m:t>'</m:t>
                </m:r>
              </m:sup>
            </m:sSup>
            <m:r>
              <w:rPr>
                <w:rFonts w:ascii="Cambria Math" w:hAnsi="Cambria Math"/>
              </w:rPr>
              <m:t>s Model Calc. Amount</m:t>
            </m:r>
          </m:den>
        </m:f>
        <m:r>
          <w:rPr>
            <w:rFonts w:ascii="Cambria Math" w:hAnsi="Cambria Math"/>
          </w:rPr>
          <m:t>× $74=</m:t>
        </m:r>
        <m:f>
          <m:fPr>
            <m:ctrlPr>
              <w:rPr>
                <w:rFonts w:ascii="Cambria Math" w:hAnsi="Cambria Math"/>
                <w:i/>
              </w:rPr>
            </m:ctrlPr>
          </m:fPr>
          <m:num>
            <m:r>
              <w:rPr>
                <w:rFonts w:ascii="Cambria Math" w:hAnsi="Cambria Math"/>
              </w:rPr>
              <m:t>280</m:t>
            </m:r>
          </m:num>
          <m:den>
            <m:r>
              <w:rPr>
                <w:rFonts w:ascii="Cambria Math" w:hAnsi="Cambria Math"/>
              </w:rPr>
              <m:t>610+280</m:t>
            </m:r>
          </m:den>
        </m:f>
        <m:r>
          <w:rPr>
            <w:rFonts w:ascii="Cambria Math" w:hAnsi="Cambria Math"/>
          </w:rPr>
          <m:t>× $74=$23.28</m:t>
        </m:r>
      </m:oMath>
    </w:p>
    <w:p w14:paraId="149DCB52" w14:textId="5E9B1444" w:rsidR="003941B4" w:rsidRDefault="00AB72C1" w:rsidP="00A436B6">
      <w:pPr>
        <w:pStyle w:val="ListBullet"/>
      </w:pPr>
      <w:r>
        <w:t xml:space="preserve">After determining </w:t>
      </w:r>
      <w:r w:rsidR="003941B4">
        <w:t>Orgs A and B’s shares</w:t>
      </w:r>
      <w:r>
        <w:t xml:space="preserve">, the below shows </w:t>
      </w:r>
      <w:r w:rsidR="003941B4">
        <w:t>their allocated funding in 2025-26:</w:t>
      </w:r>
    </w:p>
    <w:p w14:paraId="3F4EA4AE" w14:textId="0997A9B3" w:rsidR="00493C5E" w:rsidRPr="00294F1A" w:rsidRDefault="00493C5E" w:rsidP="00A436B6">
      <w:pPr>
        <w:jc w:val="center"/>
      </w:pPr>
      <w:r w:rsidRPr="00294F1A">
        <w:t>Org A</w:t>
      </w:r>
      <w:r w:rsidR="003941B4">
        <w:t xml:space="preserve">’s allocated funding = </w:t>
      </w:r>
      <m:oMath>
        <m:r>
          <w:rPr>
            <w:rFonts w:ascii="Cambria Math" w:hAnsi="Cambria Math"/>
          </w:rPr>
          <m:t xml:space="preserve">$500+ </m:t>
        </m:r>
        <m:d>
          <m:dPr>
            <m:ctrlPr>
              <w:rPr>
                <w:rFonts w:ascii="Cambria Math" w:hAnsi="Cambria Math"/>
                <w:i/>
              </w:rPr>
            </m:ctrlPr>
          </m:dPr>
          <m:e>
            <m:r>
              <w:rPr>
                <w:rFonts w:ascii="Cambria Math" w:hAnsi="Cambria Math"/>
              </w:rPr>
              <m:t>$500 ×3%</m:t>
            </m:r>
          </m:e>
        </m:d>
        <m:r>
          <w:rPr>
            <w:rFonts w:ascii="Cambria Math" w:hAnsi="Cambria Math"/>
          </w:rPr>
          <m:t>+$50.72=$565.72</m:t>
        </m:r>
      </m:oMath>
    </w:p>
    <w:p w14:paraId="2B2C45D7" w14:textId="0FDC1829" w:rsidR="00493C5E" w:rsidRPr="00294F1A" w:rsidRDefault="00493C5E" w:rsidP="00C30574">
      <w:pPr>
        <w:jc w:val="center"/>
      </w:pPr>
      <w:r w:rsidRPr="00294F1A">
        <w:t>Org B</w:t>
      </w:r>
      <w:r w:rsidR="003941B4">
        <w:t xml:space="preserve">’s allocated funding = </w:t>
      </w:r>
      <m:oMath>
        <m:r>
          <w:rPr>
            <w:rFonts w:ascii="Cambria Math" w:hAnsi="Cambria Math"/>
          </w:rPr>
          <m:t>$300+</m:t>
        </m:r>
        <m:d>
          <m:dPr>
            <m:ctrlPr>
              <w:rPr>
                <w:rFonts w:ascii="Cambria Math" w:hAnsi="Cambria Math"/>
                <w:i/>
              </w:rPr>
            </m:ctrlPr>
          </m:dPr>
          <m:e>
            <m:r>
              <w:rPr>
                <w:rFonts w:ascii="Cambria Math" w:hAnsi="Cambria Math"/>
              </w:rPr>
              <m:t>$300 ×3%</m:t>
            </m:r>
          </m:e>
        </m:d>
        <m:r>
          <w:rPr>
            <w:rFonts w:ascii="Cambria Math" w:hAnsi="Cambria Math"/>
          </w:rPr>
          <m:t>+$23.28 =$332.28</m:t>
        </m:r>
      </m:oMath>
    </w:p>
    <w:p w14:paraId="301018DA" w14:textId="376CC278" w:rsidR="002C664C" w:rsidRPr="00850483" w:rsidRDefault="00850483" w:rsidP="00A436B6">
      <w:pPr>
        <w:pStyle w:val="BodyText"/>
        <w:spacing w:before="165" w:line="259" w:lineRule="auto"/>
        <w:ind w:right="35"/>
      </w:pPr>
      <w:r>
        <w:t>For</w:t>
      </w:r>
      <w:r w:rsidR="22AC0F0B">
        <w:t xml:space="preserve"> more</w:t>
      </w:r>
      <w:r>
        <w:t xml:space="preserve"> information about the IAHP Funding Distribution Model, please email </w:t>
      </w:r>
      <w:hyperlink r:id="rId14">
        <w:r w:rsidR="003A189D" w:rsidRPr="421DB9F1">
          <w:rPr>
            <w:rStyle w:val="Hyperlink"/>
          </w:rPr>
          <w:t>indigenousphcpolicy@health.gov.au</w:t>
        </w:r>
      </w:hyperlink>
      <w:r>
        <w:t xml:space="preserve"> </w:t>
      </w:r>
    </w:p>
    <w:sectPr w:rsidR="002C664C" w:rsidRPr="00850483" w:rsidSect="00C43246">
      <w:headerReference w:type="even" r:id="rId15"/>
      <w:headerReference w:type="default" r:id="rId16"/>
      <w:footerReference w:type="even" r:id="rId17"/>
      <w:footerReference w:type="default" r:id="rId18"/>
      <w:headerReference w:type="first" r:id="rId19"/>
      <w:type w:val="continuous"/>
      <w:pgSz w:w="11910" w:h="16840"/>
      <w:pgMar w:top="960" w:right="1137" w:bottom="860" w:left="12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D8FB" w14:textId="77777777" w:rsidR="00BA3DFB" w:rsidRDefault="00BA3DFB">
      <w:r>
        <w:separator/>
      </w:r>
    </w:p>
  </w:endnote>
  <w:endnote w:type="continuationSeparator" w:id="0">
    <w:p w14:paraId="4D498F2D" w14:textId="77777777" w:rsidR="00BA3DFB" w:rsidRDefault="00BA3DFB">
      <w:r>
        <w:continuationSeparator/>
      </w:r>
    </w:p>
  </w:endnote>
  <w:endnote w:type="continuationNotice" w:id="1">
    <w:p w14:paraId="0B32BE4A" w14:textId="77777777" w:rsidR="00BA3DFB" w:rsidRDefault="00BA3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E759" w14:textId="050F621F" w:rsidR="003452F6" w:rsidRDefault="003452F6">
    <w:pPr>
      <w:pStyle w:val="Footer"/>
    </w:pPr>
    <w:r>
      <w:rPr>
        <w:noProof/>
      </w:rPr>
      <mc:AlternateContent>
        <mc:Choice Requires="wps">
          <w:drawing>
            <wp:anchor distT="0" distB="0" distL="0" distR="0" simplePos="0" relativeHeight="251658244" behindDoc="0" locked="0" layoutInCell="1" allowOverlap="1" wp14:anchorId="3A33F2AA" wp14:editId="36CD4589">
              <wp:simplePos x="635" y="635"/>
              <wp:positionH relativeFrom="page">
                <wp:align>center</wp:align>
              </wp:positionH>
              <wp:positionV relativeFrom="page">
                <wp:align>bottom</wp:align>
              </wp:positionV>
              <wp:extent cx="622300" cy="452755"/>
              <wp:effectExtent l="0" t="0" r="6350" b="0"/>
              <wp:wrapNone/>
              <wp:docPr id="11842703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94F5116" w14:textId="72E6AEA0" w:rsidR="003452F6" w:rsidRPr="003452F6" w:rsidRDefault="003452F6" w:rsidP="003452F6">
                          <w:pPr>
                            <w:spacing w:after="0"/>
                            <w:rPr>
                              <w:rFonts w:ascii="Aptos" w:eastAsia="Aptos" w:hAnsi="Aptos" w:cs="Aptos"/>
                              <w:noProof/>
                              <w:color w:val="FF0000"/>
                              <w:sz w:val="24"/>
                              <w:szCs w:val="24"/>
                            </w:rPr>
                          </w:pPr>
                          <w:r w:rsidRPr="003452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3F2AA"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794F5116" w14:textId="72E6AEA0" w:rsidR="003452F6" w:rsidRPr="003452F6" w:rsidRDefault="003452F6" w:rsidP="003452F6">
                    <w:pPr>
                      <w:spacing w:after="0"/>
                      <w:rPr>
                        <w:rFonts w:ascii="Aptos" w:eastAsia="Aptos" w:hAnsi="Aptos" w:cs="Aptos"/>
                        <w:noProof/>
                        <w:color w:val="FF0000"/>
                        <w:sz w:val="24"/>
                        <w:szCs w:val="24"/>
                      </w:rPr>
                    </w:pPr>
                    <w:r w:rsidRPr="003452F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935A" w14:textId="08C26F8A" w:rsidR="00E16407" w:rsidRDefault="00BA3DFB">
    <w:pPr>
      <w:pStyle w:val="Footer"/>
      <w:jc w:val="right"/>
    </w:pPr>
    <w:sdt>
      <w:sdtPr>
        <w:id w:val="-1780097176"/>
        <w:docPartObj>
          <w:docPartGallery w:val="Page Numbers (Bottom of Page)"/>
          <w:docPartUnique/>
        </w:docPartObj>
      </w:sdtPr>
      <w:sdtEndPr/>
      <w:sdtContent>
        <w:sdt>
          <w:sdtPr>
            <w:id w:val="-1769616900"/>
            <w:docPartObj>
              <w:docPartGallery w:val="Page Numbers (Top of Page)"/>
              <w:docPartUnique/>
            </w:docPartObj>
          </w:sdtPr>
          <w:sdtEndPr/>
          <w:sdtContent>
            <w:r w:rsidR="00E16407">
              <w:t xml:space="preserve">Page </w:t>
            </w:r>
            <w:r w:rsidR="00E16407">
              <w:rPr>
                <w:b/>
                <w:bCs/>
                <w:sz w:val="24"/>
                <w:szCs w:val="24"/>
              </w:rPr>
              <w:fldChar w:fldCharType="begin"/>
            </w:r>
            <w:r w:rsidR="00E16407">
              <w:rPr>
                <w:b/>
                <w:bCs/>
              </w:rPr>
              <w:instrText xml:space="preserve"> PAGE </w:instrText>
            </w:r>
            <w:r w:rsidR="00E16407">
              <w:rPr>
                <w:b/>
                <w:bCs/>
                <w:sz w:val="24"/>
                <w:szCs w:val="24"/>
              </w:rPr>
              <w:fldChar w:fldCharType="separate"/>
            </w:r>
            <w:r w:rsidR="00E16407">
              <w:rPr>
                <w:b/>
                <w:bCs/>
                <w:noProof/>
              </w:rPr>
              <w:t>2</w:t>
            </w:r>
            <w:r w:rsidR="00E16407">
              <w:rPr>
                <w:b/>
                <w:bCs/>
                <w:sz w:val="24"/>
                <w:szCs w:val="24"/>
              </w:rPr>
              <w:fldChar w:fldCharType="end"/>
            </w:r>
            <w:r w:rsidR="00E16407">
              <w:t xml:space="preserve"> of </w:t>
            </w:r>
            <w:r w:rsidR="00E16407">
              <w:rPr>
                <w:b/>
                <w:bCs/>
                <w:sz w:val="24"/>
                <w:szCs w:val="24"/>
              </w:rPr>
              <w:fldChar w:fldCharType="begin"/>
            </w:r>
            <w:r w:rsidR="00E16407">
              <w:rPr>
                <w:b/>
                <w:bCs/>
              </w:rPr>
              <w:instrText xml:space="preserve"> NUMPAGES  </w:instrText>
            </w:r>
            <w:r w:rsidR="00E16407">
              <w:rPr>
                <w:b/>
                <w:bCs/>
                <w:sz w:val="24"/>
                <w:szCs w:val="24"/>
              </w:rPr>
              <w:fldChar w:fldCharType="separate"/>
            </w:r>
            <w:r w:rsidR="00E16407">
              <w:rPr>
                <w:b/>
                <w:bCs/>
                <w:noProof/>
              </w:rPr>
              <w:t>2</w:t>
            </w:r>
            <w:r w:rsidR="00E16407">
              <w:rPr>
                <w:b/>
                <w:bCs/>
                <w:sz w:val="24"/>
                <w:szCs w:val="24"/>
              </w:rPr>
              <w:fldChar w:fldCharType="end"/>
            </w:r>
          </w:sdtContent>
        </w:sdt>
      </w:sdtContent>
    </w:sdt>
  </w:p>
  <w:p w14:paraId="2451DC4C" w14:textId="030FFCF2" w:rsidR="004779F5" w:rsidRDefault="004779F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9FFB" w14:textId="77777777" w:rsidR="00BA3DFB" w:rsidRDefault="00BA3DFB">
      <w:r>
        <w:separator/>
      </w:r>
    </w:p>
  </w:footnote>
  <w:footnote w:type="continuationSeparator" w:id="0">
    <w:p w14:paraId="5FEE73B2" w14:textId="77777777" w:rsidR="00BA3DFB" w:rsidRDefault="00BA3DFB">
      <w:r>
        <w:continuationSeparator/>
      </w:r>
    </w:p>
  </w:footnote>
  <w:footnote w:type="continuationNotice" w:id="1">
    <w:p w14:paraId="025F29F1" w14:textId="77777777" w:rsidR="00BA3DFB" w:rsidRDefault="00BA3DFB"/>
  </w:footnote>
  <w:footnote w:id="2">
    <w:p w14:paraId="70D7B04A" w14:textId="5A5D5F0A" w:rsidR="00850483" w:rsidRDefault="00850483" w:rsidP="00850483">
      <w:pPr>
        <w:pStyle w:val="FootnoteText"/>
      </w:pPr>
      <w:r>
        <w:rPr>
          <w:rStyle w:val="FootnoteReference"/>
        </w:rPr>
        <w:footnoteRef/>
      </w:r>
      <w:r>
        <w:t xml:space="preserve"> See </w:t>
      </w:r>
      <w:hyperlink r:id="rId1" w:history="1">
        <w:proofErr w:type="spellStart"/>
        <w:r w:rsidRPr="00A73576">
          <w:rPr>
            <w:rStyle w:val="Hyperlink"/>
          </w:rPr>
          <w:t>GrantConnect</w:t>
        </w:r>
        <w:proofErr w:type="spellEnd"/>
        <w:r w:rsidRPr="00A73576">
          <w:rPr>
            <w:rStyle w:val="Hyperlink"/>
          </w:rPr>
          <w:t xml:space="preserve"> GO</w:t>
        </w:r>
        <w:r w:rsidR="00A73576" w:rsidRPr="00A73576">
          <w:rPr>
            <w:rStyle w:val="Hyperlink"/>
          </w:rPr>
          <w:t>8115</w:t>
        </w:r>
      </w:hyperlink>
    </w:p>
  </w:footnote>
  <w:footnote w:id="3">
    <w:p w14:paraId="2B9E48BB" w14:textId="4C871476" w:rsidR="006C12E6" w:rsidRDefault="006C12E6">
      <w:pPr>
        <w:pStyle w:val="FootnoteText"/>
      </w:pPr>
      <w:r>
        <w:rPr>
          <w:rStyle w:val="FootnoteReference"/>
        </w:rPr>
        <w:footnoteRef/>
      </w:r>
      <w:r>
        <w:t xml:space="preserve"> See </w:t>
      </w:r>
      <w:hyperlink r:id="rId2" w:history="1">
        <w:r w:rsidR="00FE045A" w:rsidRPr="00FE045A">
          <w:rPr>
            <w:rStyle w:val="Hyperlink"/>
          </w:rPr>
          <w:t>AIHW Online Services 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E511" w14:textId="3C0F8DA6" w:rsidR="003452F6" w:rsidRDefault="003452F6">
    <w:pPr>
      <w:pStyle w:val="Header"/>
    </w:pPr>
    <w:r>
      <w:rPr>
        <w:noProof/>
      </w:rPr>
      <mc:AlternateContent>
        <mc:Choice Requires="wps">
          <w:drawing>
            <wp:anchor distT="0" distB="0" distL="0" distR="0" simplePos="0" relativeHeight="251658241" behindDoc="0" locked="0" layoutInCell="1" allowOverlap="1" wp14:anchorId="3BB9E0B6" wp14:editId="0354A80B">
              <wp:simplePos x="635" y="635"/>
              <wp:positionH relativeFrom="page">
                <wp:align>center</wp:align>
              </wp:positionH>
              <wp:positionV relativeFrom="page">
                <wp:align>top</wp:align>
              </wp:positionV>
              <wp:extent cx="622300" cy="452755"/>
              <wp:effectExtent l="0" t="0" r="6350" b="4445"/>
              <wp:wrapNone/>
              <wp:docPr id="4616529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EEDD171" w14:textId="4488BE22" w:rsidR="003452F6" w:rsidRPr="003452F6" w:rsidRDefault="003452F6" w:rsidP="003452F6">
                          <w:pPr>
                            <w:spacing w:after="0"/>
                            <w:rPr>
                              <w:rFonts w:ascii="Aptos" w:eastAsia="Aptos" w:hAnsi="Aptos" w:cs="Aptos"/>
                              <w:noProof/>
                              <w:color w:val="FF0000"/>
                              <w:sz w:val="24"/>
                              <w:szCs w:val="24"/>
                            </w:rPr>
                          </w:pPr>
                          <w:r w:rsidRPr="003452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9E0B6"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3EEDD171" w14:textId="4488BE22" w:rsidR="003452F6" w:rsidRPr="003452F6" w:rsidRDefault="003452F6" w:rsidP="003452F6">
                    <w:pPr>
                      <w:spacing w:after="0"/>
                      <w:rPr>
                        <w:rFonts w:ascii="Aptos" w:eastAsia="Aptos" w:hAnsi="Aptos" w:cs="Aptos"/>
                        <w:noProof/>
                        <w:color w:val="FF0000"/>
                        <w:sz w:val="24"/>
                        <w:szCs w:val="24"/>
                      </w:rPr>
                    </w:pPr>
                    <w:r w:rsidRPr="003452F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1FFF" w14:textId="517F0CF3" w:rsidR="004779F5" w:rsidRDefault="004779F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F60A" w14:textId="3F320457" w:rsidR="00C43246" w:rsidRDefault="000C24E4">
    <w:pPr>
      <w:pStyle w:val="Header"/>
    </w:pPr>
    <w:r w:rsidRPr="000C24E4">
      <w:rPr>
        <w:noProof/>
      </w:rPr>
      <w:drawing>
        <wp:inline distT="0" distB="0" distL="0" distR="0" wp14:anchorId="172F3A1C" wp14:editId="7CDD5126">
          <wp:extent cx="5753100" cy="933450"/>
          <wp:effectExtent l="0" t="0" r="0" b="0"/>
          <wp:docPr id="1685872315" name="Picture 9"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33450"/>
                  </a:xfrm>
                  <a:prstGeom prst="rect">
                    <a:avLst/>
                  </a:prstGeom>
                  <a:noFill/>
                  <a:ln>
                    <a:noFill/>
                  </a:ln>
                </pic:spPr>
              </pic:pic>
            </a:graphicData>
          </a:graphic>
        </wp:inline>
      </w:drawing>
    </w:r>
    <w:r w:rsidRPr="000C24E4">
      <w:t> </w:t>
    </w:r>
  </w:p>
</w:hdr>
</file>

<file path=word/intelligence2.xml><?xml version="1.0" encoding="utf-8"?>
<int2:intelligence xmlns:int2="http://schemas.microsoft.com/office/intelligence/2020/intelligence" xmlns:oel="http://schemas.microsoft.com/office/2019/extlst">
  <int2:observations>
    <int2:textHash int2:hashCode="VBx47Cqt+ou04j" int2:id="9CQ1LQWG">
      <int2:state int2:value="Rejected" int2:type="AugLoop_Text_Critique"/>
    </int2:textHash>
    <int2:bookmark int2:bookmarkName="_Int_Zu7qa0r4" int2:invalidationBookmarkName="" int2:hashCode="p+qB0mWKQSVJOU" int2:id="SoFm3Wts">
      <int2:state int2:value="Rejected" int2:type="AugLoop_Text_Critique"/>
    </int2:bookmark>
    <int2:bookmark int2:bookmarkName="_Int_KnDo1xTY" int2:invalidationBookmarkName="" int2:hashCode="g92davQ/jL7gis" int2:id="qcHUqs2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5467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05909"/>
    <w:multiLevelType w:val="hybridMultilevel"/>
    <w:tmpl w:val="CB46C048"/>
    <w:lvl w:ilvl="0" w:tplc="0C090011">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2237C51"/>
    <w:multiLevelType w:val="hybridMultilevel"/>
    <w:tmpl w:val="19EE08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5F61255"/>
    <w:multiLevelType w:val="hybridMultilevel"/>
    <w:tmpl w:val="C186E1CE"/>
    <w:lvl w:ilvl="0" w:tplc="1CD225C2">
      <w:start w:val="1"/>
      <w:numFmt w:val="bullet"/>
      <w:lvlText w:val=""/>
      <w:lvlJc w:val="left"/>
      <w:pPr>
        <w:ind w:left="360" w:hanging="360"/>
      </w:pPr>
      <w:rPr>
        <w:rFonts w:ascii="Symbol" w:hAnsi="Symbol" w:hint="default"/>
      </w:rPr>
    </w:lvl>
    <w:lvl w:ilvl="1" w:tplc="F34EAB0C">
      <w:start w:val="1"/>
      <w:numFmt w:val="bullet"/>
      <w:lvlText w:val="o"/>
      <w:lvlJc w:val="left"/>
      <w:pPr>
        <w:ind w:left="1080" w:hanging="360"/>
      </w:pPr>
      <w:rPr>
        <w:rFonts w:ascii="Courier New" w:hAnsi="Courier New" w:hint="default"/>
      </w:rPr>
    </w:lvl>
    <w:lvl w:ilvl="2" w:tplc="70B094EA">
      <w:start w:val="1"/>
      <w:numFmt w:val="bullet"/>
      <w:lvlText w:val=""/>
      <w:lvlJc w:val="left"/>
      <w:pPr>
        <w:ind w:left="1800" w:hanging="360"/>
      </w:pPr>
      <w:rPr>
        <w:rFonts w:ascii="Wingdings" w:hAnsi="Wingdings" w:hint="default"/>
      </w:rPr>
    </w:lvl>
    <w:lvl w:ilvl="3" w:tplc="462EAFF4">
      <w:start w:val="1"/>
      <w:numFmt w:val="bullet"/>
      <w:lvlText w:val=""/>
      <w:lvlJc w:val="left"/>
      <w:pPr>
        <w:ind w:left="2520" w:hanging="360"/>
      </w:pPr>
      <w:rPr>
        <w:rFonts w:ascii="Symbol" w:hAnsi="Symbol" w:hint="default"/>
      </w:rPr>
    </w:lvl>
    <w:lvl w:ilvl="4" w:tplc="CB68F9AE">
      <w:start w:val="1"/>
      <w:numFmt w:val="bullet"/>
      <w:lvlText w:val="o"/>
      <w:lvlJc w:val="left"/>
      <w:pPr>
        <w:ind w:left="3240" w:hanging="360"/>
      </w:pPr>
      <w:rPr>
        <w:rFonts w:ascii="Courier New" w:hAnsi="Courier New" w:hint="default"/>
      </w:rPr>
    </w:lvl>
    <w:lvl w:ilvl="5" w:tplc="26FE3FE8">
      <w:start w:val="1"/>
      <w:numFmt w:val="bullet"/>
      <w:lvlText w:val=""/>
      <w:lvlJc w:val="left"/>
      <w:pPr>
        <w:ind w:left="3960" w:hanging="360"/>
      </w:pPr>
      <w:rPr>
        <w:rFonts w:ascii="Wingdings" w:hAnsi="Wingdings" w:hint="default"/>
      </w:rPr>
    </w:lvl>
    <w:lvl w:ilvl="6" w:tplc="057A7318">
      <w:start w:val="1"/>
      <w:numFmt w:val="bullet"/>
      <w:lvlText w:val=""/>
      <w:lvlJc w:val="left"/>
      <w:pPr>
        <w:ind w:left="4680" w:hanging="360"/>
      </w:pPr>
      <w:rPr>
        <w:rFonts w:ascii="Symbol" w:hAnsi="Symbol" w:hint="default"/>
      </w:rPr>
    </w:lvl>
    <w:lvl w:ilvl="7" w:tplc="C5F27550">
      <w:start w:val="1"/>
      <w:numFmt w:val="bullet"/>
      <w:lvlText w:val="o"/>
      <w:lvlJc w:val="left"/>
      <w:pPr>
        <w:ind w:left="5400" w:hanging="360"/>
      </w:pPr>
      <w:rPr>
        <w:rFonts w:ascii="Courier New" w:hAnsi="Courier New" w:hint="default"/>
      </w:rPr>
    </w:lvl>
    <w:lvl w:ilvl="8" w:tplc="DEC47F5C">
      <w:start w:val="1"/>
      <w:numFmt w:val="bullet"/>
      <w:lvlText w:val=""/>
      <w:lvlJc w:val="left"/>
      <w:pPr>
        <w:ind w:left="6120" w:hanging="360"/>
      </w:pPr>
      <w:rPr>
        <w:rFonts w:ascii="Wingdings" w:hAnsi="Wingdings" w:hint="default"/>
      </w:rPr>
    </w:lvl>
  </w:abstractNum>
  <w:abstractNum w:abstractNumId="4" w15:restartNumberingAfterBreak="0">
    <w:nsid w:val="18F65BA8"/>
    <w:multiLevelType w:val="hybridMultilevel"/>
    <w:tmpl w:val="D3A86A4C"/>
    <w:lvl w:ilvl="0" w:tplc="58D0816E">
      <w:start w:val="2024"/>
      <w:numFmt w:val="bullet"/>
      <w:lvlText w:val="-"/>
      <w:lvlJc w:val="left"/>
      <w:pPr>
        <w:ind w:left="559" w:hanging="360"/>
      </w:pPr>
      <w:rPr>
        <w:rFonts w:ascii="Calibri" w:eastAsia="Calibri" w:hAnsi="Calibri" w:cs="Calibri" w:hint="default"/>
      </w:rPr>
    </w:lvl>
    <w:lvl w:ilvl="1" w:tplc="0C090003" w:tentative="1">
      <w:start w:val="1"/>
      <w:numFmt w:val="bullet"/>
      <w:lvlText w:val="o"/>
      <w:lvlJc w:val="left"/>
      <w:pPr>
        <w:ind w:left="1279" w:hanging="360"/>
      </w:pPr>
      <w:rPr>
        <w:rFonts w:ascii="Courier New" w:hAnsi="Courier New" w:cs="Courier New" w:hint="default"/>
      </w:rPr>
    </w:lvl>
    <w:lvl w:ilvl="2" w:tplc="0C090005" w:tentative="1">
      <w:start w:val="1"/>
      <w:numFmt w:val="bullet"/>
      <w:lvlText w:val=""/>
      <w:lvlJc w:val="left"/>
      <w:pPr>
        <w:ind w:left="1999" w:hanging="360"/>
      </w:pPr>
      <w:rPr>
        <w:rFonts w:ascii="Wingdings" w:hAnsi="Wingdings" w:hint="default"/>
      </w:rPr>
    </w:lvl>
    <w:lvl w:ilvl="3" w:tplc="0C090001" w:tentative="1">
      <w:start w:val="1"/>
      <w:numFmt w:val="bullet"/>
      <w:lvlText w:val=""/>
      <w:lvlJc w:val="left"/>
      <w:pPr>
        <w:ind w:left="2719" w:hanging="360"/>
      </w:pPr>
      <w:rPr>
        <w:rFonts w:ascii="Symbol" w:hAnsi="Symbol" w:hint="default"/>
      </w:rPr>
    </w:lvl>
    <w:lvl w:ilvl="4" w:tplc="0C090003" w:tentative="1">
      <w:start w:val="1"/>
      <w:numFmt w:val="bullet"/>
      <w:lvlText w:val="o"/>
      <w:lvlJc w:val="left"/>
      <w:pPr>
        <w:ind w:left="3439" w:hanging="360"/>
      </w:pPr>
      <w:rPr>
        <w:rFonts w:ascii="Courier New" w:hAnsi="Courier New" w:cs="Courier New" w:hint="default"/>
      </w:rPr>
    </w:lvl>
    <w:lvl w:ilvl="5" w:tplc="0C090005" w:tentative="1">
      <w:start w:val="1"/>
      <w:numFmt w:val="bullet"/>
      <w:lvlText w:val=""/>
      <w:lvlJc w:val="left"/>
      <w:pPr>
        <w:ind w:left="4159" w:hanging="360"/>
      </w:pPr>
      <w:rPr>
        <w:rFonts w:ascii="Wingdings" w:hAnsi="Wingdings" w:hint="default"/>
      </w:rPr>
    </w:lvl>
    <w:lvl w:ilvl="6" w:tplc="0C090001" w:tentative="1">
      <w:start w:val="1"/>
      <w:numFmt w:val="bullet"/>
      <w:lvlText w:val=""/>
      <w:lvlJc w:val="left"/>
      <w:pPr>
        <w:ind w:left="4879" w:hanging="360"/>
      </w:pPr>
      <w:rPr>
        <w:rFonts w:ascii="Symbol" w:hAnsi="Symbol" w:hint="default"/>
      </w:rPr>
    </w:lvl>
    <w:lvl w:ilvl="7" w:tplc="0C090003" w:tentative="1">
      <w:start w:val="1"/>
      <w:numFmt w:val="bullet"/>
      <w:lvlText w:val="o"/>
      <w:lvlJc w:val="left"/>
      <w:pPr>
        <w:ind w:left="5599" w:hanging="360"/>
      </w:pPr>
      <w:rPr>
        <w:rFonts w:ascii="Courier New" w:hAnsi="Courier New" w:cs="Courier New" w:hint="default"/>
      </w:rPr>
    </w:lvl>
    <w:lvl w:ilvl="8" w:tplc="0C090005" w:tentative="1">
      <w:start w:val="1"/>
      <w:numFmt w:val="bullet"/>
      <w:lvlText w:val=""/>
      <w:lvlJc w:val="left"/>
      <w:pPr>
        <w:ind w:left="6319" w:hanging="360"/>
      </w:pPr>
      <w:rPr>
        <w:rFonts w:ascii="Wingdings" w:hAnsi="Wingdings" w:hint="default"/>
      </w:rPr>
    </w:lvl>
  </w:abstractNum>
  <w:abstractNum w:abstractNumId="5" w15:restartNumberingAfterBreak="0">
    <w:nsid w:val="269304EA"/>
    <w:multiLevelType w:val="hybridMultilevel"/>
    <w:tmpl w:val="BD641822"/>
    <w:lvl w:ilvl="0" w:tplc="A222A0F0">
      <w:start w:val="1"/>
      <w:numFmt w:val="decimal"/>
      <w:lvlText w:val="%1."/>
      <w:lvlJc w:val="left"/>
      <w:pPr>
        <w:ind w:left="560" w:hanging="360"/>
      </w:pPr>
      <w:rPr>
        <w:rFonts w:hint="default"/>
      </w:rPr>
    </w:lvl>
    <w:lvl w:ilvl="1" w:tplc="0C090019">
      <w:start w:val="1"/>
      <w:numFmt w:val="lowerLetter"/>
      <w:lvlText w:val="%2."/>
      <w:lvlJc w:val="left"/>
      <w:pPr>
        <w:ind w:left="1280" w:hanging="360"/>
      </w:pPr>
    </w:lvl>
    <w:lvl w:ilvl="2" w:tplc="0C09001B" w:tentative="1">
      <w:start w:val="1"/>
      <w:numFmt w:val="lowerRoman"/>
      <w:lvlText w:val="%3."/>
      <w:lvlJc w:val="right"/>
      <w:pPr>
        <w:ind w:left="2000" w:hanging="180"/>
      </w:pPr>
    </w:lvl>
    <w:lvl w:ilvl="3" w:tplc="0C09000F" w:tentative="1">
      <w:start w:val="1"/>
      <w:numFmt w:val="decimal"/>
      <w:lvlText w:val="%4."/>
      <w:lvlJc w:val="left"/>
      <w:pPr>
        <w:ind w:left="2720" w:hanging="360"/>
      </w:pPr>
    </w:lvl>
    <w:lvl w:ilvl="4" w:tplc="0C090019" w:tentative="1">
      <w:start w:val="1"/>
      <w:numFmt w:val="lowerLetter"/>
      <w:lvlText w:val="%5."/>
      <w:lvlJc w:val="left"/>
      <w:pPr>
        <w:ind w:left="3440" w:hanging="360"/>
      </w:pPr>
    </w:lvl>
    <w:lvl w:ilvl="5" w:tplc="0C09001B" w:tentative="1">
      <w:start w:val="1"/>
      <w:numFmt w:val="lowerRoman"/>
      <w:lvlText w:val="%6."/>
      <w:lvlJc w:val="right"/>
      <w:pPr>
        <w:ind w:left="4160" w:hanging="180"/>
      </w:pPr>
    </w:lvl>
    <w:lvl w:ilvl="6" w:tplc="0C09000F" w:tentative="1">
      <w:start w:val="1"/>
      <w:numFmt w:val="decimal"/>
      <w:lvlText w:val="%7."/>
      <w:lvlJc w:val="left"/>
      <w:pPr>
        <w:ind w:left="4880" w:hanging="360"/>
      </w:pPr>
    </w:lvl>
    <w:lvl w:ilvl="7" w:tplc="0C090019" w:tentative="1">
      <w:start w:val="1"/>
      <w:numFmt w:val="lowerLetter"/>
      <w:lvlText w:val="%8."/>
      <w:lvlJc w:val="left"/>
      <w:pPr>
        <w:ind w:left="5600" w:hanging="360"/>
      </w:pPr>
    </w:lvl>
    <w:lvl w:ilvl="8" w:tplc="0C09001B" w:tentative="1">
      <w:start w:val="1"/>
      <w:numFmt w:val="lowerRoman"/>
      <w:lvlText w:val="%9."/>
      <w:lvlJc w:val="right"/>
      <w:pPr>
        <w:ind w:left="6320" w:hanging="180"/>
      </w:pPr>
    </w:lvl>
  </w:abstractNum>
  <w:abstractNum w:abstractNumId="6" w15:restartNumberingAfterBreak="0">
    <w:nsid w:val="280F0762"/>
    <w:multiLevelType w:val="hybridMultilevel"/>
    <w:tmpl w:val="01E4F096"/>
    <w:lvl w:ilvl="0" w:tplc="92DCA388">
      <w:numFmt w:val="bullet"/>
      <w:lvlText w:val="-"/>
      <w:lvlJc w:val="left"/>
      <w:pPr>
        <w:ind w:left="560" w:hanging="360"/>
      </w:pPr>
      <w:rPr>
        <w:rFonts w:ascii="Calibri" w:eastAsia="Calibri" w:hAnsi="Calibri" w:cs="Calibri"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abstractNum w:abstractNumId="7" w15:restartNumberingAfterBreak="0">
    <w:nsid w:val="2EB9247E"/>
    <w:multiLevelType w:val="hybridMultilevel"/>
    <w:tmpl w:val="8124E5E2"/>
    <w:lvl w:ilvl="0" w:tplc="D35AC32C">
      <w:numFmt w:val="bullet"/>
      <w:lvlText w:val="-"/>
      <w:lvlJc w:val="left"/>
      <w:pPr>
        <w:ind w:left="56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063C62"/>
    <w:multiLevelType w:val="hybridMultilevel"/>
    <w:tmpl w:val="9BC69DD4"/>
    <w:lvl w:ilvl="0" w:tplc="0C090001">
      <w:start w:val="1"/>
      <w:numFmt w:val="bullet"/>
      <w:lvlText w:val=""/>
      <w:lvlJc w:val="left"/>
      <w:pPr>
        <w:ind w:left="360" w:hanging="360"/>
      </w:pPr>
      <w:rPr>
        <w:rFonts w:ascii="Symbol" w:hAnsi="Symbol" w:hint="default"/>
        <w:b/>
        <w:bCs w:val="0"/>
      </w:rPr>
    </w:lvl>
    <w:lvl w:ilvl="1" w:tplc="0C09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4C4D666F"/>
    <w:multiLevelType w:val="hybridMultilevel"/>
    <w:tmpl w:val="079E9BE4"/>
    <w:lvl w:ilvl="0" w:tplc="E0D28988">
      <w:start w:val="1"/>
      <w:numFmt w:val="bullet"/>
      <w:lvlText w:val=""/>
      <w:lvlJc w:val="left"/>
      <w:pPr>
        <w:ind w:left="1280" w:hanging="360"/>
      </w:pPr>
      <w:rPr>
        <w:rFonts w:ascii="Symbol" w:hAnsi="Symbol"/>
      </w:rPr>
    </w:lvl>
    <w:lvl w:ilvl="1" w:tplc="9AF4013C">
      <w:start w:val="1"/>
      <w:numFmt w:val="bullet"/>
      <w:lvlText w:val=""/>
      <w:lvlJc w:val="left"/>
      <w:pPr>
        <w:ind w:left="1280" w:hanging="360"/>
      </w:pPr>
      <w:rPr>
        <w:rFonts w:ascii="Symbol" w:hAnsi="Symbol"/>
      </w:rPr>
    </w:lvl>
    <w:lvl w:ilvl="2" w:tplc="98AEF862">
      <w:start w:val="1"/>
      <w:numFmt w:val="bullet"/>
      <w:lvlText w:val=""/>
      <w:lvlJc w:val="left"/>
      <w:pPr>
        <w:ind w:left="1280" w:hanging="360"/>
      </w:pPr>
      <w:rPr>
        <w:rFonts w:ascii="Symbol" w:hAnsi="Symbol"/>
      </w:rPr>
    </w:lvl>
    <w:lvl w:ilvl="3" w:tplc="77E65338">
      <w:start w:val="1"/>
      <w:numFmt w:val="bullet"/>
      <w:lvlText w:val=""/>
      <w:lvlJc w:val="left"/>
      <w:pPr>
        <w:ind w:left="1280" w:hanging="360"/>
      </w:pPr>
      <w:rPr>
        <w:rFonts w:ascii="Symbol" w:hAnsi="Symbol"/>
      </w:rPr>
    </w:lvl>
    <w:lvl w:ilvl="4" w:tplc="25045754">
      <w:start w:val="1"/>
      <w:numFmt w:val="bullet"/>
      <w:lvlText w:val=""/>
      <w:lvlJc w:val="left"/>
      <w:pPr>
        <w:ind w:left="1280" w:hanging="360"/>
      </w:pPr>
      <w:rPr>
        <w:rFonts w:ascii="Symbol" w:hAnsi="Symbol"/>
      </w:rPr>
    </w:lvl>
    <w:lvl w:ilvl="5" w:tplc="87787F6E">
      <w:start w:val="1"/>
      <w:numFmt w:val="bullet"/>
      <w:lvlText w:val=""/>
      <w:lvlJc w:val="left"/>
      <w:pPr>
        <w:ind w:left="1280" w:hanging="360"/>
      </w:pPr>
      <w:rPr>
        <w:rFonts w:ascii="Symbol" w:hAnsi="Symbol"/>
      </w:rPr>
    </w:lvl>
    <w:lvl w:ilvl="6" w:tplc="29BC5B0C">
      <w:start w:val="1"/>
      <w:numFmt w:val="bullet"/>
      <w:lvlText w:val=""/>
      <w:lvlJc w:val="left"/>
      <w:pPr>
        <w:ind w:left="1280" w:hanging="360"/>
      </w:pPr>
      <w:rPr>
        <w:rFonts w:ascii="Symbol" w:hAnsi="Symbol"/>
      </w:rPr>
    </w:lvl>
    <w:lvl w:ilvl="7" w:tplc="34A4E2DA">
      <w:start w:val="1"/>
      <w:numFmt w:val="bullet"/>
      <w:lvlText w:val=""/>
      <w:lvlJc w:val="left"/>
      <w:pPr>
        <w:ind w:left="1280" w:hanging="360"/>
      </w:pPr>
      <w:rPr>
        <w:rFonts w:ascii="Symbol" w:hAnsi="Symbol"/>
      </w:rPr>
    </w:lvl>
    <w:lvl w:ilvl="8" w:tplc="78B42110">
      <w:start w:val="1"/>
      <w:numFmt w:val="bullet"/>
      <w:lvlText w:val=""/>
      <w:lvlJc w:val="left"/>
      <w:pPr>
        <w:ind w:left="1280" w:hanging="360"/>
      </w:pPr>
      <w:rPr>
        <w:rFonts w:ascii="Symbol" w:hAnsi="Symbol"/>
      </w:rPr>
    </w:lvl>
  </w:abstractNum>
  <w:abstractNum w:abstractNumId="10" w15:restartNumberingAfterBreak="0">
    <w:nsid w:val="53B20E54"/>
    <w:multiLevelType w:val="hybridMultilevel"/>
    <w:tmpl w:val="129410A2"/>
    <w:lvl w:ilvl="0" w:tplc="0C090001">
      <w:start w:val="1"/>
      <w:numFmt w:val="bullet"/>
      <w:lvlText w:val=""/>
      <w:lvlJc w:val="left"/>
      <w:pPr>
        <w:ind w:left="360" w:hanging="360"/>
      </w:pPr>
      <w:rPr>
        <w:rFonts w:ascii="Symbol" w:hAnsi="Symbol" w:hint="default"/>
        <w:b/>
        <w:bCs w:val="0"/>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546C04D4"/>
    <w:multiLevelType w:val="hybridMultilevel"/>
    <w:tmpl w:val="EA706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73E71DB"/>
    <w:multiLevelType w:val="hybridMultilevel"/>
    <w:tmpl w:val="7E02B31E"/>
    <w:lvl w:ilvl="0" w:tplc="2892EC2C">
      <w:numFmt w:val="bullet"/>
      <w:lvlText w:val=""/>
      <w:lvlJc w:val="left"/>
      <w:pPr>
        <w:ind w:left="557" w:hanging="358"/>
      </w:pPr>
      <w:rPr>
        <w:rFonts w:ascii="Symbol" w:eastAsia="Symbol" w:hAnsi="Symbol" w:cs="Symbol" w:hint="default"/>
        <w:color w:val="358188"/>
        <w:w w:val="100"/>
        <w:sz w:val="22"/>
        <w:szCs w:val="22"/>
        <w:lang w:val="en-AU" w:eastAsia="en-AU" w:bidi="en-AU"/>
      </w:rPr>
    </w:lvl>
    <w:lvl w:ilvl="1" w:tplc="F17E290A">
      <w:numFmt w:val="bullet"/>
      <w:lvlText w:val="o"/>
      <w:lvlJc w:val="left"/>
      <w:pPr>
        <w:ind w:left="1640" w:hanging="361"/>
      </w:pPr>
      <w:rPr>
        <w:rFonts w:ascii="Courier New" w:eastAsia="Courier New" w:hAnsi="Courier New" w:cs="Courier New" w:hint="default"/>
        <w:w w:val="100"/>
        <w:sz w:val="22"/>
        <w:szCs w:val="22"/>
        <w:lang w:val="en-AU" w:eastAsia="en-AU" w:bidi="en-AU"/>
      </w:rPr>
    </w:lvl>
    <w:lvl w:ilvl="2" w:tplc="D38E7E9A">
      <w:numFmt w:val="bullet"/>
      <w:lvlText w:val="•"/>
      <w:lvlJc w:val="left"/>
      <w:pPr>
        <w:ind w:left="2585" w:hanging="361"/>
      </w:pPr>
      <w:rPr>
        <w:rFonts w:hint="default"/>
        <w:lang w:val="en-AU" w:eastAsia="en-AU" w:bidi="en-AU"/>
      </w:rPr>
    </w:lvl>
    <w:lvl w:ilvl="3" w:tplc="7D7464B4">
      <w:numFmt w:val="bullet"/>
      <w:lvlText w:val="•"/>
      <w:lvlJc w:val="left"/>
      <w:pPr>
        <w:ind w:left="3530" w:hanging="361"/>
      </w:pPr>
      <w:rPr>
        <w:rFonts w:hint="default"/>
        <w:lang w:val="en-AU" w:eastAsia="en-AU" w:bidi="en-AU"/>
      </w:rPr>
    </w:lvl>
    <w:lvl w:ilvl="4" w:tplc="E6387E68">
      <w:numFmt w:val="bullet"/>
      <w:lvlText w:val="•"/>
      <w:lvlJc w:val="left"/>
      <w:pPr>
        <w:ind w:left="4475" w:hanging="361"/>
      </w:pPr>
      <w:rPr>
        <w:rFonts w:hint="default"/>
        <w:lang w:val="en-AU" w:eastAsia="en-AU" w:bidi="en-AU"/>
      </w:rPr>
    </w:lvl>
    <w:lvl w:ilvl="5" w:tplc="CD6E8CAC">
      <w:numFmt w:val="bullet"/>
      <w:lvlText w:val="•"/>
      <w:lvlJc w:val="left"/>
      <w:pPr>
        <w:ind w:left="5420" w:hanging="361"/>
      </w:pPr>
      <w:rPr>
        <w:rFonts w:hint="default"/>
        <w:lang w:val="en-AU" w:eastAsia="en-AU" w:bidi="en-AU"/>
      </w:rPr>
    </w:lvl>
    <w:lvl w:ilvl="6" w:tplc="1C286AC8">
      <w:numFmt w:val="bullet"/>
      <w:lvlText w:val="•"/>
      <w:lvlJc w:val="left"/>
      <w:pPr>
        <w:ind w:left="6365" w:hanging="361"/>
      </w:pPr>
      <w:rPr>
        <w:rFonts w:hint="default"/>
        <w:lang w:val="en-AU" w:eastAsia="en-AU" w:bidi="en-AU"/>
      </w:rPr>
    </w:lvl>
    <w:lvl w:ilvl="7" w:tplc="FD8C7570">
      <w:numFmt w:val="bullet"/>
      <w:lvlText w:val="•"/>
      <w:lvlJc w:val="left"/>
      <w:pPr>
        <w:ind w:left="7310" w:hanging="361"/>
      </w:pPr>
      <w:rPr>
        <w:rFonts w:hint="default"/>
        <w:lang w:val="en-AU" w:eastAsia="en-AU" w:bidi="en-AU"/>
      </w:rPr>
    </w:lvl>
    <w:lvl w:ilvl="8" w:tplc="DF74E0D6">
      <w:numFmt w:val="bullet"/>
      <w:lvlText w:val="•"/>
      <w:lvlJc w:val="left"/>
      <w:pPr>
        <w:ind w:left="8256" w:hanging="361"/>
      </w:pPr>
      <w:rPr>
        <w:rFonts w:hint="default"/>
        <w:lang w:val="en-AU" w:eastAsia="en-AU" w:bidi="en-AU"/>
      </w:rPr>
    </w:lvl>
  </w:abstractNum>
  <w:abstractNum w:abstractNumId="13" w15:restartNumberingAfterBreak="0">
    <w:nsid w:val="67765578"/>
    <w:multiLevelType w:val="multilevel"/>
    <w:tmpl w:val="5D08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52D99"/>
    <w:multiLevelType w:val="hybridMultilevel"/>
    <w:tmpl w:val="E16EB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23350B"/>
    <w:multiLevelType w:val="hybridMultilevel"/>
    <w:tmpl w:val="0584FC9A"/>
    <w:lvl w:ilvl="0" w:tplc="D35AC32C">
      <w:numFmt w:val="bullet"/>
      <w:lvlText w:val="-"/>
      <w:lvlJc w:val="left"/>
      <w:pPr>
        <w:ind w:left="560" w:hanging="360"/>
      </w:pPr>
      <w:rPr>
        <w:rFonts w:ascii="Calibri" w:eastAsia="Calibri" w:hAnsi="Calibri" w:cs="Calibri"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num w:numId="1" w16cid:durableId="1233201483">
    <w:abstractNumId w:val="12"/>
  </w:num>
  <w:num w:numId="2" w16cid:durableId="1705670562">
    <w:abstractNumId w:val="5"/>
  </w:num>
  <w:num w:numId="3" w16cid:durableId="640694283">
    <w:abstractNumId w:val="3"/>
  </w:num>
  <w:num w:numId="4" w16cid:durableId="1244950579">
    <w:abstractNumId w:val="4"/>
  </w:num>
  <w:num w:numId="5" w16cid:durableId="912466227">
    <w:abstractNumId w:val="6"/>
  </w:num>
  <w:num w:numId="6" w16cid:durableId="636881722">
    <w:abstractNumId w:val="15"/>
  </w:num>
  <w:num w:numId="7" w16cid:durableId="602306709">
    <w:abstractNumId w:val="7"/>
  </w:num>
  <w:num w:numId="8" w16cid:durableId="844049828">
    <w:abstractNumId w:val="9"/>
  </w:num>
  <w:num w:numId="9" w16cid:durableId="1773550428">
    <w:abstractNumId w:val="14"/>
  </w:num>
  <w:num w:numId="10" w16cid:durableId="777723707">
    <w:abstractNumId w:val="14"/>
  </w:num>
  <w:num w:numId="11" w16cid:durableId="907575284">
    <w:abstractNumId w:val="10"/>
  </w:num>
  <w:num w:numId="12" w16cid:durableId="673187118">
    <w:abstractNumId w:val="8"/>
    <w:lvlOverride w:ilvl="0"/>
    <w:lvlOverride w:ilvl="1">
      <w:startOverride w:val="1"/>
    </w:lvlOverride>
    <w:lvlOverride w:ilvl="2"/>
    <w:lvlOverride w:ilvl="3"/>
    <w:lvlOverride w:ilvl="4"/>
    <w:lvlOverride w:ilvl="5"/>
    <w:lvlOverride w:ilvl="6"/>
    <w:lvlOverride w:ilvl="7"/>
    <w:lvlOverride w:ilvl="8"/>
  </w:num>
  <w:num w:numId="13" w16cid:durableId="1196969505">
    <w:abstractNumId w:val="8"/>
  </w:num>
  <w:num w:numId="14" w16cid:durableId="601836747">
    <w:abstractNumId w:val="11"/>
  </w:num>
  <w:num w:numId="15" w16cid:durableId="538012587">
    <w:abstractNumId w:val="0"/>
  </w:num>
  <w:num w:numId="16" w16cid:durableId="1511530224">
    <w:abstractNumId w:val="1"/>
  </w:num>
  <w:num w:numId="17" w16cid:durableId="1762873009">
    <w:abstractNumId w:val="2"/>
  </w:num>
  <w:num w:numId="18" w16cid:durableId="2109539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F5"/>
    <w:rsid w:val="000007EB"/>
    <w:rsid w:val="00000EAD"/>
    <w:rsid w:val="00002CBE"/>
    <w:rsid w:val="000038B7"/>
    <w:rsid w:val="0000404C"/>
    <w:rsid w:val="0000428D"/>
    <w:rsid w:val="000047FF"/>
    <w:rsid w:val="000049DB"/>
    <w:rsid w:val="0000555D"/>
    <w:rsid w:val="00005B63"/>
    <w:rsid w:val="0000640E"/>
    <w:rsid w:val="00006C78"/>
    <w:rsid w:val="00006CD5"/>
    <w:rsid w:val="00006DCF"/>
    <w:rsid w:val="00006F81"/>
    <w:rsid w:val="00007064"/>
    <w:rsid w:val="00007108"/>
    <w:rsid w:val="00010348"/>
    <w:rsid w:val="000118DB"/>
    <w:rsid w:val="000128FA"/>
    <w:rsid w:val="00012B76"/>
    <w:rsid w:val="00012BFC"/>
    <w:rsid w:val="00014C3A"/>
    <w:rsid w:val="00015B69"/>
    <w:rsid w:val="000168AF"/>
    <w:rsid w:val="00016E51"/>
    <w:rsid w:val="00017946"/>
    <w:rsid w:val="00017BFB"/>
    <w:rsid w:val="00022FAA"/>
    <w:rsid w:val="00027518"/>
    <w:rsid w:val="00027CB5"/>
    <w:rsid w:val="00027F56"/>
    <w:rsid w:val="00030466"/>
    <w:rsid w:val="00030895"/>
    <w:rsid w:val="0003277C"/>
    <w:rsid w:val="00032895"/>
    <w:rsid w:val="00033496"/>
    <w:rsid w:val="00033988"/>
    <w:rsid w:val="00035239"/>
    <w:rsid w:val="00036937"/>
    <w:rsid w:val="00037354"/>
    <w:rsid w:val="00037592"/>
    <w:rsid w:val="00037B94"/>
    <w:rsid w:val="00037D54"/>
    <w:rsid w:val="0004097B"/>
    <w:rsid w:val="00040F2C"/>
    <w:rsid w:val="0004209B"/>
    <w:rsid w:val="00043D45"/>
    <w:rsid w:val="0004447E"/>
    <w:rsid w:val="000456DC"/>
    <w:rsid w:val="00045C66"/>
    <w:rsid w:val="00045DA2"/>
    <w:rsid w:val="00045E1A"/>
    <w:rsid w:val="0004645B"/>
    <w:rsid w:val="00046995"/>
    <w:rsid w:val="00046CDC"/>
    <w:rsid w:val="000478D2"/>
    <w:rsid w:val="00047A57"/>
    <w:rsid w:val="00050B42"/>
    <w:rsid w:val="00050DC2"/>
    <w:rsid w:val="00050E52"/>
    <w:rsid w:val="00053626"/>
    <w:rsid w:val="00053B3A"/>
    <w:rsid w:val="00054346"/>
    <w:rsid w:val="000549C0"/>
    <w:rsid w:val="0005507E"/>
    <w:rsid w:val="00055220"/>
    <w:rsid w:val="00055D31"/>
    <w:rsid w:val="0005619C"/>
    <w:rsid w:val="00057B3D"/>
    <w:rsid w:val="00057CE0"/>
    <w:rsid w:val="000609FD"/>
    <w:rsid w:val="00061BFD"/>
    <w:rsid w:val="00061F9C"/>
    <w:rsid w:val="000620D2"/>
    <w:rsid w:val="0006405A"/>
    <w:rsid w:val="0006538D"/>
    <w:rsid w:val="00065576"/>
    <w:rsid w:val="00066E5A"/>
    <w:rsid w:val="00070129"/>
    <w:rsid w:val="000701D9"/>
    <w:rsid w:val="000707FF"/>
    <w:rsid w:val="00071B4D"/>
    <w:rsid w:val="00072315"/>
    <w:rsid w:val="0007244D"/>
    <w:rsid w:val="000728C0"/>
    <w:rsid w:val="000734B3"/>
    <w:rsid w:val="00073689"/>
    <w:rsid w:val="00073B71"/>
    <w:rsid w:val="000749C7"/>
    <w:rsid w:val="00074C5A"/>
    <w:rsid w:val="00076AF1"/>
    <w:rsid w:val="00076C70"/>
    <w:rsid w:val="00077C36"/>
    <w:rsid w:val="00077C5F"/>
    <w:rsid w:val="00080FCF"/>
    <w:rsid w:val="000818F5"/>
    <w:rsid w:val="00081B42"/>
    <w:rsid w:val="00082220"/>
    <w:rsid w:val="000827EB"/>
    <w:rsid w:val="00082CDE"/>
    <w:rsid w:val="0008452E"/>
    <w:rsid w:val="0008524C"/>
    <w:rsid w:val="00086896"/>
    <w:rsid w:val="00086C24"/>
    <w:rsid w:val="0008703A"/>
    <w:rsid w:val="000905D8"/>
    <w:rsid w:val="00091411"/>
    <w:rsid w:val="0009389D"/>
    <w:rsid w:val="0009652A"/>
    <w:rsid w:val="00096955"/>
    <w:rsid w:val="000979C6"/>
    <w:rsid w:val="000A05E1"/>
    <w:rsid w:val="000A0DDB"/>
    <w:rsid w:val="000A1235"/>
    <w:rsid w:val="000A18F3"/>
    <w:rsid w:val="000A21DE"/>
    <w:rsid w:val="000A274D"/>
    <w:rsid w:val="000A400C"/>
    <w:rsid w:val="000A4253"/>
    <w:rsid w:val="000A4E08"/>
    <w:rsid w:val="000A5AE0"/>
    <w:rsid w:val="000A5F7E"/>
    <w:rsid w:val="000A67EF"/>
    <w:rsid w:val="000B04DD"/>
    <w:rsid w:val="000B11D8"/>
    <w:rsid w:val="000B196B"/>
    <w:rsid w:val="000B1A4A"/>
    <w:rsid w:val="000B26FF"/>
    <w:rsid w:val="000B3437"/>
    <w:rsid w:val="000B3FD3"/>
    <w:rsid w:val="000B64EC"/>
    <w:rsid w:val="000B6BEE"/>
    <w:rsid w:val="000C0123"/>
    <w:rsid w:val="000C0EF2"/>
    <w:rsid w:val="000C1088"/>
    <w:rsid w:val="000C22CA"/>
    <w:rsid w:val="000C24E4"/>
    <w:rsid w:val="000C2962"/>
    <w:rsid w:val="000C3E36"/>
    <w:rsid w:val="000C3E6D"/>
    <w:rsid w:val="000C4F17"/>
    <w:rsid w:val="000C4F44"/>
    <w:rsid w:val="000C5084"/>
    <w:rsid w:val="000C50E9"/>
    <w:rsid w:val="000C52E5"/>
    <w:rsid w:val="000C59BE"/>
    <w:rsid w:val="000C5D3E"/>
    <w:rsid w:val="000C6532"/>
    <w:rsid w:val="000C6EE2"/>
    <w:rsid w:val="000C718F"/>
    <w:rsid w:val="000C71E4"/>
    <w:rsid w:val="000C7563"/>
    <w:rsid w:val="000C7919"/>
    <w:rsid w:val="000D0823"/>
    <w:rsid w:val="000D0BBB"/>
    <w:rsid w:val="000D18CC"/>
    <w:rsid w:val="000D1D9B"/>
    <w:rsid w:val="000D2342"/>
    <w:rsid w:val="000D295B"/>
    <w:rsid w:val="000D2DF7"/>
    <w:rsid w:val="000D2F5D"/>
    <w:rsid w:val="000D3BEA"/>
    <w:rsid w:val="000D675F"/>
    <w:rsid w:val="000D7992"/>
    <w:rsid w:val="000E0085"/>
    <w:rsid w:val="000E0AB3"/>
    <w:rsid w:val="000E0FF0"/>
    <w:rsid w:val="000E2DB1"/>
    <w:rsid w:val="000E3575"/>
    <w:rsid w:val="000E391A"/>
    <w:rsid w:val="000E3BC5"/>
    <w:rsid w:val="000E3DBE"/>
    <w:rsid w:val="000E420B"/>
    <w:rsid w:val="000E46B5"/>
    <w:rsid w:val="000E48B2"/>
    <w:rsid w:val="000E52CD"/>
    <w:rsid w:val="000E6DC7"/>
    <w:rsid w:val="000F1694"/>
    <w:rsid w:val="000F17B0"/>
    <w:rsid w:val="000F1F44"/>
    <w:rsid w:val="000F3D62"/>
    <w:rsid w:val="000F4246"/>
    <w:rsid w:val="000F54CA"/>
    <w:rsid w:val="000F6F89"/>
    <w:rsid w:val="000F71B1"/>
    <w:rsid w:val="000F7810"/>
    <w:rsid w:val="000F7DE0"/>
    <w:rsid w:val="00100775"/>
    <w:rsid w:val="00102A6B"/>
    <w:rsid w:val="00102FAD"/>
    <w:rsid w:val="001036FB"/>
    <w:rsid w:val="00104849"/>
    <w:rsid w:val="00105026"/>
    <w:rsid w:val="00105235"/>
    <w:rsid w:val="00105AE9"/>
    <w:rsid w:val="00105DCB"/>
    <w:rsid w:val="00106DAC"/>
    <w:rsid w:val="00107F00"/>
    <w:rsid w:val="00110819"/>
    <w:rsid w:val="00111840"/>
    <w:rsid w:val="001133FA"/>
    <w:rsid w:val="00114D55"/>
    <w:rsid w:val="001154C6"/>
    <w:rsid w:val="00115C82"/>
    <w:rsid w:val="00115DCE"/>
    <w:rsid w:val="0011651F"/>
    <w:rsid w:val="00116920"/>
    <w:rsid w:val="00117F6F"/>
    <w:rsid w:val="00120306"/>
    <w:rsid w:val="001216AE"/>
    <w:rsid w:val="00121961"/>
    <w:rsid w:val="00122855"/>
    <w:rsid w:val="0012391F"/>
    <w:rsid w:val="00123C97"/>
    <w:rsid w:val="00123D34"/>
    <w:rsid w:val="001242FA"/>
    <w:rsid w:val="00124E37"/>
    <w:rsid w:val="001257E5"/>
    <w:rsid w:val="00126514"/>
    <w:rsid w:val="001309D0"/>
    <w:rsid w:val="0013116B"/>
    <w:rsid w:val="0013138D"/>
    <w:rsid w:val="001315F7"/>
    <w:rsid w:val="001321B1"/>
    <w:rsid w:val="0013495A"/>
    <w:rsid w:val="0013502E"/>
    <w:rsid w:val="0013564F"/>
    <w:rsid w:val="00135A8A"/>
    <w:rsid w:val="00136063"/>
    <w:rsid w:val="001371EF"/>
    <w:rsid w:val="00140093"/>
    <w:rsid w:val="00141BE2"/>
    <w:rsid w:val="001420A3"/>
    <w:rsid w:val="00143C9F"/>
    <w:rsid w:val="00144D5C"/>
    <w:rsid w:val="001453AA"/>
    <w:rsid w:val="00145414"/>
    <w:rsid w:val="00145E0B"/>
    <w:rsid w:val="00147BAA"/>
    <w:rsid w:val="00147F4C"/>
    <w:rsid w:val="00150147"/>
    <w:rsid w:val="00150846"/>
    <w:rsid w:val="00150FEA"/>
    <w:rsid w:val="001512CC"/>
    <w:rsid w:val="0015158D"/>
    <w:rsid w:val="00151862"/>
    <w:rsid w:val="00151B4C"/>
    <w:rsid w:val="00151C11"/>
    <w:rsid w:val="00151EC2"/>
    <w:rsid w:val="001521C8"/>
    <w:rsid w:val="0015231A"/>
    <w:rsid w:val="0015307F"/>
    <w:rsid w:val="00153B7D"/>
    <w:rsid w:val="00154CBE"/>
    <w:rsid w:val="00156548"/>
    <w:rsid w:val="00156B96"/>
    <w:rsid w:val="00156F38"/>
    <w:rsid w:val="00157CD4"/>
    <w:rsid w:val="00157FAE"/>
    <w:rsid w:val="0016188D"/>
    <w:rsid w:val="0016369A"/>
    <w:rsid w:val="00164608"/>
    <w:rsid w:val="00164993"/>
    <w:rsid w:val="0016561E"/>
    <w:rsid w:val="00165F6B"/>
    <w:rsid w:val="00166D7C"/>
    <w:rsid w:val="00167737"/>
    <w:rsid w:val="00170D3A"/>
    <w:rsid w:val="001719FD"/>
    <w:rsid w:val="00171CEC"/>
    <w:rsid w:val="001720DD"/>
    <w:rsid w:val="00172870"/>
    <w:rsid w:val="00173294"/>
    <w:rsid w:val="001738B1"/>
    <w:rsid w:val="0017494C"/>
    <w:rsid w:val="00175048"/>
    <w:rsid w:val="00175771"/>
    <w:rsid w:val="0017597C"/>
    <w:rsid w:val="00182025"/>
    <w:rsid w:val="00182F90"/>
    <w:rsid w:val="00182F9B"/>
    <w:rsid w:val="00183271"/>
    <w:rsid w:val="0018354A"/>
    <w:rsid w:val="00183FA4"/>
    <w:rsid w:val="001840FF"/>
    <w:rsid w:val="001845A4"/>
    <w:rsid w:val="001846AB"/>
    <w:rsid w:val="00185F46"/>
    <w:rsid w:val="001875E1"/>
    <w:rsid w:val="00187649"/>
    <w:rsid w:val="0019174C"/>
    <w:rsid w:val="00192020"/>
    <w:rsid w:val="0019206D"/>
    <w:rsid w:val="00193A6B"/>
    <w:rsid w:val="00194DFE"/>
    <w:rsid w:val="001952E2"/>
    <w:rsid w:val="001955F1"/>
    <w:rsid w:val="00195612"/>
    <w:rsid w:val="00195FD1"/>
    <w:rsid w:val="00197402"/>
    <w:rsid w:val="00197F42"/>
    <w:rsid w:val="001A0FC3"/>
    <w:rsid w:val="001A1021"/>
    <w:rsid w:val="001A33CA"/>
    <w:rsid w:val="001A35C6"/>
    <w:rsid w:val="001A4107"/>
    <w:rsid w:val="001A4813"/>
    <w:rsid w:val="001A4C00"/>
    <w:rsid w:val="001A611C"/>
    <w:rsid w:val="001A76EB"/>
    <w:rsid w:val="001B03CD"/>
    <w:rsid w:val="001B044C"/>
    <w:rsid w:val="001B0939"/>
    <w:rsid w:val="001B1125"/>
    <w:rsid w:val="001B2395"/>
    <w:rsid w:val="001B25AC"/>
    <w:rsid w:val="001B4AFB"/>
    <w:rsid w:val="001B544D"/>
    <w:rsid w:val="001B5C23"/>
    <w:rsid w:val="001B6112"/>
    <w:rsid w:val="001B68E7"/>
    <w:rsid w:val="001B7370"/>
    <w:rsid w:val="001B7D4C"/>
    <w:rsid w:val="001C02E2"/>
    <w:rsid w:val="001C1176"/>
    <w:rsid w:val="001C2A32"/>
    <w:rsid w:val="001C2D77"/>
    <w:rsid w:val="001C2EB1"/>
    <w:rsid w:val="001C3E71"/>
    <w:rsid w:val="001C544F"/>
    <w:rsid w:val="001C6560"/>
    <w:rsid w:val="001C6641"/>
    <w:rsid w:val="001C69B4"/>
    <w:rsid w:val="001C6B02"/>
    <w:rsid w:val="001C6E1D"/>
    <w:rsid w:val="001D0287"/>
    <w:rsid w:val="001D0C04"/>
    <w:rsid w:val="001D13A9"/>
    <w:rsid w:val="001D2007"/>
    <w:rsid w:val="001D2F77"/>
    <w:rsid w:val="001D3934"/>
    <w:rsid w:val="001D4806"/>
    <w:rsid w:val="001D4DD8"/>
    <w:rsid w:val="001D6935"/>
    <w:rsid w:val="001D7592"/>
    <w:rsid w:val="001E02E8"/>
    <w:rsid w:val="001E0487"/>
    <w:rsid w:val="001E098B"/>
    <w:rsid w:val="001E0EF6"/>
    <w:rsid w:val="001E0F9C"/>
    <w:rsid w:val="001E30F9"/>
    <w:rsid w:val="001E35DE"/>
    <w:rsid w:val="001E4BD8"/>
    <w:rsid w:val="001E4C3D"/>
    <w:rsid w:val="001E4DF0"/>
    <w:rsid w:val="001E523B"/>
    <w:rsid w:val="001E553D"/>
    <w:rsid w:val="001E5C3C"/>
    <w:rsid w:val="001E6543"/>
    <w:rsid w:val="001E78A6"/>
    <w:rsid w:val="001E79A7"/>
    <w:rsid w:val="001E7D39"/>
    <w:rsid w:val="001F07BB"/>
    <w:rsid w:val="001F1204"/>
    <w:rsid w:val="001F1DEB"/>
    <w:rsid w:val="001F4A3E"/>
    <w:rsid w:val="001F595B"/>
    <w:rsid w:val="001F695C"/>
    <w:rsid w:val="001F6E5C"/>
    <w:rsid w:val="001F795A"/>
    <w:rsid w:val="0020203C"/>
    <w:rsid w:val="00202177"/>
    <w:rsid w:val="0020234A"/>
    <w:rsid w:val="00202BBE"/>
    <w:rsid w:val="00202D36"/>
    <w:rsid w:val="0020390D"/>
    <w:rsid w:val="002070F2"/>
    <w:rsid w:val="00207497"/>
    <w:rsid w:val="00207CAF"/>
    <w:rsid w:val="002108D4"/>
    <w:rsid w:val="002121C8"/>
    <w:rsid w:val="0021250E"/>
    <w:rsid w:val="00212F96"/>
    <w:rsid w:val="0021316B"/>
    <w:rsid w:val="00213432"/>
    <w:rsid w:val="002136C6"/>
    <w:rsid w:val="002139FE"/>
    <w:rsid w:val="00216D7F"/>
    <w:rsid w:val="00216DAF"/>
    <w:rsid w:val="00220360"/>
    <w:rsid w:val="00220A1D"/>
    <w:rsid w:val="0022176A"/>
    <w:rsid w:val="00222C03"/>
    <w:rsid w:val="002231F6"/>
    <w:rsid w:val="00224862"/>
    <w:rsid w:val="002256A3"/>
    <w:rsid w:val="00225FF0"/>
    <w:rsid w:val="00226007"/>
    <w:rsid w:val="002262B3"/>
    <w:rsid w:val="00227123"/>
    <w:rsid w:val="00231E17"/>
    <w:rsid w:val="00232511"/>
    <w:rsid w:val="00232BD8"/>
    <w:rsid w:val="002352D6"/>
    <w:rsid w:val="00235B36"/>
    <w:rsid w:val="00237221"/>
    <w:rsid w:val="0024001B"/>
    <w:rsid w:val="00241E65"/>
    <w:rsid w:val="00242873"/>
    <w:rsid w:val="002452B6"/>
    <w:rsid w:val="00245680"/>
    <w:rsid w:val="00246D08"/>
    <w:rsid w:val="00251BEB"/>
    <w:rsid w:val="00251F09"/>
    <w:rsid w:val="00252C6D"/>
    <w:rsid w:val="002539E4"/>
    <w:rsid w:val="00253A02"/>
    <w:rsid w:val="002542E5"/>
    <w:rsid w:val="002544D0"/>
    <w:rsid w:val="00254A08"/>
    <w:rsid w:val="00254A99"/>
    <w:rsid w:val="00254DF5"/>
    <w:rsid w:val="002552C8"/>
    <w:rsid w:val="00255880"/>
    <w:rsid w:val="00255E6E"/>
    <w:rsid w:val="002572AC"/>
    <w:rsid w:val="00260547"/>
    <w:rsid w:val="002614F3"/>
    <w:rsid w:val="0026490E"/>
    <w:rsid w:val="002649F9"/>
    <w:rsid w:val="00265B7F"/>
    <w:rsid w:val="00265C4A"/>
    <w:rsid w:val="002663A9"/>
    <w:rsid w:val="00267B26"/>
    <w:rsid w:val="00270161"/>
    <w:rsid w:val="00271C86"/>
    <w:rsid w:val="00271CED"/>
    <w:rsid w:val="00271D75"/>
    <w:rsid w:val="00272A16"/>
    <w:rsid w:val="00273471"/>
    <w:rsid w:val="00274970"/>
    <w:rsid w:val="00274F47"/>
    <w:rsid w:val="0027549C"/>
    <w:rsid w:val="002758AE"/>
    <w:rsid w:val="00275B72"/>
    <w:rsid w:val="00276143"/>
    <w:rsid w:val="0027764F"/>
    <w:rsid w:val="00277AE6"/>
    <w:rsid w:val="00277CE1"/>
    <w:rsid w:val="0028131F"/>
    <w:rsid w:val="00282FE0"/>
    <w:rsid w:val="00283A69"/>
    <w:rsid w:val="00284765"/>
    <w:rsid w:val="00285195"/>
    <w:rsid w:val="0028536D"/>
    <w:rsid w:val="00285551"/>
    <w:rsid w:val="0029118E"/>
    <w:rsid w:val="00291200"/>
    <w:rsid w:val="002927AE"/>
    <w:rsid w:val="00293735"/>
    <w:rsid w:val="00295138"/>
    <w:rsid w:val="0029535F"/>
    <w:rsid w:val="00295ABA"/>
    <w:rsid w:val="00295DFF"/>
    <w:rsid w:val="002965CF"/>
    <w:rsid w:val="00297043"/>
    <w:rsid w:val="0029740F"/>
    <w:rsid w:val="002A0C1E"/>
    <w:rsid w:val="002A187F"/>
    <w:rsid w:val="002A2EB6"/>
    <w:rsid w:val="002A3467"/>
    <w:rsid w:val="002A45C7"/>
    <w:rsid w:val="002A4FD4"/>
    <w:rsid w:val="002A5A94"/>
    <w:rsid w:val="002A5ABF"/>
    <w:rsid w:val="002A5C61"/>
    <w:rsid w:val="002A687A"/>
    <w:rsid w:val="002A6EB4"/>
    <w:rsid w:val="002A7B16"/>
    <w:rsid w:val="002B0301"/>
    <w:rsid w:val="002B036D"/>
    <w:rsid w:val="002B1FC6"/>
    <w:rsid w:val="002B2246"/>
    <w:rsid w:val="002B2D0A"/>
    <w:rsid w:val="002B3781"/>
    <w:rsid w:val="002B3E44"/>
    <w:rsid w:val="002B57AF"/>
    <w:rsid w:val="002B6BFE"/>
    <w:rsid w:val="002B70FD"/>
    <w:rsid w:val="002B74DD"/>
    <w:rsid w:val="002B753A"/>
    <w:rsid w:val="002B7668"/>
    <w:rsid w:val="002C098E"/>
    <w:rsid w:val="002C198F"/>
    <w:rsid w:val="002C30E7"/>
    <w:rsid w:val="002C41FF"/>
    <w:rsid w:val="002C4EA8"/>
    <w:rsid w:val="002C521A"/>
    <w:rsid w:val="002C54BF"/>
    <w:rsid w:val="002C60FE"/>
    <w:rsid w:val="002C664C"/>
    <w:rsid w:val="002C6AA4"/>
    <w:rsid w:val="002C709C"/>
    <w:rsid w:val="002C7766"/>
    <w:rsid w:val="002C7B27"/>
    <w:rsid w:val="002C7F3F"/>
    <w:rsid w:val="002D0B58"/>
    <w:rsid w:val="002D2487"/>
    <w:rsid w:val="002D3448"/>
    <w:rsid w:val="002D352F"/>
    <w:rsid w:val="002D49F3"/>
    <w:rsid w:val="002D4E75"/>
    <w:rsid w:val="002D4FF0"/>
    <w:rsid w:val="002D53D6"/>
    <w:rsid w:val="002D5CA1"/>
    <w:rsid w:val="002D66FD"/>
    <w:rsid w:val="002D67F9"/>
    <w:rsid w:val="002D72F8"/>
    <w:rsid w:val="002E05E9"/>
    <w:rsid w:val="002E12BC"/>
    <w:rsid w:val="002E24AF"/>
    <w:rsid w:val="002E2FEF"/>
    <w:rsid w:val="002E57EF"/>
    <w:rsid w:val="002E6284"/>
    <w:rsid w:val="002E6DCD"/>
    <w:rsid w:val="002E755A"/>
    <w:rsid w:val="002F02C3"/>
    <w:rsid w:val="002F1C19"/>
    <w:rsid w:val="002F299D"/>
    <w:rsid w:val="002F4778"/>
    <w:rsid w:val="002F4F6A"/>
    <w:rsid w:val="002F62CA"/>
    <w:rsid w:val="002F6B3D"/>
    <w:rsid w:val="002F6C8D"/>
    <w:rsid w:val="002F6D47"/>
    <w:rsid w:val="002F7A82"/>
    <w:rsid w:val="003000B9"/>
    <w:rsid w:val="003014B7"/>
    <w:rsid w:val="00301EC3"/>
    <w:rsid w:val="0030254A"/>
    <w:rsid w:val="00302ADA"/>
    <w:rsid w:val="00302DEC"/>
    <w:rsid w:val="0030364B"/>
    <w:rsid w:val="003054C1"/>
    <w:rsid w:val="00305CF2"/>
    <w:rsid w:val="003060C8"/>
    <w:rsid w:val="0030635B"/>
    <w:rsid w:val="003068A8"/>
    <w:rsid w:val="00306C0B"/>
    <w:rsid w:val="00310B00"/>
    <w:rsid w:val="00310CA9"/>
    <w:rsid w:val="00311CAF"/>
    <w:rsid w:val="00312A54"/>
    <w:rsid w:val="00314F84"/>
    <w:rsid w:val="003151CA"/>
    <w:rsid w:val="003151E8"/>
    <w:rsid w:val="0031576F"/>
    <w:rsid w:val="00315B44"/>
    <w:rsid w:val="00317956"/>
    <w:rsid w:val="00320465"/>
    <w:rsid w:val="00321638"/>
    <w:rsid w:val="00324CC9"/>
    <w:rsid w:val="0032533D"/>
    <w:rsid w:val="00326A3A"/>
    <w:rsid w:val="00327FED"/>
    <w:rsid w:val="00331B38"/>
    <w:rsid w:val="00332D78"/>
    <w:rsid w:val="0033336E"/>
    <w:rsid w:val="003336AF"/>
    <w:rsid w:val="003339C1"/>
    <w:rsid w:val="00333AC7"/>
    <w:rsid w:val="0033448A"/>
    <w:rsid w:val="003356BF"/>
    <w:rsid w:val="003359B1"/>
    <w:rsid w:val="0033614C"/>
    <w:rsid w:val="0033635E"/>
    <w:rsid w:val="003377BB"/>
    <w:rsid w:val="00340167"/>
    <w:rsid w:val="0034121A"/>
    <w:rsid w:val="00341464"/>
    <w:rsid w:val="003415BC"/>
    <w:rsid w:val="00341F0E"/>
    <w:rsid w:val="003439D8"/>
    <w:rsid w:val="00343AE7"/>
    <w:rsid w:val="00344033"/>
    <w:rsid w:val="003450B2"/>
    <w:rsid w:val="003452F6"/>
    <w:rsid w:val="0034756C"/>
    <w:rsid w:val="00347DA5"/>
    <w:rsid w:val="00350EB7"/>
    <w:rsid w:val="00352F84"/>
    <w:rsid w:val="0035373A"/>
    <w:rsid w:val="00353EEB"/>
    <w:rsid w:val="00355A84"/>
    <w:rsid w:val="00355B5D"/>
    <w:rsid w:val="003568D6"/>
    <w:rsid w:val="00356DBC"/>
    <w:rsid w:val="0035754A"/>
    <w:rsid w:val="00360521"/>
    <w:rsid w:val="00361A56"/>
    <w:rsid w:val="00361B6F"/>
    <w:rsid w:val="0036249A"/>
    <w:rsid w:val="00362EDE"/>
    <w:rsid w:val="00363347"/>
    <w:rsid w:val="0036383D"/>
    <w:rsid w:val="00363A5D"/>
    <w:rsid w:val="003658DB"/>
    <w:rsid w:val="003662C1"/>
    <w:rsid w:val="003674AF"/>
    <w:rsid w:val="0037200B"/>
    <w:rsid w:val="0037228A"/>
    <w:rsid w:val="00372E41"/>
    <w:rsid w:val="00373D1B"/>
    <w:rsid w:val="0037469C"/>
    <w:rsid w:val="0037645B"/>
    <w:rsid w:val="003765BF"/>
    <w:rsid w:val="00376D0B"/>
    <w:rsid w:val="0037703D"/>
    <w:rsid w:val="003773B7"/>
    <w:rsid w:val="00381373"/>
    <w:rsid w:val="003817D3"/>
    <w:rsid w:val="003817E0"/>
    <w:rsid w:val="0038224E"/>
    <w:rsid w:val="0038250A"/>
    <w:rsid w:val="00382592"/>
    <w:rsid w:val="003845AE"/>
    <w:rsid w:val="00384851"/>
    <w:rsid w:val="003849C1"/>
    <w:rsid w:val="00385203"/>
    <w:rsid w:val="00387982"/>
    <w:rsid w:val="00390985"/>
    <w:rsid w:val="0039162B"/>
    <w:rsid w:val="00392148"/>
    <w:rsid w:val="00392910"/>
    <w:rsid w:val="00393938"/>
    <w:rsid w:val="003941B4"/>
    <w:rsid w:val="003946EA"/>
    <w:rsid w:val="00394C68"/>
    <w:rsid w:val="00394DFE"/>
    <w:rsid w:val="003957C5"/>
    <w:rsid w:val="00396088"/>
    <w:rsid w:val="00396CA2"/>
    <w:rsid w:val="003973E9"/>
    <w:rsid w:val="003A189D"/>
    <w:rsid w:val="003A204C"/>
    <w:rsid w:val="003A224E"/>
    <w:rsid w:val="003A297D"/>
    <w:rsid w:val="003A2E37"/>
    <w:rsid w:val="003A33D1"/>
    <w:rsid w:val="003A464B"/>
    <w:rsid w:val="003A60D6"/>
    <w:rsid w:val="003A7A4A"/>
    <w:rsid w:val="003A7E50"/>
    <w:rsid w:val="003B0C18"/>
    <w:rsid w:val="003B2519"/>
    <w:rsid w:val="003B406B"/>
    <w:rsid w:val="003B5138"/>
    <w:rsid w:val="003B610C"/>
    <w:rsid w:val="003B7A07"/>
    <w:rsid w:val="003B7DF4"/>
    <w:rsid w:val="003C0DA1"/>
    <w:rsid w:val="003C0F47"/>
    <w:rsid w:val="003C2D0F"/>
    <w:rsid w:val="003C3A53"/>
    <w:rsid w:val="003C3B62"/>
    <w:rsid w:val="003C404C"/>
    <w:rsid w:val="003C418C"/>
    <w:rsid w:val="003C4AAF"/>
    <w:rsid w:val="003C60BB"/>
    <w:rsid w:val="003C7789"/>
    <w:rsid w:val="003D0E9B"/>
    <w:rsid w:val="003D2B3E"/>
    <w:rsid w:val="003D353E"/>
    <w:rsid w:val="003D3DAF"/>
    <w:rsid w:val="003D41E7"/>
    <w:rsid w:val="003D5BEF"/>
    <w:rsid w:val="003D6A38"/>
    <w:rsid w:val="003D7BFB"/>
    <w:rsid w:val="003E0270"/>
    <w:rsid w:val="003E02EC"/>
    <w:rsid w:val="003E2BDF"/>
    <w:rsid w:val="003E2FBB"/>
    <w:rsid w:val="003E3618"/>
    <w:rsid w:val="003E3B36"/>
    <w:rsid w:val="003E3F08"/>
    <w:rsid w:val="003E4551"/>
    <w:rsid w:val="003E52BB"/>
    <w:rsid w:val="003E669C"/>
    <w:rsid w:val="003F0526"/>
    <w:rsid w:val="003F083B"/>
    <w:rsid w:val="003F170F"/>
    <w:rsid w:val="003F2533"/>
    <w:rsid w:val="003F32D8"/>
    <w:rsid w:val="003F3C19"/>
    <w:rsid w:val="003F472A"/>
    <w:rsid w:val="003F492F"/>
    <w:rsid w:val="003F61A2"/>
    <w:rsid w:val="003F6CBC"/>
    <w:rsid w:val="003F7B41"/>
    <w:rsid w:val="004009FE"/>
    <w:rsid w:val="0040146F"/>
    <w:rsid w:val="00402089"/>
    <w:rsid w:val="00403516"/>
    <w:rsid w:val="00403D44"/>
    <w:rsid w:val="004044FE"/>
    <w:rsid w:val="0040494C"/>
    <w:rsid w:val="00405058"/>
    <w:rsid w:val="004062CB"/>
    <w:rsid w:val="0040733E"/>
    <w:rsid w:val="00407CBF"/>
    <w:rsid w:val="00410C5C"/>
    <w:rsid w:val="0041279E"/>
    <w:rsid w:val="00412D39"/>
    <w:rsid w:val="0041386E"/>
    <w:rsid w:val="00413891"/>
    <w:rsid w:val="004139BE"/>
    <w:rsid w:val="00414C96"/>
    <w:rsid w:val="00416675"/>
    <w:rsid w:val="00417110"/>
    <w:rsid w:val="00417135"/>
    <w:rsid w:val="00417445"/>
    <w:rsid w:val="0042288E"/>
    <w:rsid w:val="00422F13"/>
    <w:rsid w:val="00424651"/>
    <w:rsid w:val="00425F5B"/>
    <w:rsid w:val="0043159C"/>
    <w:rsid w:val="004321BF"/>
    <w:rsid w:val="00432D76"/>
    <w:rsid w:val="00433FDC"/>
    <w:rsid w:val="004352D1"/>
    <w:rsid w:val="00435341"/>
    <w:rsid w:val="0043667C"/>
    <w:rsid w:val="004366D5"/>
    <w:rsid w:val="00436EBD"/>
    <w:rsid w:val="00436F6F"/>
    <w:rsid w:val="004400A8"/>
    <w:rsid w:val="004405AB"/>
    <w:rsid w:val="00440DB6"/>
    <w:rsid w:val="00442C4A"/>
    <w:rsid w:val="0044328F"/>
    <w:rsid w:val="004433B3"/>
    <w:rsid w:val="00443C35"/>
    <w:rsid w:val="00444381"/>
    <w:rsid w:val="0044495B"/>
    <w:rsid w:val="00445FA7"/>
    <w:rsid w:val="00447B24"/>
    <w:rsid w:val="0045109E"/>
    <w:rsid w:val="004518E4"/>
    <w:rsid w:val="004522F8"/>
    <w:rsid w:val="00452BD5"/>
    <w:rsid w:val="004537D0"/>
    <w:rsid w:val="004538E8"/>
    <w:rsid w:val="004552C1"/>
    <w:rsid w:val="00456210"/>
    <w:rsid w:val="0046037B"/>
    <w:rsid w:val="0046257E"/>
    <w:rsid w:val="00463B8B"/>
    <w:rsid w:val="0046457A"/>
    <w:rsid w:val="004645BB"/>
    <w:rsid w:val="00464E02"/>
    <w:rsid w:val="004654F0"/>
    <w:rsid w:val="00466812"/>
    <w:rsid w:val="0046790A"/>
    <w:rsid w:val="0047059F"/>
    <w:rsid w:val="00470935"/>
    <w:rsid w:val="00470BC8"/>
    <w:rsid w:val="00470BD1"/>
    <w:rsid w:val="00471022"/>
    <w:rsid w:val="004714E6"/>
    <w:rsid w:val="00471EE8"/>
    <w:rsid w:val="00472497"/>
    <w:rsid w:val="00472B53"/>
    <w:rsid w:val="00472C92"/>
    <w:rsid w:val="004736DA"/>
    <w:rsid w:val="0047418F"/>
    <w:rsid w:val="0047423F"/>
    <w:rsid w:val="004743F1"/>
    <w:rsid w:val="00475ACD"/>
    <w:rsid w:val="004779F5"/>
    <w:rsid w:val="0048057C"/>
    <w:rsid w:val="00480D78"/>
    <w:rsid w:val="004817BC"/>
    <w:rsid w:val="00482850"/>
    <w:rsid w:val="00483805"/>
    <w:rsid w:val="00483932"/>
    <w:rsid w:val="00484E0A"/>
    <w:rsid w:val="004850F3"/>
    <w:rsid w:val="004854C2"/>
    <w:rsid w:val="004856A8"/>
    <w:rsid w:val="00486669"/>
    <w:rsid w:val="00487142"/>
    <w:rsid w:val="00487231"/>
    <w:rsid w:val="00487EDB"/>
    <w:rsid w:val="00487F70"/>
    <w:rsid w:val="00490BD5"/>
    <w:rsid w:val="0049245B"/>
    <w:rsid w:val="0049292B"/>
    <w:rsid w:val="004935DD"/>
    <w:rsid w:val="0049388D"/>
    <w:rsid w:val="00493C5E"/>
    <w:rsid w:val="00493C66"/>
    <w:rsid w:val="0049444F"/>
    <w:rsid w:val="0049506E"/>
    <w:rsid w:val="004956E4"/>
    <w:rsid w:val="00496734"/>
    <w:rsid w:val="00497861"/>
    <w:rsid w:val="00497BBC"/>
    <w:rsid w:val="004A095F"/>
    <w:rsid w:val="004A0E27"/>
    <w:rsid w:val="004A0F32"/>
    <w:rsid w:val="004A0FA5"/>
    <w:rsid w:val="004A1010"/>
    <w:rsid w:val="004A16A2"/>
    <w:rsid w:val="004A195C"/>
    <w:rsid w:val="004A2247"/>
    <w:rsid w:val="004A2543"/>
    <w:rsid w:val="004A2F4A"/>
    <w:rsid w:val="004A39CC"/>
    <w:rsid w:val="004A48E0"/>
    <w:rsid w:val="004A59B6"/>
    <w:rsid w:val="004A6074"/>
    <w:rsid w:val="004A6DE1"/>
    <w:rsid w:val="004B07DC"/>
    <w:rsid w:val="004B0C19"/>
    <w:rsid w:val="004B1978"/>
    <w:rsid w:val="004B1B0A"/>
    <w:rsid w:val="004B1FAB"/>
    <w:rsid w:val="004B281A"/>
    <w:rsid w:val="004B2CB5"/>
    <w:rsid w:val="004B2CB9"/>
    <w:rsid w:val="004B3AE9"/>
    <w:rsid w:val="004B3BC7"/>
    <w:rsid w:val="004B4600"/>
    <w:rsid w:val="004B4980"/>
    <w:rsid w:val="004B536C"/>
    <w:rsid w:val="004B64A0"/>
    <w:rsid w:val="004B65A7"/>
    <w:rsid w:val="004B65CF"/>
    <w:rsid w:val="004B665C"/>
    <w:rsid w:val="004B6FB8"/>
    <w:rsid w:val="004C17B3"/>
    <w:rsid w:val="004C1AE2"/>
    <w:rsid w:val="004C2266"/>
    <w:rsid w:val="004C28A7"/>
    <w:rsid w:val="004C334D"/>
    <w:rsid w:val="004C409C"/>
    <w:rsid w:val="004C6066"/>
    <w:rsid w:val="004C64C3"/>
    <w:rsid w:val="004D0965"/>
    <w:rsid w:val="004D0A75"/>
    <w:rsid w:val="004D12A5"/>
    <w:rsid w:val="004D14DB"/>
    <w:rsid w:val="004D1DF5"/>
    <w:rsid w:val="004D2408"/>
    <w:rsid w:val="004D297A"/>
    <w:rsid w:val="004D2ABD"/>
    <w:rsid w:val="004D3047"/>
    <w:rsid w:val="004D30D2"/>
    <w:rsid w:val="004D48F0"/>
    <w:rsid w:val="004D7C11"/>
    <w:rsid w:val="004E0DBA"/>
    <w:rsid w:val="004E21FD"/>
    <w:rsid w:val="004E2742"/>
    <w:rsid w:val="004E341E"/>
    <w:rsid w:val="004E3BA0"/>
    <w:rsid w:val="004E492E"/>
    <w:rsid w:val="004E56F8"/>
    <w:rsid w:val="004E6015"/>
    <w:rsid w:val="004E6698"/>
    <w:rsid w:val="004E7DC6"/>
    <w:rsid w:val="004F153D"/>
    <w:rsid w:val="004F1A27"/>
    <w:rsid w:val="004F1BD8"/>
    <w:rsid w:val="004F2A50"/>
    <w:rsid w:val="004F36D9"/>
    <w:rsid w:val="004F514F"/>
    <w:rsid w:val="004F5396"/>
    <w:rsid w:val="004F733D"/>
    <w:rsid w:val="004F7B4E"/>
    <w:rsid w:val="0050033D"/>
    <w:rsid w:val="00500F37"/>
    <w:rsid w:val="0050258E"/>
    <w:rsid w:val="00503E79"/>
    <w:rsid w:val="00504191"/>
    <w:rsid w:val="0050501D"/>
    <w:rsid w:val="00505DA9"/>
    <w:rsid w:val="005063EA"/>
    <w:rsid w:val="00506DC6"/>
    <w:rsid w:val="00506F07"/>
    <w:rsid w:val="005075B3"/>
    <w:rsid w:val="00507A9B"/>
    <w:rsid w:val="00507C45"/>
    <w:rsid w:val="00511673"/>
    <w:rsid w:val="00514602"/>
    <w:rsid w:val="0051543B"/>
    <w:rsid w:val="00515F04"/>
    <w:rsid w:val="00515F07"/>
    <w:rsid w:val="00517845"/>
    <w:rsid w:val="0052018B"/>
    <w:rsid w:val="005207E5"/>
    <w:rsid w:val="00523C6C"/>
    <w:rsid w:val="00525B12"/>
    <w:rsid w:val="00525BF6"/>
    <w:rsid w:val="005260CC"/>
    <w:rsid w:val="00530529"/>
    <w:rsid w:val="00530D67"/>
    <w:rsid w:val="00530E77"/>
    <w:rsid w:val="0053150A"/>
    <w:rsid w:val="00531DD9"/>
    <w:rsid w:val="005323A7"/>
    <w:rsid w:val="005329A3"/>
    <w:rsid w:val="0053568B"/>
    <w:rsid w:val="00535BA5"/>
    <w:rsid w:val="00536D62"/>
    <w:rsid w:val="00536E3D"/>
    <w:rsid w:val="00540475"/>
    <w:rsid w:val="0054165C"/>
    <w:rsid w:val="00542088"/>
    <w:rsid w:val="0054209B"/>
    <w:rsid w:val="005423DD"/>
    <w:rsid w:val="00542702"/>
    <w:rsid w:val="0054289D"/>
    <w:rsid w:val="00544098"/>
    <w:rsid w:val="00544934"/>
    <w:rsid w:val="00545AA5"/>
    <w:rsid w:val="00545CAD"/>
    <w:rsid w:val="0054605D"/>
    <w:rsid w:val="005468A3"/>
    <w:rsid w:val="00546CF2"/>
    <w:rsid w:val="00547870"/>
    <w:rsid w:val="00547DC6"/>
    <w:rsid w:val="0055027C"/>
    <w:rsid w:val="00550784"/>
    <w:rsid w:val="005519CA"/>
    <w:rsid w:val="00551BCA"/>
    <w:rsid w:val="005526B2"/>
    <w:rsid w:val="0055307C"/>
    <w:rsid w:val="005531A6"/>
    <w:rsid w:val="00553DC9"/>
    <w:rsid w:val="00554C1C"/>
    <w:rsid w:val="00554E2C"/>
    <w:rsid w:val="005561F4"/>
    <w:rsid w:val="0055683A"/>
    <w:rsid w:val="00556D90"/>
    <w:rsid w:val="00560F2E"/>
    <w:rsid w:val="00561C2E"/>
    <w:rsid w:val="00561E04"/>
    <w:rsid w:val="00562927"/>
    <w:rsid w:val="00562A03"/>
    <w:rsid w:val="00563E98"/>
    <w:rsid w:val="00563EFC"/>
    <w:rsid w:val="005647C8"/>
    <w:rsid w:val="00565313"/>
    <w:rsid w:val="0056609A"/>
    <w:rsid w:val="00566374"/>
    <w:rsid w:val="0056671C"/>
    <w:rsid w:val="005676E6"/>
    <w:rsid w:val="005702BF"/>
    <w:rsid w:val="00570F44"/>
    <w:rsid w:val="005726F4"/>
    <w:rsid w:val="00572E5B"/>
    <w:rsid w:val="00573FB5"/>
    <w:rsid w:val="00574275"/>
    <w:rsid w:val="00574558"/>
    <w:rsid w:val="00576109"/>
    <w:rsid w:val="005762FD"/>
    <w:rsid w:val="00576F09"/>
    <w:rsid w:val="00576F33"/>
    <w:rsid w:val="00576F4B"/>
    <w:rsid w:val="0057725C"/>
    <w:rsid w:val="0057736D"/>
    <w:rsid w:val="00580B51"/>
    <w:rsid w:val="00580D89"/>
    <w:rsid w:val="005814FE"/>
    <w:rsid w:val="00581563"/>
    <w:rsid w:val="00582F36"/>
    <w:rsid w:val="0058415F"/>
    <w:rsid w:val="005842FD"/>
    <w:rsid w:val="00584C34"/>
    <w:rsid w:val="0058545A"/>
    <w:rsid w:val="00585FB9"/>
    <w:rsid w:val="005861A9"/>
    <w:rsid w:val="0058631C"/>
    <w:rsid w:val="00586878"/>
    <w:rsid w:val="005879DD"/>
    <w:rsid w:val="00587A89"/>
    <w:rsid w:val="00587FD6"/>
    <w:rsid w:val="00590148"/>
    <w:rsid w:val="00590344"/>
    <w:rsid w:val="0059041A"/>
    <w:rsid w:val="00592E45"/>
    <w:rsid w:val="00594096"/>
    <w:rsid w:val="00594224"/>
    <w:rsid w:val="00594307"/>
    <w:rsid w:val="00595F01"/>
    <w:rsid w:val="005963C0"/>
    <w:rsid w:val="0059700F"/>
    <w:rsid w:val="005A0179"/>
    <w:rsid w:val="005A17A4"/>
    <w:rsid w:val="005A1887"/>
    <w:rsid w:val="005A248F"/>
    <w:rsid w:val="005A2CA9"/>
    <w:rsid w:val="005A3362"/>
    <w:rsid w:val="005A39E4"/>
    <w:rsid w:val="005A423E"/>
    <w:rsid w:val="005A469B"/>
    <w:rsid w:val="005A575D"/>
    <w:rsid w:val="005A58BE"/>
    <w:rsid w:val="005A5F85"/>
    <w:rsid w:val="005A7997"/>
    <w:rsid w:val="005A7DBA"/>
    <w:rsid w:val="005B1115"/>
    <w:rsid w:val="005B1260"/>
    <w:rsid w:val="005B28DF"/>
    <w:rsid w:val="005B29B4"/>
    <w:rsid w:val="005B2B4F"/>
    <w:rsid w:val="005B3E3A"/>
    <w:rsid w:val="005B3FB0"/>
    <w:rsid w:val="005B4389"/>
    <w:rsid w:val="005B447C"/>
    <w:rsid w:val="005B4DC6"/>
    <w:rsid w:val="005B5FAC"/>
    <w:rsid w:val="005B6042"/>
    <w:rsid w:val="005C095A"/>
    <w:rsid w:val="005C097D"/>
    <w:rsid w:val="005C0A2B"/>
    <w:rsid w:val="005C1C75"/>
    <w:rsid w:val="005C3028"/>
    <w:rsid w:val="005C4150"/>
    <w:rsid w:val="005C55AA"/>
    <w:rsid w:val="005C6EEF"/>
    <w:rsid w:val="005C6FD8"/>
    <w:rsid w:val="005D132E"/>
    <w:rsid w:val="005D2219"/>
    <w:rsid w:val="005D31B5"/>
    <w:rsid w:val="005D367B"/>
    <w:rsid w:val="005D42B4"/>
    <w:rsid w:val="005D4A4F"/>
    <w:rsid w:val="005D4D0D"/>
    <w:rsid w:val="005D4F89"/>
    <w:rsid w:val="005D538E"/>
    <w:rsid w:val="005D5931"/>
    <w:rsid w:val="005D607D"/>
    <w:rsid w:val="005D64CF"/>
    <w:rsid w:val="005D759A"/>
    <w:rsid w:val="005D79EB"/>
    <w:rsid w:val="005D7DC5"/>
    <w:rsid w:val="005E267A"/>
    <w:rsid w:val="005E2A6A"/>
    <w:rsid w:val="005E38F9"/>
    <w:rsid w:val="005E3F97"/>
    <w:rsid w:val="005E4D66"/>
    <w:rsid w:val="005E4DAD"/>
    <w:rsid w:val="005E6BFF"/>
    <w:rsid w:val="005E7490"/>
    <w:rsid w:val="005E78D8"/>
    <w:rsid w:val="005F11FE"/>
    <w:rsid w:val="005F31B1"/>
    <w:rsid w:val="005F396C"/>
    <w:rsid w:val="005F3B47"/>
    <w:rsid w:val="005F585A"/>
    <w:rsid w:val="005F663A"/>
    <w:rsid w:val="005F6B53"/>
    <w:rsid w:val="005F70E1"/>
    <w:rsid w:val="005F7678"/>
    <w:rsid w:val="006004BD"/>
    <w:rsid w:val="00600AD4"/>
    <w:rsid w:val="006015D0"/>
    <w:rsid w:val="00602026"/>
    <w:rsid w:val="00602741"/>
    <w:rsid w:val="00602BE3"/>
    <w:rsid w:val="0060417D"/>
    <w:rsid w:val="00606D73"/>
    <w:rsid w:val="00607449"/>
    <w:rsid w:val="0061058F"/>
    <w:rsid w:val="00610A96"/>
    <w:rsid w:val="00613A87"/>
    <w:rsid w:val="00613ACB"/>
    <w:rsid w:val="00613BF7"/>
    <w:rsid w:val="00614197"/>
    <w:rsid w:val="006141AA"/>
    <w:rsid w:val="00616862"/>
    <w:rsid w:val="006178D6"/>
    <w:rsid w:val="00617909"/>
    <w:rsid w:val="00620648"/>
    <w:rsid w:val="006222B1"/>
    <w:rsid w:val="006224C0"/>
    <w:rsid w:val="00622832"/>
    <w:rsid w:val="00623785"/>
    <w:rsid w:val="00623E27"/>
    <w:rsid w:val="00623ED9"/>
    <w:rsid w:val="00624082"/>
    <w:rsid w:val="00624B2C"/>
    <w:rsid w:val="00624CC7"/>
    <w:rsid w:val="00625153"/>
    <w:rsid w:val="00625460"/>
    <w:rsid w:val="00625C55"/>
    <w:rsid w:val="0062649A"/>
    <w:rsid w:val="00630181"/>
    <w:rsid w:val="00630463"/>
    <w:rsid w:val="00630846"/>
    <w:rsid w:val="006315B1"/>
    <w:rsid w:val="00632AC5"/>
    <w:rsid w:val="00632C93"/>
    <w:rsid w:val="00633193"/>
    <w:rsid w:val="00634C43"/>
    <w:rsid w:val="00634C65"/>
    <w:rsid w:val="00635C06"/>
    <w:rsid w:val="00635FF2"/>
    <w:rsid w:val="006361AB"/>
    <w:rsid w:val="00640F89"/>
    <w:rsid w:val="00641328"/>
    <w:rsid w:val="006415D6"/>
    <w:rsid w:val="00642253"/>
    <w:rsid w:val="00642FEA"/>
    <w:rsid w:val="00643A1C"/>
    <w:rsid w:val="00643DB9"/>
    <w:rsid w:val="006441A6"/>
    <w:rsid w:val="006441F6"/>
    <w:rsid w:val="006445D0"/>
    <w:rsid w:val="00644B09"/>
    <w:rsid w:val="00645369"/>
    <w:rsid w:val="006456DE"/>
    <w:rsid w:val="00645A6C"/>
    <w:rsid w:val="0064645A"/>
    <w:rsid w:val="00647530"/>
    <w:rsid w:val="006502B8"/>
    <w:rsid w:val="0065099F"/>
    <w:rsid w:val="00653E3F"/>
    <w:rsid w:val="006547C6"/>
    <w:rsid w:val="0065638E"/>
    <w:rsid w:val="00656661"/>
    <w:rsid w:val="00660E23"/>
    <w:rsid w:val="00662996"/>
    <w:rsid w:val="00664339"/>
    <w:rsid w:val="00664849"/>
    <w:rsid w:val="00665AA2"/>
    <w:rsid w:val="0066719B"/>
    <w:rsid w:val="00667F02"/>
    <w:rsid w:val="0067020A"/>
    <w:rsid w:val="00670263"/>
    <w:rsid w:val="0067059D"/>
    <w:rsid w:val="00670812"/>
    <w:rsid w:val="00670B65"/>
    <w:rsid w:val="006728CA"/>
    <w:rsid w:val="00672E4E"/>
    <w:rsid w:val="00673CB1"/>
    <w:rsid w:val="00673F6C"/>
    <w:rsid w:val="00674175"/>
    <w:rsid w:val="006747F0"/>
    <w:rsid w:val="00675099"/>
    <w:rsid w:val="00675553"/>
    <w:rsid w:val="00675799"/>
    <w:rsid w:val="006764A4"/>
    <w:rsid w:val="00676BB0"/>
    <w:rsid w:val="00677E86"/>
    <w:rsid w:val="006824E1"/>
    <w:rsid w:val="00682FCB"/>
    <w:rsid w:val="0068374C"/>
    <w:rsid w:val="006838D0"/>
    <w:rsid w:val="00684356"/>
    <w:rsid w:val="006845D1"/>
    <w:rsid w:val="00684CD5"/>
    <w:rsid w:val="0068539E"/>
    <w:rsid w:val="0068576D"/>
    <w:rsid w:val="00686E1C"/>
    <w:rsid w:val="00687B39"/>
    <w:rsid w:val="00690F55"/>
    <w:rsid w:val="00692EDC"/>
    <w:rsid w:val="00692FC1"/>
    <w:rsid w:val="006943A4"/>
    <w:rsid w:val="00694EC0"/>
    <w:rsid w:val="00696B38"/>
    <w:rsid w:val="006973E6"/>
    <w:rsid w:val="00697DB6"/>
    <w:rsid w:val="006A0669"/>
    <w:rsid w:val="006A11A5"/>
    <w:rsid w:val="006A2982"/>
    <w:rsid w:val="006A2C48"/>
    <w:rsid w:val="006A341A"/>
    <w:rsid w:val="006A3454"/>
    <w:rsid w:val="006A3C68"/>
    <w:rsid w:val="006A3F57"/>
    <w:rsid w:val="006A431C"/>
    <w:rsid w:val="006A47C8"/>
    <w:rsid w:val="006A6002"/>
    <w:rsid w:val="006A6A0A"/>
    <w:rsid w:val="006B0001"/>
    <w:rsid w:val="006B0B73"/>
    <w:rsid w:val="006B154A"/>
    <w:rsid w:val="006B1E05"/>
    <w:rsid w:val="006B1F78"/>
    <w:rsid w:val="006B27F1"/>
    <w:rsid w:val="006B3084"/>
    <w:rsid w:val="006B3227"/>
    <w:rsid w:val="006B4C47"/>
    <w:rsid w:val="006B7247"/>
    <w:rsid w:val="006B7A22"/>
    <w:rsid w:val="006B7BC6"/>
    <w:rsid w:val="006BD1F1"/>
    <w:rsid w:val="006C078C"/>
    <w:rsid w:val="006C12E6"/>
    <w:rsid w:val="006C1EC8"/>
    <w:rsid w:val="006C1F48"/>
    <w:rsid w:val="006C25CD"/>
    <w:rsid w:val="006C2F82"/>
    <w:rsid w:val="006C395F"/>
    <w:rsid w:val="006C412E"/>
    <w:rsid w:val="006C4240"/>
    <w:rsid w:val="006C581E"/>
    <w:rsid w:val="006C5B75"/>
    <w:rsid w:val="006C6766"/>
    <w:rsid w:val="006C74AC"/>
    <w:rsid w:val="006C78DD"/>
    <w:rsid w:val="006D0680"/>
    <w:rsid w:val="006D2208"/>
    <w:rsid w:val="006D4113"/>
    <w:rsid w:val="006D4D5A"/>
    <w:rsid w:val="006D4DCF"/>
    <w:rsid w:val="006D4ED5"/>
    <w:rsid w:val="006D54EE"/>
    <w:rsid w:val="006D770C"/>
    <w:rsid w:val="006D791A"/>
    <w:rsid w:val="006E06D7"/>
    <w:rsid w:val="006E1C37"/>
    <w:rsid w:val="006E2002"/>
    <w:rsid w:val="006E20E3"/>
    <w:rsid w:val="006E2B0C"/>
    <w:rsid w:val="006E3D58"/>
    <w:rsid w:val="006E3EE7"/>
    <w:rsid w:val="006E411A"/>
    <w:rsid w:val="006E5025"/>
    <w:rsid w:val="006E5430"/>
    <w:rsid w:val="006E5517"/>
    <w:rsid w:val="006E5881"/>
    <w:rsid w:val="006F0FF6"/>
    <w:rsid w:val="006F127A"/>
    <w:rsid w:val="006F1D7B"/>
    <w:rsid w:val="006F2A42"/>
    <w:rsid w:val="006F30DC"/>
    <w:rsid w:val="006F33F8"/>
    <w:rsid w:val="006F3420"/>
    <w:rsid w:val="006F4B3C"/>
    <w:rsid w:val="006F7B6C"/>
    <w:rsid w:val="0070116D"/>
    <w:rsid w:val="007014E2"/>
    <w:rsid w:val="0070212B"/>
    <w:rsid w:val="00702C33"/>
    <w:rsid w:val="00702C98"/>
    <w:rsid w:val="00703BD4"/>
    <w:rsid w:val="0070418A"/>
    <w:rsid w:val="0070489E"/>
    <w:rsid w:val="00706506"/>
    <w:rsid w:val="00706E62"/>
    <w:rsid w:val="0071041B"/>
    <w:rsid w:val="00710707"/>
    <w:rsid w:val="00712AFE"/>
    <w:rsid w:val="00712B9B"/>
    <w:rsid w:val="007137E4"/>
    <w:rsid w:val="00713D60"/>
    <w:rsid w:val="00716D3B"/>
    <w:rsid w:val="00717C34"/>
    <w:rsid w:val="00720BE1"/>
    <w:rsid w:val="00721C20"/>
    <w:rsid w:val="00721F3E"/>
    <w:rsid w:val="0072269A"/>
    <w:rsid w:val="00722A2C"/>
    <w:rsid w:val="00723BE2"/>
    <w:rsid w:val="00723F86"/>
    <w:rsid w:val="007245AC"/>
    <w:rsid w:val="00724A59"/>
    <w:rsid w:val="00724D47"/>
    <w:rsid w:val="00725425"/>
    <w:rsid w:val="00725C31"/>
    <w:rsid w:val="00726393"/>
    <w:rsid w:val="007270E4"/>
    <w:rsid w:val="00730ED2"/>
    <w:rsid w:val="00730F1F"/>
    <w:rsid w:val="007318BE"/>
    <w:rsid w:val="0073261C"/>
    <w:rsid w:val="00733D64"/>
    <w:rsid w:val="0073559B"/>
    <w:rsid w:val="007366BA"/>
    <w:rsid w:val="007367ED"/>
    <w:rsid w:val="00736F09"/>
    <w:rsid w:val="007372D3"/>
    <w:rsid w:val="0073771D"/>
    <w:rsid w:val="0074069D"/>
    <w:rsid w:val="00740D1F"/>
    <w:rsid w:val="0074117D"/>
    <w:rsid w:val="00741B3B"/>
    <w:rsid w:val="007431DD"/>
    <w:rsid w:val="00743C42"/>
    <w:rsid w:val="00743CFF"/>
    <w:rsid w:val="0074416F"/>
    <w:rsid w:val="00747BE8"/>
    <w:rsid w:val="007495E5"/>
    <w:rsid w:val="00751390"/>
    <w:rsid w:val="00751AC5"/>
    <w:rsid w:val="00752294"/>
    <w:rsid w:val="00752A49"/>
    <w:rsid w:val="00752DD3"/>
    <w:rsid w:val="00754BCC"/>
    <w:rsid w:val="00755ED9"/>
    <w:rsid w:val="007562ED"/>
    <w:rsid w:val="00757B7C"/>
    <w:rsid w:val="00762525"/>
    <w:rsid w:val="00762A57"/>
    <w:rsid w:val="00763027"/>
    <w:rsid w:val="007630F6"/>
    <w:rsid w:val="0076313F"/>
    <w:rsid w:val="0076385D"/>
    <w:rsid w:val="00763874"/>
    <w:rsid w:val="00763C77"/>
    <w:rsid w:val="007642CD"/>
    <w:rsid w:val="007651E3"/>
    <w:rsid w:val="00767A5F"/>
    <w:rsid w:val="00767BA3"/>
    <w:rsid w:val="00770623"/>
    <w:rsid w:val="00770A4C"/>
    <w:rsid w:val="00771C40"/>
    <w:rsid w:val="00771E98"/>
    <w:rsid w:val="00773736"/>
    <w:rsid w:val="00774CEF"/>
    <w:rsid w:val="00774E27"/>
    <w:rsid w:val="007774E1"/>
    <w:rsid w:val="00777890"/>
    <w:rsid w:val="007802B5"/>
    <w:rsid w:val="0078048F"/>
    <w:rsid w:val="00780757"/>
    <w:rsid w:val="00782F11"/>
    <w:rsid w:val="007842BE"/>
    <w:rsid w:val="007845B8"/>
    <w:rsid w:val="00784CB0"/>
    <w:rsid w:val="00784FFA"/>
    <w:rsid w:val="0078505B"/>
    <w:rsid w:val="00785812"/>
    <w:rsid w:val="0078707D"/>
    <w:rsid w:val="00787F1B"/>
    <w:rsid w:val="0079067C"/>
    <w:rsid w:val="007907F1"/>
    <w:rsid w:val="00791E6E"/>
    <w:rsid w:val="00792735"/>
    <w:rsid w:val="00792EF2"/>
    <w:rsid w:val="00794AEB"/>
    <w:rsid w:val="00794D2D"/>
    <w:rsid w:val="007952DC"/>
    <w:rsid w:val="00795F45"/>
    <w:rsid w:val="00796810"/>
    <w:rsid w:val="00797536"/>
    <w:rsid w:val="007A0EF5"/>
    <w:rsid w:val="007A1D57"/>
    <w:rsid w:val="007A2492"/>
    <w:rsid w:val="007A2EFF"/>
    <w:rsid w:val="007A2F26"/>
    <w:rsid w:val="007A34A4"/>
    <w:rsid w:val="007A4164"/>
    <w:rsid w:val="007A6303"/>
    <w:rsid w:val="007A63CD"/>
    <w:rsid w:val="007A654B"/>
    <w:rsid w:val="007A7C85"/>
    <w:rsid w:val="007A7CF7"/>
    <w:rsid w:val="007A7D9E"/>
    <w:rsid w:val="007B1878"/>
    <w:rsid w:val="007B2483"/>
    <w:rsid w:val="007B27CD"/>
    <w:rsid w:val="007B411A"/>
    <w:rsid w:val="007B4BA8"/>
    <w:rsid w:val="007B4BE3"/>
    <w:rsid w:val="007B4E61"/>
    <w:rsid w:val="007B5E1A"/>
    <w:rsid w:val="007B6294"/>
    <w:rsid w:val="007B67BE"/>
    <w:rsid w:val="007B7707"/>
    <w:rsid w:val="007B7B58"/>
    <w:rsid w:val="007C0909"/>
    <w:rsid w:val="007C1E47"/>
    <w:rsid w:val="007C21B4"/>
    <w:rsid w:val="007C543F"/>
    <w:rsid w:val="007C5A69"/>
    <w:rsid w:val="007C66A9"/>
    <w:rsid w:val="007C6D07"/>
    <w:rsid w:val="007C7FC7"/>
    <w:rsid w:val="007D188D"/>
    <w:rsid w:val="007D23F0"/>
    <w:rsid w:val="007D283E"/>
    <w:rsid w:val="007D2FA4"/>
    <w:rsid w:val="007D3FC4"/>
    <w:rsid w:val="007D5CB1"/>
    <w:rsid w:val="007D778C"/>
    <w:rsid w:val="007D7BF6"/>
    <w:rsid w:val="007E1155"/>
    <w:rsid w:val="007E1162"/>
    <w:rsid w:val="007E1483"/>
    <w:rsid w:val="007E3168"/>
    <w:rsid w:val="007E3264"/>
    <w:rsid w:val="007E32C8"/>
    <w:rsid w:val="007E379A"/>
    <w:rsid w:val="007E3B18"/>
    <w:rsid w:val="007E3B1A"/>
    <w:rsid w:val="007E4C10"/>
    <w:rsid w:val="007E5617"/>
    <w:rsid w:val="007E5B47"/>
    <w:rsid w:val="007E5D95"/>
    <w:rsid w:val="007E717F"/>
    <w:rsid w:val="007E7957"/>
    <w:rsid w:val="007E7D13"/>
    <w:rsid w:val="007E7ECA"/>
    <w:rsid w:val="007F1299"/>
    <w:rsid w:val="007F4C9C"/>
    <w:rsid w:val="007F5558"/>
    <w:rsid w:val="007F584D"/>
    <w:rsid w:val="007F58A3"/>
    <w:rsid w:val="007F6BA4"/>
    <w:rsid w:val="007F7663"/>
    <w:rsid w:val="00800990"/>
    <w:rsid w:val="00800BB8"/>
    <w:rsid w:val="008014B6"/>
    <w:rsid w:val="008018D2"/>
    <w:rsid w:val="00803B57"/>
    <w:rsid w:val="00804096"/>
    <w:rsid w:val="008045B5"/>
    <w:rsid w:val="008046EA"/>
    <w:rsid w:val="008046EC"/>
    <w:rsid w:val="00805C34"/>
    <w:rsid w:val="00805FB9"/>
    <w:rsid w:val="008068B4"/>
    <w:rsid w:val="0080735F"/>
    <w:rsid w:val="00807625"/>
    <w:rsid w:val="008100B3"/>
    <w:rsid w:val="008110DC"/>
    <w:rsid w:val="0081127F"/>
    <w:rsid w:val="008118D0"/>
    <w:rsid w:val="0081244D"/>
    <w:rsid w:val="008142D0"/>
    <w:rsid w:val="008158A1"/>
    <w:rsid w:val="00816263"/>
    <w:rsid w:val="00816D33"/>
    <w:rsid w:val="00817E73"/>
    <w:rsid w:val="00817F1E"/>
    <w:rsid w:val="008212A6"/>
    <w:rsid w:val="0082309E"/>
    <w:rsid w:val="00823676"/>
    <w:rsid w:val="00823F43"/>
    <w:rsid w:val="00826602"/>
    <w:rsid w:val="008306C3"/>
    <w:rsid w:val="00830733"/>
    <w:rsid w:val="00830AF1"/>
    <w:rsid w:val="00830B16"/>
    <w:rsid w:val="00831685"/>
    <w:rsid w:val="00831D4F"/>
    <w:rsid w:val="0083258C"/>
    <w:rsid w:val="00832E27"/>
    <w:rsid w:val="00834719"/>
    <w:rsid w:val="0083477B"/>
    <w:rsid w:val="00836ECE"/>
    <w:rsid w:val="0083726B"/>
    <w:rsid w:val="008405EC"/>
    <w:rsid w:val="00840F6A"/>
    <w:rsid w:val="00841FDB"/>
    <w:rsid w:val="0084207F"/>
    <w:rsid w:val="00844701"/>
    <w:rsid w:val="008447B8"/>
    <w:rsid w:val="008455BC"/>
    <w:rsid w:val="00847C89"/>
    <w:rsid w:val="00850483"/>
    <w:rsid w:val="00850824"/>
    <w:rsid w:val="00850EB5"/>
    <w:rsid w:val="008516D6"/>
    <w:rsid w:val="008517F5"/>
    <w:rsid w:val="0085325A"/>
    <w:rsid w:val="0085447D"/>
    <w:rsid w:val="008544AD"/>
    <w:rsid w:val="00854AB0"/>
    <w:rsid w:val="008550DC"/>
    <w:rsid w:val="0085598B"/>
    <w:rsid w:val="00856AD2"/>
    <w:rsid w:val="008579B1"/>
    <w:rsid w:val="00860803"/>
    <w:rsid w:val="00861EEA"/>
    <w:rsid w:val="00862C7E"/>
    <w:rsid w:val="00863F8A"/>
    <w:rsid w:val="00864A42"/>
    <w:rsid w:val="008653E7"/>
    <w:rsid w:val="00865A22"/>
    <w:rsid w:val="00865E4D"/>
    <w:rsid w:val="008660E2"/>
    <w:rsid w:val="00866870"/>
    <w:rsid w:val="00866EB1"/>
    <w:rsid w:val="008671DE"/>
    <w:rsid w:val="00871A38"/>
    <w:rsid w:val="00872504"/>
    <w:rsid w:val="00873171"/>
    <w:rsid w:val="008742A0"/>
    <w:rsid w:val="00874E93"/>
    <w:rsid w:val="00876236"/>
    <w:rsid w:val="00876BE1"/>
    <w:rsid w:val="0087724C"/>
    <w:rsid w:val="00877482"/>
    <w:rsid w:val="0088049F"/>
    <w:rsid w:val="008835ED"/>
    <w:rsid w:val="00883A02"/>
    <w:rsid w:val="00883D02"/>
    <w:rsid w:val="00884FA0"/>
    <w:rsid w:val="00886419"/>
    <w:rsid w:val="00886A86"/>
    <w:rsid w:val="00886BF6"/>
    <w:rsid w:val="0088741F"/>
    <w:rsid w:val="00894110"/>
    <w:rsid w:val="00894163"/>
    <w:rsid w:val="008946F6"/>
    <w:rsid w:val="00894794"/>
    <w:rsid w:val="00894847"/>
    <w:rsid w:val="008953AB"/>
    <w:rsid w:val="00895DC5"/>
    <w:rsid w:val="008A0569"/>
    <w:rsid w:val="008A0A0D"/>
    <w:rsid w:val="008A216E"/>
    <w:rsid w:val="008A269C"/>
    <w:rsid w:val="008A2C46"/>
    <w:rsid w:val="008A31C7"/>
    <w:rsid w:val="008A391C"/>
    <w:rsid w:val="008A3FF0"/>
    <w:rsid w:val="008A4560"/>
    <w:rsid w:val="008A4870"/>
    <w:rsid w:val="008A563E"/>
    <w:rsid w:val="008A61AE"/>
    <w:rsid w:val="008A7440"/>
    <w:rsid w:val="008A756C"/>
    <w:rsid w:val="008A75F9"/>
    <w:rsid w:val="008A763A"/>
    <w:rsid w:val="008B008E"/>
    <w:rsid w:val="008B0A73"/>
    <w:rsid w:val="008B103B"/>
    <w:rsid w:val="008B16B1"/>
    <w:rsid w:val="008B2660"/>
    <w:rsid w:val="008B2E4A"/>
    <w:rsid w:val="008B3285"/>
    <w:rsid w:val="008B32D5"/>
    <w:rsid w:val="008B4D5D"/>
    <w:rsid w:val="008B4DB3"/>
    <w:rsid w:val="008B6E81"/>
    <w:rsid w:val="008B76BA"/>
    <w:rsid w:val="008B7A11"/>
    <w:rsid w:val="008C0021"/>
    <w:rsid w:val="008C0AC4"/>
    <w:rsid w:val="008C1077"/>
    <w:rsid w:val="008C17E2"/>
    <w:rsid w:val="008C24D6"/>
    <w:rsid w:val="008C2C00"/>
    <w:rsid w:val="008C44B8"/>
    <w:rsid w:val="008C5213"/>
    <w:rsid w:val="008C5736"/>
    <w:rsid w:val="008C7006"/>
    <w:rsid w:val="008D1CDB"/>
    <w:rsid w:val="008D216E"/>
    <w:rsid w:val="008D25E3"/>
    <w:rsid w:val="008D2692"/>
    <w:rsid w:val="008D2D49"/>
    <w:rsid w:val="008D3632"/>
    <w:rsid w:val="008D4D5F"/>
    <w:rsid w:val="008D510C"/>
    <w:rsid w:val="008D6312"/>
    <w:rsid w:val="008D6846"/>
    <w:rsid w:val="008D7094"/>
    <w:rsid w:val="008D757E"/>
    <w:rsid w:val="008E04DC"/>
    <w:rsid w:val="008E17A2"/>
    <w:rsid w:val="008E3BBA"/>
    <w:rsid w:val="008E521E"/>
    <w:rsid w:val="008E5484"/>
    <w:rsid w:val="008E5C45"/>
    <w:rsid w:val="008E7550"/>
    <w:rsid w:val="008F1526"/>
    <w:rsid w:val="008F272A"/>
    <w:rsid w:val="008F3E10"/>
    <w:rsid w:val="008F48A6"/>
    <w:rsid w:val="008F7399"/>
    <w:rsid w:val="009009E6"/>
    <w:rsid w:val="009014FA"/>
    <w:rsid w:val="009018B3"/>
    <w:rsid w:val="00902003"/>
    <w:rsid w:val="0090270A"/>
    <w:rsid w:val="00902C9A"/>
    <w:rsid w:val="00903653"/>
    <w:rsid w:val="00903E7B"/>
    <w:rsid w:val="00904485"/>
    <w:rsid w:val="00904AB3"/>
    <w:rsid w:val="00904CD9"/>
    <w:rsid w:val="00905539"/>
    <w:rsid w:val="00905B6F"/>
    <w:rsid w:val="009072DE"/>
    <w:rsid w:val="00910110"/>
    <w:rsid w:val="0091028C"/>
    <w:rsid w:val="00911E26"/>
    <w:rsid w:val="009122D8"/>
    <w:rsid w:val="0091277A"/>
    <w:rsid w:val="00912DCF"/>
    <w:rsid w:val="00913C6B"/>
    <w:rsid w:val="00913D6C"/>
    <w:rsid w:val="0091466E"/>
    <w:rsid w:val="00914903"/>
    <w:rsid w:val="00916297"/>
    <w:rsid w:val="00916363"/>
    <w:rsid w:val="009177AC"/>
    <w:rsid w:val="009202ED"/>
    <w:rsid w:val="00920912"/>
    <w:rsid w:val="00921172"/>
    <w:rsid w:val="00921493"/>
    <w:rsid w:val="00921CFD"/>
    <w:rsid w:val="00921FFB"/>
    <w:rsid w:val="00922185"/>
    <w:rsid w:val="0092233D"/>
    <w:rsid w:val="0092322E"/>
    <w:rsid w:val="00924241"/>
    <w:rsid w:val="009243E6"/>
    <w:rsid w:val="00926638"/>
    <w:rsid w:val="00926A73"/>
    <w:rsid w:val="00927476"/>
    <w:rsid w:val="00927491"/>
    <w:rsid w:val="00930A01"/>
    <w:rsid w:val="0093174D"/>
    <w:rsid w:val="00931EB2"/>
    <w:rsid w:val="009329DA"/>
    <w:rsid w:val="00932D1E"/>
    <w:rsid w:val="00934477"/>
    <w:rsid w:val="00936BF0"/>
    <w:rsid w:val="00937546"/>
    <w:rsid w:val="00940F10"/>
    <w:rsid w:val="00941676"/>
    <w:rsid w:val="00941F9A"/>
    <w:rsid w:val="00942D1C"/>
    <w:rsid w:val="0094350C"/>
    <w:rsid w:val="00943CF2"/>
    <w:rsid w:val="0094550F"/>
    <w:rsid w:val="00946773"/>
    <w:rsid w:val="00950723"/>
    <w:rsid w:val="0095084F"/>
    <w:rsid w:val="00950BAB"/>
    <w:rsid w:val="00951B7B"/>
    <w:rsid w:val="009522DB"/>
    <w:rsid w:val="0095279B"/>
    <w:rsid w:val="00952F50"/>
    <w:rsid w:val="00953B25"/>
    <w:rsid w:val="009558C3"/>
    <w:rsid w:val="00955B59"/>
    <w:rsid w:val="009562F9"/>
    <w:rsid w:val="00956A67"/>
    <w:rsid w:val="00956C3F"/>
    <w:rsid w:val="00960A82"/>
    <w:rsid w:val="00960E58"/>
    <w:rsid w:val="00960EF3"/>
    <w:rsid w:val="00961A17"/>
    <w:rsid w:val="00961C39"/>
    <w:rsid w:val="009633AE"/>
    <w:rsid w:val="009636CE"/>
    <w:rsid w:val="00963DE0"/>
    <w:rsid w:val="009647DF"/>
    <w:rsid w:val="0096537B"/>
    <w:rsid w:val="00965E38"/>
    <w:rsid w:val="00966712"/>
    <w:rsid w:val="0096676C"/>
    <w:rsid w:val="00967828"/>
    <w:rsid w:val="0096796D"/>
    <w:rsid w:val="00967FB7"/>
    <w:rsid w:val="009708E6"/>
    <w:rsid w:val="009729E0"/>
    <w:rsid w:val="00972DCD"/>
    <w:rsid w:val="009734C0"/>
    <w:rsid w:val="00973959"/>
    <w:rsid w:val="009751C1"/>
    <w:rsid w:val="00975BB3"/>
    <w:rsid w:val="00977867"/>
    <w:rsid w:val="0098016B"/>
    <w:rsid w:val="00980DE9"/>
    <w:rsid w:val="00980F4B"/>
    <w:rsid w:val="00981E26"/>
    <w:rsid w:val="009841ED"/>
    <w:rsid w:val="00987A61"/>
    <w:rsid w:val="00987CC4"/>
    <w:rsid w:val="00990A9C"/>
    <w:rsid w:val="009911AB"/>
    <w:rsid w:val="009919AD"/>
    <w:rsid w:val="009928F9"/>
    <w:rsid w:val="00994C96"/>
    <w:rsid w:val="0099576D"/>
    <w:rsid w:val="009958CE"/>
    <w:rsid w:val="00995A30"/>
    <w:rsid w:val="009A23EF"/>
    <w:rsid w:val="009A268F"/>
    <w:rsid w:val="009A277B"/>
    <w:rsid w:val="009A3F66"/>
    <w:rsid w:val="009A46B1"/>
    <w:rsid w:val="009A59B1"/>
    <w:rsid w:val="009A6B15"/>
    <w:rsid w:val="009A6B9A"/>
    <w:rsid w:val="009A710C"/>
    <w:rsid w:val="009B0F78"/>
    <w:rsid w:val="009B13D9"/>
    <w:rsid w:val="009B170F"/>
    <w:rsid w:val="009B246A"/>
    <w:rsid w:val="009B25C7"/>
    <w:rsid w:val="009B3156"/>
    <w:rsid w:val="009B35A8"/>
    <w:rsid w:val="009B3AFF"/>
    <w:rsid w:val="009B4D3A"/>
    <w:rsid w:val="009B55C3"/>
    <w:rsid w:val="009B5B65"/>
    <w:rsid w:val="009B5BAB"/>
    <w:rsid w:val="009B5DB1"/>
    <w:rsid w:val="009B643B"/>
    <w:rsid w:val="009C00C9"/>
    <w:rsid w:val="009C159B"/>
    <w:rsid w:val="009C2CD8"/>
    <w:rsid w:val="009C2DC6"/>
    <w:rsid w:val="009C4146"/>
    <w:rsid w:val="009C444C"/>
    <w:rsid w:val="009C5ADC"/>
    <w:rsid w:val="009C5BD9"/>
    <w:rsid w:val="009C647E"/>
    <w:rsid w:val="009C6B34"/>
    <w:rsid w:val="009C79EB"/>
    <w:rsid w:val="009D1331"/>
    <w:rsid w:val="009D15E3"/>
    <w:rsid w:val="009D19F0"/>
    <w:rsid w:val="009D2059"/>
    <w:rsid w:val="009D2A7E"/>
    <w:rsid w:val="009D2DC9"/>
    <w:rsid w:val="009D2DDF"/>
    <w:rsid w:val="009D4730"/>
    <w:rsid w:val="009D5334"/>
    <w:rsid w:val="009D5A7D"/>
    <w:rsid w:val="009D5BF6"/>
    <w:rsid w:val="009D6C75"/>
    <w:rsid w:val="009D744F"/>
    <w:rsid w:val="009D77A8"/>
    <w:rsid w:val="009E0F5D"/>
    <w:rsid w:val="009E19E9"/>
    <w:rsid w:val="009E2509"/>
    <w:rsid w:val="009E2551"/>
    <w:rsid w:val="009E2A9B"/>
    <w:rsid w:val="009E34FB"/>
    <w:rsid w:val="009E3B41"/>
    <w:rsid w:val="009E3DF4"/>
    <w:rsid w:val="009E6561"/>
    <w:rsid w:val="009E6814"/>
    <w:rsid w:val="009E6A76"/>
    <w:rsid w:val="009E73C4"/>
    <w:rsid w:val="009F0657"/>
    <w:rsid w:val="009F0CF0"/>
    <w:rsid w:val="009F3BE9"/>
    <w:rsid w:val="009F54DF"/>
    <w:rsid w:val="009F5E4E"/>
    <w:rsid w:val="009F5FA0"/>
    <w:rsid w:val="009F601F"/>
    <w:rsid w:val="009F6E47"/>
    <w:rsid w:val="009F7B52"/>
    <w:rsid w:val="009F7BA7"/>
    <w:rsid w:val="009F7F7B"/>
    <w:rsid w:val="00A00A3D"/>
    <w:rsid w:val="00A04F71"/>
    <w:rsid w:val="00A054F4"/>
    <w:rsid w:val="00A0584C"/>
    <w:rsid w:val="00A05FA7"/>
    <w:rsid w:val="00A068AC"/>
    <w:rsid w:val="00A06C2C"/>
    <w:rsid w:val="00A06E1D"/>
    <w:rsid w:val="00A0774B"/>
    <w:rsid w:val="00A07A5F"/>
    <w:rsid w:val="00A07D39"/>
    <w:rsid w:val="00A103AA"/>
    <w:rsid w:val="00A10548"/>
    <w:rsid w:val="00A1109B"/>
    <w:rsid w:val="00A125A6"/>
    <w:rsid w:val="00A13039"/>
    <w:rsid w:val="00A13048"/>
    <w:rsid w:val="00A15430"/>
    <w:rsid w:val="00A15F38"/>
    <w:rsid w:val="00A16F9C"/>
    <w:rsid w:val="00A20621"/>
    <w:rsid w:val="00A20C23"/>
    <w:rsid w:val="00A229C5"/>
    <w:rsid w:val="00A22F37"/>
    <w:rsid w:val="00A243C2"/>
    <w:rsid w:val="00A24C40"/>
    <w:rsid w:val="00A25ADF"/>
    <w:rsid w:val="00A26C8F"/>
    <w:rsid w:val="00A26DE6"/>
    <w:rsid w:val="00A30AA7"/>
    <w:rsid w:val="00A31328"/>
    <w:rsid w:val="00A32459"/>
    <w:rsid w:val="00A32835"/>
    <w:rsid w:val="00A34195"/>
    <w:rsid w:val="00A34A59"/>
    <w:rsid w:val="00A36541"/>
    <w:rsid w:val="00A40043"/>
    <w:rsid w:val="00A40361"/>
    <w:rsid w:val="00A4043C"/>
    <w:rsid w:val="00A40908"/>
    <w:rsid w:val="00A40ADC"/>
    <w:rsid w:val="00A40B4C"/>
    <w:rsid w:val="00A40C1B"/>
    <w:rsid w:val="00A42B0A"/>
    <w:rsid w:val="00A436B6"/>
    <w:rsid w:val="00A43AEE"/>
    <w:rsid w:val="00A44765"/>
    <w:rsid w:val="00A447A9"/>
    <w:rsid w:val="00A47085"/>
    <w:rsid w:val="00A47383"/>
    <w:rsid w:val="00A47FB9"/>
    <w:rsid w:val="00A50725"/>
    <w:rsid w:val="00A5194B"/>
    <w:rsid w:val="00A52615"/>
    <w:rsid w:val="00A52636"/>
    <w:rsid w:val="00A53227"/>
    <w:rsid w:val="00A53B92"/>
    <w:rsid w:val="00A5416A"/>
    <w:rsid w:val="00A5446A"/>
    <w:rsid w:val="00A546FB"/>
    <w:rsid w:val="00A57B0B"/>
    <w:rsid w:val="00A607F3"/>
    <w:rsid w:val="00A6083B"/>
    <w:rsid w:val="00A6148D"/>
    <w:rsid w:val="00A61850"/>
    <w:rsid w:val="00A62870"/>
    <w:rsid w:val="00A63BAC"/>
    <w:rsid w:val="00A6438C"/>
    <w:rsid w:val="00A647F4"/>
    <w:rsid w:val="00A66153"/>
    <w:rsid w:val="00A6625C"/>
    <w:rsid w:val="00A67013"/>
    <w:rsid w:val="00A6749F"/>
    <w:rsid w:val="00A675A6"/>
    <w:rsid w:val="00A67923"/>
    <w:rsid w:val="00A6798F"/>
    <w:rsid w:val="00A70770"/>
    <w:rsid w:val="00A70A2F"/>
    <w:rsid w:val="00A711DA"/>
    <w:rsid w:val="00A7130E"/>
    <w:rsid w:val="00A71370"/>
    <w:rsid w:val="00A71567"/>
    <w:rsid w:val="00A71E2E"/>
    <w:rsid w:val="00A73576"/>
    <w:rsid w:val="00A74BD0"/>
    <w:rsid w:val="00A76E91"/>
    <w:rsid w:val="00A77211"/>
    <w:rsid w:val="00A77425"/>
    <w:rsid w:val="00A807DA"/>
    <w:rsid w:val="00A80F31"/>
    <w:rsid w:val="00A82303"/>
    <w:rsid w:val="00A82F1A"/>
    <w:rsid w:val="00A831B3"/>
    <w:rsid w:val="00A852EC"/>
    <w:rsid w:val="00A8595E"/>
    <w:rsid w:val="00A86288"/>
    <w:rsid w:val="00A87563"/>
    <w:rsid w:val="00A8778B"/>
    <w:rsid w:val="00A90742"/>
    <w:rsid w:val="00A90D12"/>
    <w:rsid w:val="00A91066"/>
    <w:rsid w:val="00A91079"/>
    <w:rsid w:val="00A912CA"/>
    <w:rsid w:val="00A924B4"/>
    <w:rsid w:val="00A932CD"/>
    <w:rsid w:val="00A93B19"/>
    <w:rsid w:val="00A9437A"/>
    <w:rsid w:val="00A94E96"/>
    <w:rsid w:val="00A95065"/>
    <w:rsid w:val="00A95CDC"/>
    <w:rsid w:val="00A96516"/>
    <w:rsid w:val="00A9678E"/>
    <w:rsid w:val="00A9705C"/>
    <w:rsid w:val="00A97D48"/>
    <w:rsid w:val="00AA02E6"/>
    <w:rsid w:val="00AA21F4"/>
    <w:rsid w:val="00AA2CAD"/>
    <w:rsid w:val="00AA4765"/>
    <w:rsid w:val="00AA4948"/>
    <w:rsid w:val="00AA4DD8"/>
    <w:rsid w:val="00AA549A"/>
    <w:rsid w:val="00AA58D7"/>
    <w:rsid w:val="00AA5D9C"/>
    <w:rsid w:val="00AA5E64"/>
    <w:rsid w:val="00AA6486"/>
    <w:rsid w:val="00AB1DEC"/>
    <w:rsid w:val="00AB20F2"/>
    <w:rsid w:val="00AB3ED5"/>
    <w:rsid w:val="00AB47BD"/>
    <w:rsid w:val="00AB5067"/>
    <w:rsid w:val="00AB6313"/>
    <w:rsid w:val="00AB64E7"/>
    <w:rsid w:val="00AB6AC4"/>
    <w:rsid w:val="00AB72C1"/>
    <w:rsid w:val="00AB73A2"/>
    <w:rsid w:val="00AB7E23"/>
    <w:rsid w:val="00AC0383"/>
    <w:rsid w:val="00AC18E1"/>
    <w:rsid w:val="00AC19F3"/>
    <w:rsid w:val="00AC231D"/>
    <w:rsid w:val="00AC2F61"/>
    <w:rsid w:val="00AC31E9"/>
    <w:rsid w:val="00AC3C1D"/>
    <w:rsid w:val="00AC4800"/>
    <w:rsid w:val="00AC5125"/>
    <w:rsid w:val="00AC5990"/>
    <w:rsid w:val="00AC7675"/>
    <w:rsid w:val="00AD1545"/>
    <w:rsid w:val="00AD154E"/>
    <w:rsid w:val="00AD2CE6"/>
    <w:rsid w:val="00AD2F52"/>
    <w:rsid w:val="00AD5C3B"/>
    <w:rsid w:val="00AD5E80"/>
    <w:rsid w:val="00AD6807"/>
    <w:rsid w:val="00AD69C9"/>
    <w:rsid w:val="00AD7917"/>
    <w:rsid w:val="00AD7DFA"/>
    <w:rsid w:val="00AE11B7"/>
    <w:rsid w:val="00AE3753"/>
    <w:rsid w:val="00AE3AF7"/>
    <w:rsid w:val="00AE3B63"/>
    <w:rsid w:val="00AE40F7"/>
    <w:rsid w:val="00AE4985"/>
    <w:rsid w:val="00AE523F"/>
    <w:rsid w:val="00AE55ED"/>
    <w:rsid w:val="00AE7393"/>
    <w:rsid w:val="00AE7436"/>
    <w:rsid w:val="00AF0085"/>
    <w:rsid w:val="00AF092B"/>
    <w:rsid w:val="00AF18B1"/>
    <w:rsid w:val="00AF1E7C"/>
    <w:rsid w:val="00AF3100"/>
    <w:rsid w:val="00AF3235"/>
    <w:rsid w:val="00AF3466"/>
    <w:rsid w:val="00AF3C75"/>
    <w:rsid w:val="00AF6BF8"/>
    <w:rsid w:val="00AF6F3A"/>
    <w:rsid w:val="00B03964"/>
    <w:rsid w:val="00B04761"/>
    <w:rsid w:val="00B05090"/>
    <w:rsid w:val="00B05C48"/>
    <w:rsid w:val="00B05D8F"/>
    <w:rsid w:val="00B10059"/>
    <w:rsid w:val="00B114AA"/>
    <w:rsid w:val="00B12ED9"/>
    <w:rsid w:val="00B12F93"/>
    <w:rsid w:val="00B13CF5"/>
    <w:rsid w:val="00B1527F"/>
    <w:rsid w:val="00B16276"/>
    <w:rsid w:val="00B165ED"/>
    <w:rsid w:val="00B169B7"/>
    <w:rsid w:val="00B17905"/>
    <w:rsid w:val="00B21819"/>
    <w:rsid w:val="00B22510"/>
    <w:rsid w:val="00B227A2"/>
    <w:rsid w:val="00B22D22"/>
    <w:rsid w:val="00B23E79"/>
    <w:rsid w:val="00B24CB7"/>
    <w:rsid w:val="00B2505B"/>
    <w:rsid w:val="00B255D3"/>
    <w:rsid w:val="00B25F2C"/>
    <w:rsid w:val="00B26256"/>
    <w:rsid w:val="00B272EF"/>
    <w:rsid w:val="00B2735C"/>
    <w:rsid w:val="00B274B0"/>
    <w:rsid w:val="00B27D42"/>
    <w:rsid w:val="00B30131"/>
    <w:rsid w:val="00B31C29"/>
    <w:rsid w:val="00B332E8"/>
    <w:rsid w:val="00B335D7"/>
    <w:rsid w:val="00B33B59"/>
    <w:rsid w:val="00B33CBA"/>
    <w:rsid w:val="00B33EB6"/>
    <w:rsid w:val="00B34D2E"/>
    <w:rsid w:val="00B34F37"/>
    <w:rsid w:val="00B35EEF"/>
    <w:rsid w:val="00B37160"/>
    <w:rsid w:val="00B3769A"/>
    <w:rsid w:val="00B378B7"/>
    <w:rsid w:val="00B37982"/>
    <w:rsid w:val="00B379C5"/>
    <w:rsid w:val="00B37A69"/>
    <w:rsid w:val="00B37C19"/>
    <w:rsid w:val="00B40ECD"/>
    <w:rsid w:val="00B40F1C"/>
    <w:rsid w:val="00B41D1D"/>
    <w:rsid w:val="00B431C0"/>
    <w:rsid w:val="00B45E21"/>
    <w:rsid w:val="00B4644E"/>
    <w:rsid w:val="00B46509"/>
    <w:rsid w:val="00B46AEE"/>
    <w:rsid w:val="00B46AF6"/>
    <w:rsid w:val="00B51290"/>
    <w:rsid w:val="00B51DE3"/>
    <w:rsid w:val="00B51EAF"/>
    <w:rsid w:val="00B5285A"/>
    <w:rsid w:val="00B52D49"/>
    <w:rsid w:val="00B5304E"/>
    <w:rsid w:val="00B55785"/>
    <w:rsid w:val="00B57270"/>
    <w:rsid w:val="00B603F8"/>
    <w:rsid w:val="00B6097E"/>
    <w:rsid w:val="00B60BA2"/>
    <w:rsid w:val="00B61CEA"/>
    <w:rsid w:val="00B62C8B"/>
    <w:rsid w:val="00B62D64"/>
    <w:rsid w:val="00B636B7"/>
    <w:rsid w:val="00B63BEE"/>
    <w:rsid w:val="00B656DD"/>
    <w:rsid w:val="00B65BB1"/>
    <w:rsid w:val="00B66922"/>
    <w:rsid w:val="00B66944"/>
    <w:rsid w:val="00B66C60"/>
    <w:rsid w:val="00B678C2"/>
    <w:rsid w:val="00B70584"/>
    <w:rsid w:val="00B70BAD"/>
    <w:rsid w:val="00B713B3"/>
    <w:rsid w:val="00B7268E"/>
    <w:rsid w:val="00B73A63"/>
    <w:rsid w:val="00B745DF"/>
    <w:rsid w:val="00B75836"/>
    <w:rsid w:val="00B75BC5"/>
    <w:rsid w:val="00B767DF"/>
    <w:rsid w:val="00B76E55"/>
    <w:rsid w:val="00B76F6C"/>
    <w:rsid w:val="00B77B0F"/>
    <w:rsid w:val="00B8214C"/>
    <w:rsid w:val="00B83BA4"/>
    <w:rsid w:val="00B83E84"/>
    <w:rsid w:val="00B850E4"/>
    <w:rsid w:val="00B86628"/>
    <w:rsid w:val="00B871AA"/>
    <w:rsid w:val="00B8749A"/>
    <w:rsid w:val="00B87A71"/>
    <w:rsid w:val="00B87EEC"/>
    <w:rsid w:val="00B90393"/>
    <w:rsid w:val="00B90CCF"/>
    <w:rsid w:val="00B91DFD"/>
    <w:rsid w:val="00B92A5C"/>
    <w:rsid w:val="00B92FE4"/>
    <w:rsid w:val="00B96247"/>
    <w:rsid w:val="00B97C5A"/>
    <w:rsid w:val="00BA0174"/>
    <w:rsid w:val="00BA159C"/>
    <w:rsid w:val="00BA182E"/>
    <w:rsid w:val="00BA2220"/>
    <w:rsid w:val="00BA3B97"/>
    <w:rsid w:val="00BA3DFB"/>
    <w:rsid w:val="00BA3E1E"/>
    <w:rsid w:val="00BA48B5"/>
    <w:rsid w:val="00BA54F6"/>
    <w:rsid w:val="00BA5A57"/>
    <w:rsid w:val="00BA6191"/>
    <w:rsid w:val="00BA63E2"/>
    <w:rsid w:val="00BA64E5"/>
    <w:rsid w:val="00BA67E4"/>
    <w:rsid w:val="00BA6BEE"/>
    <w:rsid w:val="00BA7303"/>
    <w:rsid w:val="00BB0316"/>
    <w:rsid w:val="00BB06D8"/>
    <w:rsid w:val="00BB09B9"/>
    <w:rsid w:val="00BB0AD9"/>
    <w:rsid w:val="00BB1C22"/>
    <w:rsid w:val="00BB34D2"/>
    <w:rsid w:val="00BB3E40"/>
    <w:rsid w:val="00BB6C4D"/>
    <w:rsid w:val="00BB6EAE"/>
    <w:rsid w:val="00BB7A1E"/>
    <w:rsid w:val="00BC174E"/>
    <w:rsid w:val="00BC376D"/>
    <w:rsid w:val="00BC4074"/>
    <w:rsid w:val="00BC414E"/>
    <w:rsid w:val="00BC7D94"/>
    <w:rsid w:val="00BD0596"/>
    <w:rsid w:val="00BD0F9F"/>
    <w:rsid w:val="00BD1C50"/>
    <w:rsid w:val="00BD27E6"/>
    <w:rsid w:val="00BD32CA"/>
    <w:rsid w:val="00BD36DB"/>
    <w:rsid w:val="00BD380A"/>
    <w:rsid w:val="00BD64ED"/>
    <w:rsid w:val="00BE0A3F"/>
    <w:rsid w:val="00BE0AD1"/>
    <w:rsid w:val="00BE13E1"/>
    <w:rsid w:val="00BE2194"/>
    <w:rsid w:val="00BE2EC3"/>
    <w:rsid w:val="00BE3682"/>
    <w:rsid w:val="00BE43C9"/>
    <w:rsid w:val="00BE5AF6"/>
    <w:rsid w:val="00BE64EA"/>
    <w:rsid w:val="00BE656E"/>
    <w:rsid w:val="00BE7E5C"/>
    <w:rsid w:val="00BF2CC9"/>
    <w:rsid w:val="00BF7B1C"/>
    <w:rsid w:val="00C0006A"/>
    <w:rsid w:val="00C00B90"/>
    <w:rsid w:val="00C01513"/>
    <w:rsid w:val="00C01BC2"/>
    <w:rsid w:val="00C03704"/>
    <w:rsid w:val="00C05DD7"/>
    <w:rsid w:val="00C05DFF"/>
    <w:rsid w:val="00C107AB"/>
    <w:rsid w:val="00C10DC7"/>
    <w:rsid w:val="00C13BA1"/>
    <w:rsid w:val="00C15050"/>
    <w:rsid w:val="00C1597A"/>
    <w:rsid w:val="00C16A9A"/>
    <w:rsid w:val="00C202BB"/>
    <w:rsid w:val="00C21872"/>
    <w:rsid w:val="00C2212E"/>
    <w:rsid w:val="00C244D9"/>
    <w:rsid w:val="00C244FA"/>
    <w:rsid w:val="00C24C7D"/>
    <w:rsid w:val="00C24CB1"/>
    <w:rsid w:val="00C25A3E"/>
    <w:rsid w:val="00C2638B"/>
    <w:rsid w:val="00C2669B"/>
    <w:rsid w:val="00C2797A"/>
    <w:rsid w:val="00C30574"/>
    <w:rsid w:val="00C30F67"/>
    <w:rsid w:val="00C3237E"/>
    <w:rsid w:val="00C33768"/>
    <w:rsid w:val="00C33F72"/>
    <w:rsid w:val="00C34B90"/>
    <w:rsid w:val="00C34C13"/>
    <w:rsid w:val="00C350A7"/>
    <w:rsid w:val="00C35C19"/>
    <w:rsid w:val="00C36667"/>
    <w:rsid w:val="00C36A3E"/>
    <w:rsid w:val="00C36E70"/>
    <w:rsid w:val="00C40516"/>
    <w:rsid w:val="00C41751"/>
    <w:rsid w:val="00C43246"/>
    <w:rsid w:val="00C4332C"/>
    <w:rsid w:val="00C43AE6"/>
    <w:rsid w:val="00C43F13"/>
    <w:rsid w:val="00C45A81"/>
    <w:rsid w:val="00C46655"/>
    <w:rsid w:val="00C47C38"/>
    <w:rsid w:val="00C47F28"/>
    <w:rsid w:val="00C50368"/>
    <w:rsid w:val="00C50773"/>
    <w:rsid w:val="00C50D49"/>
    <w:rsid w:val="00C51F9C"/>
    <w:rsid w:val="00C51FDC"/>
    <w:rsid w:val="00C52511"/>
    <w:rsid w:val="00C52F79"/>
    <w:rsid w:val="00C537EE"/>
    <w:rsid w:val="00C53B62"/>
    <w:rsid w:val="00C54296"/>
    <w:rsid w:val="00C543C3"/>
    <w:rsid w:val="00C545A7"/>
    <w:rsid w:val="00C55990"/>
    <w:rsid w:val="00C55FBD"/>
    <w:rsid w:val="00C56663"/>
    <w:rsid w:val="00C56D61"/>
    <w:rsid w:val="00C576F2"/>
    <w:rsid w:val="00C579B2"/>
    <w:rsid w:val="00C6039F"/>
    <w:rsid w:val="00C608B5"/>
    <w:rsid w:val="00C6093C"/>
    <w:rsid w:val="00C60D3C"/>
    <w:rsid w:val="00C620EA"/>
    <w:rsid w:val="00C626D1"/>
    <w:rsid w:val="00C6281B"/>
    <w:rsid w:val="00C63A14"/>
    <w:rsid w:val="00C6521D"/>
    <w:rsid w:val="00C6539F"/>
    <w:rsid w:val="00C66629"/>
    <w:rsid w:val="00C67C04"/>
    <w:rsid w:val="00C70667"/>
    <w:rsid w:val="00C71B7E"/>
    <w:rsid w:val="00C7298B"/>
    <w:rsid w:val="00C74DCF"/>
    <w:rsid w:val="00C75998"/>
    <w:rsid w:val="00C76594"/>
    <w:rsid w:val="00C76C63"/>
    <w:rsid w:val="00C779F7"/>
    <w:rsid w:val="00C816BB"/>
    <w:rsid w:val="00C81C1F"/>
    <w:rsid w:val="00C81C88"/>
    <w:rsid w:val="00C82B22"/>
    <w:rsid w:val="00C8540D"/>
    <w:rsid w:val="00C855E3"/>
    <w:rsid w:val="00C86EE4"/>
    <w:rsid w:val="00C87763"/>
    <w:rsid w:val="00C87CEA"/>
    <w:rsid w:val="00C87CED"/>
    <w:rsid w:val="00C90056"/>
    <w:rsid w:val="00C901FC"/>
    <w:rsid w:val="00C907A9"/>
    <w:rsid w:val="00C91EA1"/>
    <w:rsid w:val="00C92A4D"/>
    <w:rsid w:val="00C92A64"/>
    <w:rsid w:val="00C92B70"/>
    <w:rsid w:val="00C94742"/>
    <w:rsid w:val="00C95009"/>
    <w:rsid w:val="00C9536E"/>
    <w:rsid w:val="00C9584E"/>
    <w:rsid w:val="00C95A19"/>
    <w:rsid w:val="00C962B1"/>
    <w:rsid w:val="00C96440"/>
    <w:rsid w:val="00C9764B"/>
    <w:rsid w:val="00C97B51"/>
    <w:rsid w:val="00CA0651"/>
    <w:rsid w:val="00CA0F13"/>
    <w:rsid w:val="00CA20FE"/>
    <w:rsid w:val="00CA3688"/>
    <w:rsid w:val="00CA4233"/>
    <w:rsid w:val="00CA4BC6"/>
    <w:rsid w:val="00CA6B1F"/>
    <w:rsid w:val="00CA7103"/>
    <w:rsid w:val="00CA7672"/>
    <w:rsid w:val="00CB1680"/>
    <w:rsid w:val="00CB3A86"/>
    <w:rsid w:val="00CB3CCF"/>
    <w:rsid w:val="00CB451C"/>
    <w:rsid w:val="00CB459D"/>
    <w:rsid w:val="00CB5C4A"/>
    <w:rsid w:val="00CB6DE1"/>
    <w:rsid w:val="00CB72BF"/>
    <w:rsid w:val="00CB7577"/>
    <w:rsid w:val="00CB7F91"/>
    <w:rsid w:val="00CC092F"/>
    <w:rsid w:val="00CC0D24"/>
    <w:rsid w:val="00CC2297"/>
    <w:rsid w:val="00CC2C54"/>
    <w:rsid w:val="00CC3FC6"/>
    <w:rsid w:val="00CC5552"/>
    <w:rsid w:val="00CC5F78"/>
    <w:rsid w:val="00CC6887"/>
    <w:rsid w:val="00CC77E5"/>
    <w:rsid w:val="00CC7DA2"/>
    <w:rsid w:val="00CD005F"/>
    <w:rsid w:val="00CD01FF"/>
    <w:rsid w:val="00CD0F9E"/>
    <w:rsid w:val="00CD14D1"/>
    <w:rsid w:val="00CD443D"/>
    <w:rsid w:val="00CD50F4"/>
    <w:rsid w:val="00CD53B3"/>
    <w:rsid w:val="00CD6D5C"/>
    <w:rsid w:val="00CD6D9D"/>
    <w:rsid w:val="00CD7845"/>
    <w:rsid w:val="00CE0833"/>
    <w:rsid w:val="00CE10E6"/>
    <w:rsid w:val="00CE1DC1"/>
    <w:rsid w:val="00CE3607"/>
    <w:rsid w:val="00CE42F4"/>
    <w:rsid w:val="00CE4BAC"/>
    <w:rsid w:val="00CE5931"/>
    <w:rsid w:val="00CE5D09"/>
    <w:rsid w:val="00CE63F0"/>
    <w:rsid w:val="00CE6B50"/>
    <w:rsid w:val="00CE716E"/>
    <w:rsid w:val="00CE761D"/>
    <w:rsid w:val="00CE7EA5"/>
    <w:rsid w:val="00CE7F30"/>
    <w:rsid w:val="00CE7F84"/>
    <w:rsid w:val="00CF1031"/>
    <w:rsid w:val="00CF1A3F"/>
    <w:rsid w:val="00CF2308"/>
    <w:rsid w:val="00CF23F7"/>
    <w:rsid w:val="00CF2A85"/>
    <w:rsid w:val="00CF2F9F"/>
    <w:rsid w:val="00CF2FEB"/>
    <w:rsid w:val="00CF5118"/>
    <w:rsid w:val="00CF51F7"/>
    <w:rsid w:val="00CF5ADB"/>
    <w:rsid w:val="00CF5D20"/>
    <w:rsid w:val="00CF7FDB"/>
    <w:rsid w:val="00D017D6"/>
    <w:rsid w:val="00D0180F"/>
    <w:rsid w:val="00D01D7B"/>
    <w:rsid w:val="00D01E66"/>
    <w:rsid w:val="00D02CFE"/>
    <w:rsid w:val="00D03E67"/>
    <w:rsid w:val="00D0423A"/>
    <w:rsid w:val="00D0696B"/>
    <w:rsid w:val="00D110AE"/>
    <w:rsid w:val="00D1370D"/>
    <w:rsid w:val="00D13E7F"/>
    <w:rsid w:val="00D14899"/>
    <w:rsid w:val="00D15F43"/>
    <w:rsid w:val="00D16834"/>
    <w:rsid w:val="00D17B66"/>
    <w:rsid w:val="00D21806"/>
    <w:rsid w:val="00D2296F"/>
    <w:rsid w:val="00D2324D"/>
    <w:rsid w:val="00D23895"/>
    <w:rsid w:val="00D24B52"/>
    <w:rsid w:val="00D24CA1"/>
    <w:rsid w:val="00D258E9"/>
    <w:rsid w:val="00D25902"/>
    <w:rsid w:val="00D27779"/>
    <w:rsid w:val="00D300D9"/>
    <w:rsid w:val="00D30494"/>
    <w:rsid w:val="00D308A2"/>
    <w:rsid w:val="00D324A8"/>
    <w:rsid w:val="00D32AEB"/>
    <w:rsid w:val="00D33D03"/>
    <w:rsid w:val="00D34969"/>
    <w:rsid w:val="00D34C03"/>
    <w:rsid w:val="00D34DBA"/>
    <w:rsid w:val="00D350D6"/>
    <w:rsid w:val="00D3597B"/>
    <w:rsid w:val="00D36122"/>
    <w:rsid w:val="00D36D47"/>
    <w:rsid w:val="00D37026"/>
    <w:rsid w:val="00D372E6"/>
    <w:rsid w:val="00D40108"/>
    <w:rsid w:val="00D41D18"/>
    <w:rsid w:val="00D426DA"/>
    <w:rsid w:val="00D43C7B"/>
    <w:rsid w:val="00D43D2A"/>
    <w:rsid w:val="00D4498D"/>
    <w:rsid w:val="00D45095"/>
    <w:rsid w:val="00D450C2"/>
    <w:rsid w:val="00D47E09"/>
    <w:rsid w:val="00D50167"/>
    <w:rsid w:val="00D50AF3"/>
    <w:rsid w:val="00D51766"/>
    <w:rsid w:val="00D51B3F"/>
    <w:rsid w:val="00D522FD"/>
    <w:rsid w:val="00D533B4"/>
    <w:rsid w:val="00D53F11"/>
    <w:rsid w:val="00D55721"/>
    <w:rsid w:val="00D55F4D"/>
    <w:rsid w:val="00D57127"/>
    <w:rsid w:val="00D5789D"/>
    <w:rsid w:val="00D61738"/>
    <w:rsid w:val="00D61D3C"/>
    <w:rsid w:val="00D647DE"/>
    <w:rsid w:val="00D65739"/>
    <w:rsid w:val="00D676D4"/>
    <w:rsid w:val="00D70088"/>
    <w:rsid w:val="00D71596"/>
    <w:rsid w:val="00D71E16"/>
    <w:rsid w:val="00D72532"/>
    <w:rsid w:val="00D7286D"/>
    <w:rsid w:val="00D7302A"/>
    <w:rsid w:val="00D731B2"/>
    <w:rsid w:val="00D73752"/>
    <w:rsid w:val="00D73CBF"/>
    <w:rsid w:val="00D7428F"/>
    <w:rsid w:val="00D7491F"/>
    <w:rsid w:val="00D74BDD"/>
    <w:rsid w:val="00D75173"/>
    <w:rsid w:val="00D752EF"/>
    <w:rsid w:val="00D7548D"/>
    <w:rsid w:val="00D7691E"/>
    <w:rsid w:val="00D772F3"/>
    <w:rsid w:val="00D77934"/>
    <w:rsid w:val="00D77D15"/>
    <w:rsid w:val="00D809D0"/>
    <w:rsid w:val="00D80A05"/>
    <w:rsid w:val="00D80F72"/>
    <w:rsid w:val="00D814F9"/>
    <w:rsid w:val="00D823B2"/>
    <w:rsid w:val="00D8384D"/>
    <w:rsid w:val="00D86CC4"/>
    <w:rsid w:val="00D86DA7"/>
    <w:rsid w:val="00D87996"/>
    <w:rsid w:val="00D87C85"/>
    <w:rsid w:val="00D91B67"/>
    <w:rsid w:val="00D9228C"/>
    <w:rsid w:val="00D922F9"/>
    <w:rsid w:val="00D92AA2"/>
    <w:rsid w:val="00D92ADA"/>
    <w:rsid w:val="00D93611"/>
    <w:rsid w:val="00D9371C"/>
    <w:rsid w:val="00D95CA7"/>
    <w:rsid w:val="00D970DB"/>
    <w:rsid w:val="00D97232"/>
    <w:rsid w:val="00DA0061"/>
    <w:rsid w:val="00DA02BC"/>
    <w:rsid w:val="00DA117B"/>
    <w:rsid w:val="00DA140D"/>
    <w:rsid w:val="00DA16F2"/>
    <w:rsid w:val="00DA1FA9"/>
    <w:rsid w:val="00DA2CF5"/>
    <w:rsid w:val="00DA3B7B"/>
    <w:rsid w:val="00DA3B7C"/>
    <w:rsid w:val="00DA3E43"/>
    <w:rsid w:val="00DA45B7"/>
    <w:rsid w:val="00DA4EA3"/>
    <w:rsid w:val="00DA5DEF"/>
    <w:rsid w:val="00DA76B7"/>
    <w:rsid w:val="00DA79E1"/>
    <w:rsid w:val="00DB03FC"/>
    <w:rsid w:val="00DB0435"/>
    <w:rsid w:val="00DB2BF7"/>
    <w:rsid w:val="00DB2EF2"/>
    <w:rsid w:val="00DB3272"/>
    <w:rsid w:val="00DB3576"/>
    <w:rsid w:val="00DB4040"/>
    <w:rsid w:val="00DB4889"/>
    <w:rsid w:val="00DB5ACB"/>
    <w:rsid w:val="00DC014F"/>
    <w:rsid w:val="00DC027C"/>
    <w:rsid w:val="00DC030C"/>
    <w:rsid w:val="00DC15E2"/>
    <w:rsid w:val="00DC1A57"/>
    <w:rsid w:val="00DC1C30"/>
    <w:rsid w:val="00DC1E2A"/>
    <w:rsid w:val="00DC2211"/>
    <w:rsid w:val="00DC2BAF"/>
    <w:rsid w:val="00DC2D26"/>
    <w:rsid w:val="00DC3275"/>
    <w:rsid w:val="00DC3348"/>
    <w:rsid w:val="00DC35FA"/>
    <w:rsid w:val="00DC654C"/>
    <w:rsid w:val="00DC7354"/>
    <w:rsid w:val="00DC79E6"/>
    <w:rsid w:val="00DD0049"/>
    <w:rsid w:val="00DD0FCC"/>
    <w:rsid w:val="00DD1C99"/>
    <w:rsid w:val="00DD2127"/>
    <w:rsid w:val="00DD252D"/>
    <w:rsid w:val="00DD2D71"/>
    <w:rsid w:val="00DD3152"/>
    <w:rsid w:val="00DD5366"/>
    <w:rsid w:val="00DD5695"/>
    <w:rsid w:val="00DD6B7D"/>
    <w:rsid w:val="00DD792B"/>
    <w:rsid w:val="00DE0593"/>
    <w:rsid w:val="00DE06F8"/>
    <w:rsid w:val="00DE1A1F"/>
    <w:rsid w:val="00DE1E40"/>
    <w:rsid w:val="00DE1E4C"/>
    <w:rsid w:val="00DE1E5F"/>
    <w:rsid w:val="00DE2038"/>
    <w:rsid w:val="00DE31C6"/>
    <w:rsid w:val="00DE33B0"/>
    <w:rsid w:val="00DE549E"/>
    <w:rsid w:val="00DE65E1"/>
    <w:rsid w:val="00DE6756"/>
    <w:rsid w:val="00DE6CF2"/>
    <w:rsid w:val="00DF0757"/>
    <w:rsid w:val="00DF0C2E"/>
    <w:rsid w:val="00DF12C5"/>
    <w:rsid w:val="00DF12F5"/>
    <w:rsid w:val="00DF1799"/>
    <w:rsid w:val="00DF2D0C"/>
    <w:rsid w:val="00DF3086"/>
    <w:rsid w:val="00DF4D27"/>
    <w:rsid w:val="00DF517A"/>
    <w:rsid w:val="00DF51C3"/>
    <w:rsid w:val="00DF600B"/>
    <w:rsid w:val="00DF6E0C"/>
    <w:rsid w:val="00DF79DB"/>
    <w:rsid w:val="00E0144C"/>
    <w:rsid w:val="00E017B6"/>
    <w:rsid w:val="00E03151"/>
    <w:rsid w:val="00E03ADF"/>
    <w:rsid w:val="00E05A4C"/>
    <w:rsid w:val="00E0602F"/>
    <w:rsid w:val="00E06CAC"/>
    <w:rsid w:val="00E06E0F"/>
    <w:rsid w:val="00E06E47"/>
    <w:rsid w:val="00E07E00"/>
    <w:rsid w:val="00E07E50"/>
    <w:rsid w:val="00E13F90"/>
    <w:rsid w:val="00E14261"/>
    <w:rsid w:val="00E15297"/>
    <w:rsid w:val="00E15322"/>
    <w:rsid w:val="00E15A65"/>
    <w:rsid w:val="00E162BC"/>
    <w:rsid w:val="00E16407"/>
    <w:rsid w:val="00E20E65"/>
    <w:rsid w:val="00E213A1"/>
    <w:rsid w:val="00E224E4"/>
    <w:rsid w:val="00E2343B"/>
    <w:rsid w:val="00E237D7"/>
    <w:rsid w:val="00E24031"/>
    <w:rsid w:val="00E240EE"/>
    <w:rsid w:val="00E24331"/>
    <w:rsid w:val="00E24658"/>
    <w:rsid w:val="00E26103"/>
    <w:rsid w:val="00E27F45"/>
    <w:rsid w:val="00E30BBD"/>
    <w:rsid w:val="00E312DA"/>
    <w:rsid w:val="00E31A9D"/>
    <w:rsid w:val="00E31C0F"/>
    <w:rsid w:val="00E3413B"/>
    <w:rsid w:val="00E35582"/>
    <w:rsid w:val="00E35DD1"/>
    <w:rsid w:val="00E361BC"/>
    <w:rsid w:val="00E4052B"/>
    <w:rsid w:val="00E4161B"/>
    <w:rsid w:val="00E420A1"/>
    <w:rsid w:val="00E425A9"/>
    <w:rsid w:val="00E425C7"/>
    <w:rsid w:val="00E433FD"/>
    <w:rsid w:val="00E43891"/>
    <w:rsid w:val="00E4405C"/>
    <w:rsid w:val="00E443AC"/>
    <w:rsid w:val="00E44C5D"/>
    <w:rsid w:val="00E46285"/>
    <w:rsid w:val="00E46AF7"/>
    <w:rsid w:val="00E501D2"/>
    <w:rsid w:val="00E50280"/>
    <w:rsid w:val="00E5048B"/>
    <w:rsid w:val="00E5114F"/>
    <w:rsid w:val="00E51B0C"/>
    <w:rsid w:val="00E52376"/>
    <w:rsid w:val="00E52F87"/>
    <w:rsid w:val="00E5366E"/>
    <w:rsid w:val="00E5375E"/>
    <w:rsid w:val="00E53F17"/>
    <w:rsid w:val="00E5432C"/>
    <w:rsid w:val="00E54AC5"/>
    <w:rsid w:val="00E54BA5"/>
    <w:rsid w:val="00E561E4"/>
    <w:rsid w:val="00E57100"/>
    <w:rsid w:val="00E57427"/>
    <w:rsid w:val="00E57CE6"/>
    <w:rsid w:val="00E6032C"/>
    <w:rsid w:val="00E62B32"/>
    <w:rsid w:val="00E62E2F"/>
    <w:rsid w:val="00E634EB"/>
    <w:rsid w:val="00E640F5"/>
    <w:rsid w:val="00E6477D"/>
    <w:rsid w:val="00E65DA9"/>
    <w:rsid w:val="00E661A3"/>
    <w:rsid w:val="00E661E3"/>
    <w:rsid w:val="00E66DFC"/>
    <w:rsid w:val="00E6707C"/>
    <w:rsid w:val="00E700A4"/>
    <w:rsid w:val="00E7281E"/>
    <w:rsid w:val="00E73300"/>
    <w:rsid w:val="00E739B8"/>
    <w:rsid w:val="00E74AF9"/>
    <w:rsid w:val="00E74FA9"/>
    <w:rsid w:val="00E75E04"/>
    <w:rsid w:val="00E76FF9"/>
    <w:rsid w:val="00E77810"/>
    <w:rsid w:val="00E77F5C"/>
    <w:rsid w:val="00E80886"/>
    <w:rsid w:val="00E817EB"/>
    <w:rsid w:val="00E83A0E"/>
    <w:rsid w:val="00E83EA1"/>
    <w:rsid w:val="00E8476C"/>
    <w:rsid w:val="00E86771"/>
    <w:rsid w:val="00E90045"/>
    <w:rsid w:val="00E9032E"/>
    <w:rsid w:val="00E905FC"/>
    <w:rsid w:val="00E90E7B"/>
    <w:rsid w:val="00E91138"/>
    <w:rsid w:val="00E92B09"/>
    <w:rsid w:val="00E95E16"/>
    <w:rsid w:val="00E960AF"/>
    <w:rsid w:val="00E97506"/>
    <w:rsid w:val="00EA0471"/>
    <w:rsid w:val="00EA118C"/>
    <w:rsid w:val="00EA15D4"/>
    <w:rsid w:val="00EA20CB"/>
    <w:rsid w:val="00EA2835"/>
    <w:rsid w:val="00EA2854"/>
    <w:rsid w:val="00EA2A85"/>
    <w:rsid w:val="00EA2D1D"/>
    <w:rsid w:val="00EA3CC9"/>
    <w:rsid w:val="00EA3E3E"/>
    <w:rsid w:val="00EA5504"/>
    <w:rsid w:val="00EA5925"/>
    <w:rsid w:val="00EA5E51"/>
    <w:rsid w:val="00EA6B99"/>
    <w:rsid w:val="00EA7734"/>
    <w:rsid w:val="00EB17E5"/>
    <w:rsid w:val="00EB21E3"/>
    <w:rsid w:val="00EB2E55"/>
    <w:rsid w:val="00EB41A2"/>
    <w:rsid w:val="00EB41C9"/>
    <w:rsid w:val="00EB4D86"/>
    <w:rsid w:val="00EB5B64"/>
    <w:rsid w:val="00EB614F"/>
    <w:rsid w:val="00EB7DB2"/>
    <w:rsid w:val="00EC3A93"/>
    <w:rsid w:val="00EC4988"/>
    <w:rsid w:val="00EC76FF"/>
    <w:rsid w:val="00EC7B60"/>
    <w:rsid w:val="00ED036D"/>
    <w:rsid w:val="00ED0722"/>
    <w:rsid w:val="00ED5432"/>
    <w:rsid w:val="00ED54D2"/>
    <w:rsid w:val="00ED5B8E"/>
    <w:rsid w:val="00ED5CB0"/>
    <w:rsid w:val="00ED7608"/>
    <w:rsid w:val="00EE1387"/>
    <w:rsid w:val="00EE14DF"/>
    <w:rsid w:val="00EE21FD"/>
    <w:rsid w:val="00EE3502"/>
    <w:rsid w:val="00EE3696"/>
    <w:rsid w:val="00EE4440"/>
    <w:rsid w:val="00EE4A3D"/>
    <w:rsid w:val="00EE54B2"/>
    <w:rsid w:val="00EE5575"/>
    <w:rsid w:val="00EE5F17"/>
    <w:rsid w:val="00EE6A53"/>
    <w:rsid w:val="00EE7087"/>
    <w:rsid w:val="00EE7C3C"/>
    <w:rsid w:val="00EF1180"/>
    <w:rsid w:val="00EF1345"/>
    <w:rsid w:val="00EF2C5A"/>
    <w:rsid w:val="00EF3CB9"/>
    <w:rsid w:val="00EF543E"/>
    <w:rsid w:val="00EF5EA3"/>
    <w:rsid w:val="00F00217"/>
    <w:rsid w:val="00F004AD"/>
    <w:rsid w:val="00F00D2A"/>
    <w:rsid w:val="00F010A7"/>
    <w:rsid w:val="00F01288"/>
    <w:rsid w:val="00F02B0F"/>
    <w:rsid w:val="00F02D37"/>
    <w:rsid w:val="00F040EE"/>
    <w:rsid w:val="00F04D92"/>
    <w:rsid w:val="00F04F87"/>
    <w:rsid w:val="00F0556D"/>
    <w:rsid w:val="00F05699"/>
    <w:rsid w:val="00F06565"/>
    <w:rsid w:val="00F06ADF"/>
    <w:rsid w:val="00F117F9"/>
    <w:rsid w:val="00F1211D"/>
    <w:rsid w:val="00F1248F"/>
    <w:rsid w:val="00F141C1"/>
    <w:rsid w:val="00F14875"/>
    <w:rsid w:val="00F14994"/>
    <w:rsid w:val="00F1563E"/>
    <w:rsid w:val="00F157D6"/>
    <w:rsid w:val="00F16461"/>
    <w:rsid w:val="00F165B4"/>
    <w:rsid w:val="00F16FBA"/>
    <w:rsid w:val="00F17C17"/>
    <w:rsid w:val="00F2035C"/>
    <w:rsid w:val="00F2074A"/>
    <w:rsid w:val="00F209E3"/>
    <w:rsid w:val="00F22823"/>
    <w:rsid w:val="00F230B0"/>
    <w:rsid w:val="00F23802"/>
    <w:rsid w:val="00F24F75"/>
    <w:rsid w:val="00F25244"/>
    <w:rsid w:val="00F2545E"/>
    <w:rsid w:val="00F25A00"/>
    <w:rsid w:val="00F2602B"/>
    <w:rsid w:val="00F32D93"/>
    <w:rsid w:val="00F330DA"/>
    <w:rsid w:val="00F334F8"/>
    <w:rsid w:val="00F338B1"/>
    <w:rsid w:val="00F33A0D"/>
    <w:rsid w:val="00F33DA6"/>
    <w:rsid w:val="00F33E9B"/>
    <w:rsid w:val="00F33F9B"/>
    <w:rsid w:val="00F34D6C"/>
    <w:rsid w:val="00F35EFC"/>
    <w:rsid w:val="00F37741"/>
    <w:rsid w:val="00F3784A"/>
    <w:rsid w:val="00F453A8"/>
    <w:rsid w:val="00F456C4"/>
    <w:rsid w:val="00F4582A"/>
    <w:rsid w:val="00F4622F"/>
    <w:rsid w:val="00F468A8"/>
    <w:rsid w:val="00F47407"/>
    <w:rsid w:val="00F50BD6"/>
    <w:rsid w:val="00F5103C"/>
    <w:rsid w:val="00F51FFD"/>
    <w:rsid w:val="00F522DB"/>
    <w:rsid w:val="00F52AA1"/>
    <w:rsid w:val="00F54928"/>
    <w:rsid w:val="00F55DA1"/>
    <w:rsid w:val="00F563F6"/>
    <w:rsid w:val="00F567B9"/>
    <w:rsid w:val="00F603F7"/>
    <w:rsid w:val="00F608A2"/>
    <w:rsid w:val="00F614C9"/>
    <w:rsid w:val="00F6165A"/>
    <w:rsid w:val="00F62038"/>
    <w:rsid w:val="00F62A9E"/>
    <w:rsid w:val="00F62AB3"/>
    <w:rsid w:val="00F62E52"/>
    <w:rsid w:val="00F633EC"/>
    <w:rsid w:val="00F646BD"/>
    <w:rsid w:val="00F648D9"/>
    <w:rsid w:val="00F64E3B"/>
    <w:rsid w:val="00F652B4"/>
    <w:rsid w:val="00F66E89"/>
    <w:rsid w:val="00F6719B"/>
    <w:rsid w:val="00F67A23"/>
    <w:rsid w:val="00F70179"/>
    <w:rsid w:val="00F7201A"/>
    <w:rsid w:val="00F72D5B"/>
    <w:rsid w:val="00F734D9"/>
    <w:rsid w:val="00F736CF"/>
    <w:rsid w:val="00F73B85"/>
    <w:rsid w:val="00F745C5"/>
    <w:rsid w:val="00F7483D"/>
    <w:rsid w:val="00F74CDC"/>
    <w:rsid w:val="00F75A29"/>
    <w:rsid w:val="00F75FFD"/>
    <w:rsid w:val="00F7689D"/>
    <w:rsid w:val="00F81164"/>
    <w:rsid w:val="00F81259"/>
    <w:rsid w:val="00F818C6"/>
    <w:rsid w:val="00F81A42"/>
    <w:rsid w:val="00F86FBF"/>
    <w:rsid w:val="00F91EAB"/>
    <w:rsid w:val="00F92AF4"/>
    <w:rsid w:val="00F94119"/>
    <w:rsid w:val="00F95191"/>
    <w:rsid w:val="00F9532E"/>
    <w:rsid w:val="00F95F0E"/>
    <w:rsid w:val="00F96BA1"/>
    <w:rsid w:val="00F9725A"/>
    <w:rsid w:val="00FA090A"/>
    <w:rsid w:val="00FA212D"/>
    <w:rsid w:val="00FA3236"/>
    <w:rsid w:val="00FA3390"/>
    <w:rsid w:val="00FA4A1C"/>
    <w:rsid w:val="00FA58EC"/>
    <w:rsid w:val="00FA5E39"/>
    <w:rsid w:val="00FA5E7A"/>
    <w:rsid w:val="00FA678C"/>
    <w:rsid w:val="00FA72A2"/>
    <w:rsid w:val="00FA7BE5"/>
    <w:rsid w:val="00FB0C5D"/>
    <w:rsid w:val="00FB114C"/>
    <w:rsid w:val="00FB13E2"/>
    <w:rsid w:val="00FB14BC"/>
    <w:rsid w:val="00FB1879"/>
    <w:rsid w:val="00FB1A45"/>
    <w:rsid w:val="00FB1BE6"/>
    <w:rsid w:val="00FB2559"/>
    <w:rsid w:val="00FB3AE9"/>
    <w:rsid w:val="00FB43BD"/>
    <w:rsid w:val="00FB4704"/>
    <w:rsid w:val="00FB4C55"/>
    <w:rsid w:val="00FB5546"/>
    <w:rsid w:val="00FB61D5"/>
    <w:rsid w:val="00FB6DC8"/>
    <w:rsid w:val="00FB739B"/>
    <w:rsid w:val="00FB7A7A"/>
    <w:rsid w:val="00FC012D"/>
    <w:rsid w:val="00FC0C76"/>
    <w:rsid w:val="00FC1A65"/>
    <w:rsid w:val="00FC2E9D"/>
    <w:rsid w:val="00FC44D5"/>
    <w:rsid w:val="00FC5281"/>
    <w:rsid w:val="00FC5762"/>
    <w:rsid w:val="00FC5E6B"/>
    <w:rsid w:val="00FC6B96"/>
    <w:rsid w:val="00FC7A45"/>
    <w:rsid w:val="00FC7D02"/>
    <w:rsid w:val="00FD07C4"/>
    <w:rsid w:val="00FD0FCF"/>
    <w:rsid w:val="00FD1C10"/>
    <w:rsid w:val="00FD23A8"/>
    <w:rsid w:val="00FD3417"/>
    <w:rsid w:val="00FD39F6"/>
    <w:rsid w:val="00FD4CD2"/>
    <w:rsid w:val="00FD6199"/>
    <w:rsid w:val="00FE0395"/>
    <w:rsid w:val="00FE045A"/>
    <w:rsid w:val="00FE0894"/>
    <w:rsid w:val="00FE1030"/>
    <w:rsid w:val="00FE277F"/>
    <w:rsid w:val="00FE39EE"/>
    <w:rsid w:val="00FE457A"/>
    <w:rsid w:val="00FE5073"/>
    <w:rsid w:val="00FE5897"/>
    <w:rsid w:val="00FE5EB2"/>
    <w:rsid w:val="00FF102D"/>
    <w:rsid w:val="00FF11FA"/>
    <w:rsid w:val="00FF17B9"/>
    <w:rsid w:val="00FF1C57"/>
    <w:rsid w:val="00FF1F21"/>
    <w:rsid w:val="00FF2EC5"/>
    <w:rsid w:val="00FF315C"/>
    <w:rsid w:val="00FF4364"/>
    <w:rsid w:val="00FF520B"/>
    <w:rsid w:val="00FF54AF"/>
    <w:rsid w:val="00FF590F"/>
    <w:rsid w:val="00FF6093"/>
    <w:rsid w:val="00FF724D"/>
    <w:rsid w:val="0167CE76"/>
    <w:rsid w:val="018754F2"/>
    <w:rsid w:val="01B06AF9"/>
    <w:rsid w:val="01DD6FBF"/>
    <w:rsid w:val="02219FBE"/>
    <w:rsid w:val="0257E98A"/>
    <w:rsid w:val="0305BA1E"/>
    <w:rsid w:val="030CF344"/>
    <w:rsid w:val="036BCF5E"/>
    <w:rsid w:val="037069D1"/>
    <w:rsid w:val="039914CA"/>
    <w:rsid w:val="03B9FAC1"/>
    <w:rsid w:val="03D6B396"/>
    <w:rsid w:val="03EE101C"/>
    <w:rsid w:val="04065127"/>
    <w:rsid w:val="041AD8F9"/>
    <w:rsid w:val="042F8E45"/>
    <w:rsid w:val="0498DDBC"/>
    <w:rsid w:val="04C485B7"/>
    <w:rsid w:val="051F9A80"/>
    <w:rsid w:val="05268AE8"/>
    <w:rsid w:val="056AE6C3"/>
    <w:rsid w:val="057777FB"/>
    <w:rsid w:val="05BCB668"/>
    <w:rsid w:val="061ED8B0"/>
    <w:rsid w:val="06B02947"/>
    <w:rsid w:val="07386EB9"/>
    <w:rsid w:val="073A6920"/>
    <w:rsid w:val="079644BE"/>
    <w:rsid w:val="080715BC"/>
    <w:rsid w:val="081C385A"/>
    <w:rsid w:val="0864BF8F"/>
    <w:rsid w:val="08FB47BF"/>
    <w:rsid w:val="0901987B"/>
    <w:rsid w:val="0901F228"/>
    <w:rsid w:val="092E817E"/>
    <w:rsid w:val="09B3214F"/>
    <w:rsid w:val="0A09331E"/>
    <w:rsid w:val="0A104C40"/>
    <w:rsid w:val="0A1EC63E"/>
    <w:rsid w:val="0A5C957B"/>
    <w:rsid w:val="0A6A1582"/>
    <w:rsid w:val="0A717D4D"/>
    <w:rsid w:val="0A91E952"/>
    <w:rsid w:val="0AD02645"/>
    <w:rsid w:val="0B23DD73"/>
    <w:rsid w:val="0BB20963"/>
    <w:rsid w:val="0C446ADA"/>
    <w:rsid w:val="0C5BA019"/>
    <w:rsid w:val="0C5CAB28"/>
    <w:rsid w:val="0CA218A2"/>
    <w:rsid w:val="0CD981E1"/>
    <w:rsid w:val="0CD9C75B"/>
    <w:rsid w:val="0D00F6CB"/>
    <w:rsid w:val="0D47BA0B"/>
    <w:rsid w:val="0D771A70"/>
    <w:rsid w:val="0DA3E398"/>
    <w:rsid w:val="0DCA3BC9"/>
    <w:rsid w:val="0E151A04"/>
    <w:rsid w:val="0E31C908"/>
    <w:rsid w:val="0E488614"/>
    <w:rsid w:val="0E6B63A7"/>
    <w:rsid w:val="0E7485A7"/>
    <w:rsid w:val="0E7F3AEB"/>
    <w:rsid w:val="0E809F03"/>
    <w:rsid w:val="0E8B0BF4"/>
    <w:rsid w:val="0EC34848"/>
    <w:rsid w:val="0F62982A"/>
    <w:rsid w:val="0F84632B"/>
    <w:rsid w:val="0F99818D"/>
    <w:rsid w:val="0FA2BAB2"/>
    <w:rsid w:val="0FF28978"/>
    <w:rsid w:val="0FF5DA1C"/>
    <w:rsid w:val="1007734C"/>
    <w:rsid w:val="1009EF3E"/>
    <w:rsid w:val="10247E73"/>
    <w:rsid w:val="1046A55E"/>
    <w:rsid w:val="105C651A"/>
    <w:rsid w:val="10648B5B"/>
    <w:rsid w:val="1126A793"/>
    <w:rsid w:val="117D6F34"/>
    <w:rsid w:val="11DA86A7"/>
    <w:rsid w:val="120DD619"/>
    <w:rsid w:val="1213C6F0"/>
    <w:rsid w:val="1224AD42"/>
    <w:rsid w:val="126A1377"/>
    <w:rsid w:val="128D387E"/>
    <w:rsid w:val="12B89EAB"/>
    <w:rsid w:val="12D88D21"/>
    <w:rsid w:val="12E55081"/>
    <w:rsid w:val="131F911F"/>
    <w:rsid w:val="13241F9D"/>
    <w:rsid w:val="13411046"/>
    <w:rsid w:val="1365BA21"/>
    <w:rsid w:val="139363CE"/>
    <w:rsid w:val="14B2EFC2"/>
    <w:rsid w:val="14FAC398"/>
    <w:rsid w:val="151CFD21"/>
    <w:rsid w:val="15236D9F"/>
    <w:rsid w:val="155B9090"/>
    <w:rsid w:val="155C2397"/>
    <w:rsid w:val="156581A7"/>
    <w:rsid w:val="159DF331"/>
    <w:rsid w:val="15A3EF0A"/>
    <w:rsid w:val="15AFC5E9"/>
    <w:rsid w:val="15BE23D0"/>
    <w:rsid w:val="161F85B9"/>
    <w:rsid w:val="16433CDF"/>
    <w:rsid w:val="164B7C70"/>
    <w:rsid w:val="164D3535"/>
    <w:rsid w:val="1658B505"/>
    <w:rsid w:val="169FD5E8"/>
    <w:rsid w:val="1732ED7A"/>
    <w:rsid w:val="17599943"/>
    <w:rsid w:val="17CCAE13"/>
    <w:rsid w:val="17CDFEF8"/>
    <w:rsid w:val="17D26430"/>
    <w:rsid w:val="17DA33AB"/>
    <w:rsid w:val="17EE551E"/>
    <w:rsid w:val="184A9C49"/>
    <w:rsid w:val="1887DE9F"/>
    <w:rsid w:val="18E85967"/>
    <w:rsid w:val="190BC3D3"/>
    <w:rsid w:val="19AACDCC"/>
    <w:rsid w:val="19C6EE10"/>
    <w:rsid w:val="1A07284B"/>
    <w:rsid w:val="1A3534DE"/>
    <w:rsid w:val="1A39238D"/>
    <w:rsid w:val="1A4BDC4C"/>
    <w:rsid w:val="1AA72500"/>
    <w:rsid w:val="1AF50F17"/>
    <w:rsid w:val="1B153617"/>
    <w:rsid w:val="1B1CC4CD"/>
    <w:rsid w:val="1B2C5F10"/>
    <w:rsid w:val="1B6510D5"/>
    <w:rsid w:val="1B691689"/>
    <w:rsid w:val="1B691718"/>
    <w:rsid w:val="1B73DF45"/>
    <w:rsid w:val="1BA0901F"/>
    <w:rsid w:val="1BBA27A1"/>
    <w:rsid w:val="1BE4157F"/>
    <w:rsid w:val="1C7A7063"/>
    <w:rsid w:val="1CFB17D7"/>
    <w:rsid w:val="1DD08555"/>
    <w:rsid w:val="1DF3131D"/>
    <w:rsid w:val="1E41E920"/>
    <w:rsid w:val="1EA08C67"/>
    <w:rsid w:val="1ECDFB5A"/>
    <w:rsid w:val="1F05ADAA"/>
    <w:rsid w:val="1F09F518"/>
    <w:rsid w:val="1F8E2BB9"/>
    <w:rsid w:val="2006D3F6"/>
    <w:rsid w:val="2021F9FB"/>
    <w:rsid w:val="202B5276"/>
    <w:rsid w:val="203D2F1E"/>
    <w:rsid w:val="208ADD99"/>
    <w:rsid w:val="209EDD34"/>
    <w:rsid w:val="20EED704"/>
    <w:rsid w:val="2130E8CA"/>
    <w:rsid w:val="2133A888"/>
    <w:rsid w:val="2188F5DE"/>
    <w:rsid w:val="21B0F820"/>
    <w:rsid w:val="21FFF169"/>
    <w:rsid w:val="22019675"/>
    <w:rsid w:val="22AC0F0B"/>
    <w:rsid w:val="22D72348"/>
    <w:rsid w:val="232D5C33"/>
    <w:rsid w:val="236F0530"/>
    <w:rsid w:val="237234C7"/>
    <w:rsid w:val="2378A960"/>
    <w:rsid w:val="237BD2FC"/>
    <w:rsid w:val="238AD7BE"/>
    <w:rsid w:val="23A469DB"/>
    <w:rsid w:val="240881D8"/>
    <w:rsid w:val="248F5A22"/>
    <w:rsid w:val="24B0327F"/>
    <w:rsid w:val="2508021C"/>
    <w:rsid w:val="251B5B84"/>
    <w:rsid w:val="2555824A"/>
    <w:rsid w:val="258EFE8A"/>
    <w:rsid w:val="25B724C2"/>
    <w:rsid w:val="2638B0F8"/>
    <w:rsid w:val="26396756"/>
    <w:rsid w:val="2691CD3E"/>
    <w:rsid w:val="26E3D70E"/>
    <w:rsid w:val="271FCC16"/>
    <w:rsid w:val="2787AAC7"/>
    <w:rsid w:val="27A04D33"/>
    <w:rsid w:val="27B57C04"/>
    <w:rsid w:val="286716CA"/>
    <w:rsid w:val="287F47F0"/>
    <w:rsid w:val="28A73CAA"/>
    <w:rsid w:val="28B3216A"/>
    <w:rsid w:val="28E0A2AC"/>
    <w:rsid w:val="29496110"/>
    <w:rsid w:val="2963A86B"/>
    <w:rsid w:val="29A8FCB0"/>
    <w:rsid w:val="2A4369F8"/>
    <w:rsid w:val="2A5DD183"/>
    <w:rsid w:val="2B0B4904"/>
    <w:rsid w:val="2B3FDC98"/>
    <w:rsid w:val="2B74C0A6"/>
    <w:rsid w:val="2B7BB208"/>
    <w:rsid w:val="2B892375"/>
    <w:rsid w:val="2B99D564"/>
    <w:rsid w:val="2B9F1903"/>
    <w:rsid w:val="2C934ACA"/>
    <w:rsid w:val="2CAF95D6"/>
    <w:rsid w:val="2D5411C0"/>
    <w:rsid w:val="2D9F0280"/>
    <w:rsid w:val="2DFAF40D"/>
    <w:rsid w:val="2E30C66C"/>
    <w:rsid w:val="2E383884"/>
    <w:rsid w:val="2E389414"/>
    <w:rsid w:val="2E6FED8C"/>
    <w:rsid w:val="2E8291BC"/>
    <w:rsid w:val="2E90EAC4"/>
    <w:rsid w:val="2E9C245B"/>
    <w:rsid w:val="2EE26BA6"/>
    <w:rsid w:val="2EF48EC3"/>
    <w:rsid w:val="2F2AB695"/>
    <w:rsid w:val="2F4E64B8"/>
    <w:rsid w:val="2F4E954C"/>
    <w:rsid w:val="2FF2EFCC"/>
    <w:rsid w:val="302C3BD5"/>
    <w:rsid w:val="30353F37"/>
    <w:rsid w:val="3039AA05"/>
    <w:rsid w:val="30FCD6D1"/>
    <w:rsid w:val="3167A27F"/>
    <w:rsid w:val="318DBB65"/>
    <w:rsid w:val="31FF5F7B"/>
    <w:rsid w:val="3240A161"/>
    <w:rsid w:val="325D7801"/>
    <w:rsid w:val="326387C7"/>
    <w:rsid w:val="33025A8A"/>
    <w:rsid w:val="332E2AD2"/>
    <w:rsid w:val="333ADEF4"/>
    <w:rsid w:val="3354CAA7"/>
    <w:rsid w:val="33E226E3"/>
    <w:rsid w:val="341A37C0"/>
    <w:rsid w:val="34313E82"/>
    <w:rsid w:val="34D72795"/>
    <w:rsid w:val="3505D770"/>
    <w:rsid w:val="3534C067"/>
    <w:rsid w:val="356660CC"/>
    <w:rsid w:val="358606AC"/>
    <w:rsid w:val="3591A9D1"/>
    <w:rsid w:val="35A4CF2D"/>
    <w:rsid w:val="35FDE5CE"/>
    <w:rsid w:val="3610774D"/>
    <w:rsid w:val="3624E792"/>
    <w:rsid w:val="36563DBB"/>
    <w:rsid w:val="368EE93C"/>
    <w:rsid w:val="36B57706"/>
    <w:rsid w:val="37037E29"/>
    <w:rsid w:val="370C145F"/>
    <w:rsid w:val="3745C68B"/>
    <w:rsid w:val="37784876"/>
    <w:rsid w:val="379977ED"/>
    <w:rsid w:val="379D37E3"/>
    <w:rsid w:val="37D0D8BF"/>
    <w:rsid w:val="3827AADE"/>
    <w:rsid w:val="3860CF59"/>
    <w:rsid w:val="387BE12E"/>
    <w:rsid w:val="38C19FBE"/>
    <w:rsid w:val="390A82CD"/>
    <w:rsid w:val="392E2B59"/>
    <w:rsid w:val="39419CBB"/>
    <w:rsid w:val="3960F856"/>
    <w:rsid w:val="396EC204"/>
    <w:rsid w:val="39E0BA95"/>
    <w:rsid w:val="39E7D50B"/>
    <w:rsid w:val="3A6C0E3B"/>
    <w:rsid w:val="3ADA8F6F"/>
    <w:rsid w:val="3B0C069C"/>
    <w:rsid w:val="3B9AE2CE"/>
    <w:rsid w:val="3BD549D1"/>
    <w:rsid w:val="3BF22EBF"/>
    <w:rsid w:val="3CAB8837"/>
    <w:rsid w:val="3D18575D"/>
    <w:rsid w:val="3DA73854"/>
    <w:rsid w:val="3DE1B1F7"/>
    <w:rsid w:val="3DF2F327"/>
    <w:rsid w:val="3E21DB6E"/>
    <w:rsid w:val="3E4E55A1"/>
    <w:rsid w:val="3E68C19C"/>
    <w:rsid w:val="3F0CC30E"/>
    <w:rsid w:val="3F158760"/>
    <w:rsid w:val="3F488AC3"/>
    <w:rsid w:val="3F7A5840"/>
    <w:rsid w:val="3FAB5127"/>
    <w:rsid w:val="3FC88510"/>
    <w:rsid w:val="3FF2A75C"/>
    <w:rsid w:val="4008CB3B"/>
    <w:rsid w:val="406D7D87"/>
    <w:rsid w:val="40B81DB6"/>
    <w:rsid w:val="40CDC21F"/>
    <w:rsid w:val="40E084AE"/>
    <w:rsid w:val="40E52EFB"/>
    <w:rsid w:val="41BE4F5F"/>
    <w:rsid w:val="41E0A8D4"/>
    <w:rsid w:val="41EFEB72"/>
    <w:rsid w:val="420664E1"/>
    <w:rsid w:val="421DB9F1"/>
    <w:rsid w:val="42256381"/>
    <w:rsid w:val="4250E249"/>
    <w:rsid w:val="425D22D0"/>
    <w:rsid w:val="427A7BA4"/>
    <w:rsid w:val="427AD4AB"/>
    <w:rsid w:val="432A2935"/>
    <w:rsid w:val="43496899"/>
    <w:rsid w:val="439017D6"/>
    <w:rsid w:val="43C611E1"/>
    <w:rsid w:val="44144AE7"/>
    <w:rsid w:val="447097E3"/>
    <w:rsid w:val="4471DAAB"/>
    <w:rsid w:val="44A85AAD"/>
    <w:rsid w:val="452F1C1B"/>
    <w:rsid w:val="45543FD1"/>
    <w:rsid w:val="4570740E"/>
    <w:rsid w:val="457972E1"/>
    <w:rsid w:val="458E7C4A"/>
    <w:rsid w:val="45C4CC2B"/>
    <w:rsid w:val="45DA9A83"/>
    <w:rsid w:val="45EA944B"/>
    <w:rsid w:val="46108A9E"/>
    <w:rsid w:val="46931263"/>
    <w:rsid w:val="46CE46CB"/>
    <w:rsid w:val="46D601A2"/>
    <w:rsid w:val="46FBFB42"/>
    <w:rsid w:val="47118382"/>
    <w:rsid w:val="47DD422E"/>
    <w:rsid w:val="482693F4"/>
    <w:rsid w:val="4842E90E"/>
    <w:rsid w:val="4843EDE2"/>
    <w:rsid w:val="4870E812"/>
    <w:rsid w:val="48A64DE8"/>
    <w:rsid w:val="4939BBE6"/>
    <w:rsid w:val="4967A271"/>
    <w:rsid w:val="49C6DB7F"/>
    <w:rsid w:val="4A24D5DA"/>
    <w:rsid w:val="4A327B0A"/>
    <w:rsid w:val="4A3E1D4E"/>
    <w:rsid w:val="4A6489A6"/>
    <w:rsid w:val="4A958A74"/>
    <w:rsid w:val="4ACBA12C"/>
    <w:rsid w:val="4B0795FD"/>
    <w:rsid w:val="4B4A2AB3"/>
    <w:rsid w:val="4B8ABE89"/>
    <w:rsid w:val="4BED0F4C"/>
    <w:rsid w:val="4C439052"/>
    <w:rsid w:val="4CD46B41"/>
    <w:rsid w:val="4CF5F0E0"/>
    <w:rsid w:val="4D43D8E8"/>
    <w:rsid w:val="4DA7830B"/>
    <w:rsid w:val="4DC003F7"/>
    <w:rsid w:val="4DE9E08D"/>
    <w:rsid w:val="4DF335C2"/>
    <w:rsid w:val="4E1FFB8F"/>
    <w:rsid w:val="4E23D0C4"/>
    <w:rsid w:val="4E65FA54"/>
    <w:rsid w:val="4E9E749B"/>
    <w:rsid w:val="4EA7D405"/>
    <w:rsid w:val="4EB52C3C"/>
    <w:rsid w:val="4F2F34FD"/>
    <w:rsid w:val="4F3AB897"/>
    <w:rsid w:val="4F702F04"/>
    <w:rsid w:val="4F796334"/>
    <w:rsid w:val="4F8EDE8F"/>
    <w:rsid w:val="4FB832F7"/>
    <w:rsid w:val="50048149"/>
    <w:rsid w:val="501FA009"/>
    <w:rsid w:val="505E2DD7"/>
    <w:rsid w:val="5099C3D6"/>
    <w:rsid w:val="509A9F51"/>
    <w:rsid w:val="51079A5D"/>
    <w:rsid w:val="5125F826"/>
    <w:rsid w:val="51811F45"/>
    <w:rsid w:val="52085965"/>
    <w:rsid w:val="521AD1A1"/>
    <w:rsid w:val="526C5769"/>
    <w:rsid w:val="528A665B"/>
    <w:rsid w:val="52FFEA91"/>
    <w:rsid w:val="53181C17"/>
    <w:rsid w:val="5319E3F9"/>
    <w:rsid w:val="5365EF5F"/>
    <w:rsid w:val="5368C3ED"/>
    <w:rsid w:val="53804B4F"/>
    <w:rsid w:val="5385E7AE"/>
    <w:rsid w:val="53989B89"/>
    <w:rsid w:val="53C6E58F"/>
    <w:rsid w:val="54242FA2"/>
    <w:rsid w:val="54941A28"/>
    <w:rsid w:val="54F31ACC"/>
    <w:rsid w:val="55022667"/>
    <w:rsid w:val="55113877"/>
    <w:rsid w:val="551DBDB3"/>
    <w:rsid w:val="555EFBED"/>
    <w:rsid w:val="556274F5"/>
    <w:rsid w:val="5575057E"/>
    <w:rsid w:val="55793BD2"/>
    <w:rsid w:val="55A90B76"/>
    <w:rsid w:val="55E9B92A"/>
    <w:rsid w:val="55EAF9E3"/>
    <w:rsid w:val="56AB6BCF"/>
    <w:rsid w:val="56D0823A"/>
    <w:rsid w:val="56D5EF35"/>
    <w:rsid w:val="5725651C"/>
    <w:rsid w:val="574FBD5E"/>
    <w:rsid w:val="575C11D3"/>
    <w:rsid w:val="5793BF0F"/>
    <w:rsid w:val="5795272F"/>
    <w:rsid w:val="57F0CB31"/>
    <w:rsid w:val="57FB29E1"/>
    <w:rsid w:val="5800571A"/>
    <w:rsid w:val="5829FCA3"/>
    <w:rsid w:val="58505FFA"/>
    <w:rsid w:val="593847AF"/>
    <w:rsid w:val="596B6939"/>
    <w:rsid w:val="59982329"/>
    <w:rsid w:val="59AB70A3"/>
    <w:rsid w:val="59B1B419"/>
    <w:rsid w:val="5A0F8567"/>
    <w:rsid w:val="5A401F79"/>
    <w:rsid w:val="5A405CB7"/>
    <w:rsid w:val="5A797ADA"/>
    <w:rsid w:val="5A9E6B1C"/>
    <w:rsid w:val="5AD3C7D9"/>
    <w:rsid w:val="5AF8827F"/>
    <w:rsid w:val="5B29A2B9"/>
    <w:rsid w:val="5B4B5C9B"/>
    <w:rsid w:val="5B5E11BF"/>
    <w:rsid w:val="5BE2DEC1"/>
    <w:rsid w:val="5BEB6D5E"/>
    <w:rsid w:val="5C01DEEF"/>
    <w:rsid w:val="5C8B85CF"/>
    <w:rsid w:val="5CCED929"/>
    <w:rsid w:val="5D4F6571"/>
    <w:rsid w:val="5D6641BF"/>
    <w:rsid w:val="5D8C6CDC"/>
    <w:rsid w:val="5D91CF73"/>
    <w:rsid w:val="5DFA06E5"/>
    <w:rsid w:val="5E2DE256"/>
    <w:rsid w:val="5E39F926"/>
    <w:rsid w:val="5E3D952F"/>
    <w:rsid w:val="5E9FEA3D"/>
    <w:rsid w:val="5EA60C7F"/>
    <w:rsid w:val="5EDF719A"/>
    <w:rsid w:val="60319797"/>
    <w:rsid w:val="6044AF03"/>
    <w:rsid w:val="60505E02"/>
    <w:rsid w:val="608FED13"/>
    <w:rsid w:val="60C40DDF"/>
    <w:rsid w:val="60DCAA07"/>
    <w:rsid w:val="61B9F7A9"/>
    <w:rsid w:val="61C9CFF2"/>
    <w:rsid w:val="61D17E70"/>
    <w:rsid w:val="62085B51"/>
    <w:rsid w:val="62303B4C"/>
    <w:rsid w:val="628CBCCE"/>
    <w:rsid w:val="62FD3ADA"/>
    <w:rsid w:val="6313A2D8"/>
    <w:rsid w:val="6314A106"/>
    <w:rsid w:val="6381618D"/>
    <w:rsid w:val="63BE4630"/>
    <w:rsid w:val="644612EA"/>
    <w:rsid w:val="64CD9E45"/>
    <w:rsid w:val="65028378"/>
    <w:rsid w:val="6502BC8B"/>
    <w:rsid w:val="65062D4B"/>
    <w:rsid w:val="6540213F"/>
    <w:rsid w:val="65516498"/>
    <w:rsid w:val="655F2F0B"/>
    <w:rsid w:val="65A19F8C"/>
    <w:rsid w:val="65ABCC29"/>
    <w:rsid w:val="66377CCE"/>
    <w:rsid w:val="6655338A"/>
    <w:rsid w:val="66AA0B3D"/>
    <w:rsid w:val="66B0560B"/>
    <w:rsid w:val="66BC368D"/>
    <w:rsid w:val="66D71F37"/>
    <w:rsid w:val="66E4B8DE"/>
    <w:rsid w:val="674CAB5E"/>
    <w:rsid w:val="675F2680"/>
    <w:rsid w:val="67DF6CC3"/>
    <w:rsid w:val="67F10690"/>
    <w:rsid w:val="67F6D431"/>
    <w:rsid w:val="682C4BF0"/>
    <w:rsid w:val="684FD37C"/>
    <w:rsid w:val="68B71928"/>
    <w:rsid w:val="68C33039"/>
    <w:rsid w:val="68C6883B"/>
    <w:rsid w:val="69CA77EE"/>
    <w:rsid w:val="6A168AE9"/>
    <w:rsid w:val="6A1E1044"/>
    <w:rsid w:val="6A32F58A"/>
    <w:rsid w:val="6A47FE75"/>
    <w:rsid w:val="6B04B20F"/>
    <w:rsid w:val="6B0DA7EA"/>
    <w:rsid w:val="6B2E63DA"/>
    <w:rsid w:val="6BA854E0"/>
    <w:rsid w:val="6BCC0A9A"/>
    <w:rsid w:val="6C9075E3"/>
    <w:rsid w:val="6C92B38C"/>
    <w:rsid w:val="6CC33E1D"/>
    <w:rsid w:val="6CCD8956"/>
    <w:rsid w:val="6D770611"/>
    <w:rsid w:val="6D88C93D"/>
    <w:rsid w:val="6E25CC7B"/>
    <w:rsid w:val="6E5E2727"/>
    <w:rsid w:val="6E7427E2"/>
    <w:rsid w:val="6E7B0BA6"/>
    <w:rsid w:val="6E817B5B"/>
    <w:rsid w:val="6E9BEA7D"/>
    <w:rsid w:val="6EA76883"/>
    <w:rsid w:val="6EA9558C"/>
    <w:rsid w:val="6EC2A509"/>
    <w:rsid w:val="6EF79297"/>
    <w:rsid w:val="6F012168"/>
    <w:rsid w:val="6F0DBF79"/>
    <w:rsid w:val="6FB69882"/>
    <w:rsid w:val="70106C2F"/>
    <w:rsid w:val="702CF67E"/>
    <w:rsid w:val="70B609D2"/>
    <w:rsid w:val="710735DF"/>
    <w:rsid w:val="7149470C"/>
    <w:rsid w:val="714DBA52"/>
    <w:rsid w:val="7224010E"/>
    <w:rsid w:val="722839AD"/>
    <w:rsid w:val="729DFF0C"/>
    <w:rsid w:val="73415BCF"/>
    <w:rsid w:val="7398D732"/>
    <w:rsid w:val="73A32154"/>
    <w:rsid w:val="73B64A33"/>
    <w:rsid w:val="73C4A825"/>
    <w:rsid w:val="745A538D"/>
    <w:rsid w:val="746A55C2"/>
    <w:rsid w:val="74A5E855"/>
    <w:rsid w:val="74B23A70"/>
    <w:rsid w:val="74BDD916"/>
    <w:rsid w:val="74D8045D"/>
    <w:rsid w:val="75153A34"/>
    <w:rsid w:val="753B1E1E"/>
    <w:rsid w:val="754411CB"/>
    <w:rsid w:val="75A40C3C"/>
    <w:rsid w:val="75E7DDB4"/>
    <w:rsid w:val="7662B836"/>
    <w:rsid w:val="769FEBA3"/>
    <w:rsid w:val="76C98720"/>
    <w:rsid w:val="76F90DE6"/>
    <w:rsid w:val="771E22A9"/>
    <w:rsid w:val="771F599A"/>
    <w:rsid w:val="773502C8"/>
    <w:rsid w:val="773B9993"/>
    <w:rsid w:val="773E4F77"/>
    <w:rsid w:val="7741F731"/>
    <w:rsid w:val="775E6CC9"/>
    <w:rsid w:val="777C63BB"/>
    <w:rsid w:val="77843E99"/>
    <w:rsid w:val="77AE457F"/>
    <w:rsid w:val="77B5AA9A"/>
    <w:rsid w:val="77C651BA"/>
    <w:rsid w:val="77D54D8F"/>
    <w:rsid w:val="7889D5AC"/>
    <w:rsid w:val="78AFD301"/>
    <w:rsid w:val="78BF76D0"/>
    <w:rsid w:val="79323738"/>
    <w:rsid w:val="795B00EA"/>
    <w:rsid w:val="796A59ED"/>
    <w:rsid w:val="79757AA7"/>
    <w:rsid w:val="7985470A"/>
    <w:rsid w:val="79D73484"/>
    <w:rsid w:val="7A518137"/>
    <w:rsid w:val="7A7AC085"/>
    <w:rsid w:val="7B387A27"/>
    <w:rsid w:val="7B8E53DE"/>
    <w:rsid w:val="7B91723C"/>
    <w:rsid w:val="7BE2F798"/>
    <w:rsid w:val="7C2F7B18"/>
    <w:rsid w:val="7C7BBF3C"/>
    <w:rsid w:val="7C9096A0"/>
    <w:rsid w:val="7CBF79D3"/>
    <w:rsid w:val="7D10289E"/>
    <w:rsid w:val="7D1578E3"/>
    <w:rsid w:val="7D451C66"/>
    <w:rsid w:val="7DE86BFE"/>
    <w:rsid w:val="7E08BC7F"/>
    <w:rsid w:val="7E4072B5"/>
    <w:rsid w:val="7E8BCDD4"/>
    <w:rsid w:val="7E9E16B4"/>
    <w:rsid w:val="7EA456E9"/>
    <w:rsid w:val="7EB1C7A9"/>
    <w:rsid w:val="7EB64383"/>
    <w:rsid w:val="7EC35BA4"/>
    <w:rsid w:val="7EF1616A"/>
    <w:rsid w:val="7F063824"/>
    <w:rsid w:val="7F1E88FF"/>
    <w:rsid w:val="7F5450D8"/>
    <w:rsid w:val="7F655046"/>
    <w:rsid w:val="7FBB3E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2D64"/>
  <w15:docId w15:val="{670E7CAB-ED1C-42EA-9185-283859DF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36B6"/>
    <w:pPr>
      <w:spacing w:before="120" w:after="120"/>
    </w:pPr>
    <w:rPr>
      <w:rFonts w:ascii="Calibri" w:eastAsia="Calibri" w:hAnsi="Calibri" w:cs="Calibri"/>
      <w:lang w:val="en-AU" w:eastAsia="en-AU" w:bidi="en-AU"/>
    </w:rPr>
  </w:style>
  <w:style w:type="paragraph" w:styleId="Heading1">
    <w:name w:val="heading 1"/>
    <w:basedOn w:val="Normal"/>
    <w:link w:val="Heading1Char"/>
    <w:uiPriority w:val="1"/>
    <w:qFormat/>
    <w:rsid w:val="00A436B6"/>
    <w:pPr>
      <w:pBdr>
        <w:bottom w:val="single" w:sz="4" w:space="1" w:color="1F497D" w:themeColor="text2"/>
      </w:pBdr>
      <w:spacing w:before="28"/>
      <w:ind w:left="343" w:right="1039"/>
      <w:jc w:val="center"/>
      <w:outlineLvl w:val="0"/>
    </w:pPr>
    <w:rPr>
      <w:b/>
      <w:bCs/>
      <w:sz w:val="36"/>
      <w:szCs w:val="36"/>
    </w:rPr>
  </w:style>
  <w:style w:type="paragraph" w:styleId="Heading2">
    <w:name w:val="heading 2"/>
    <w:basedOn w:val="Normal"/>
    <w:link w:val="Heading2Char"/>
    <w:uiPriority w:val="1"/>
    <w:qFormat/>
    <w:rsid w:val="00B76F6C"/>
    <w:pPr>
      <w:outlineLvl w:val="1"/>
    </w:pPr>
    <w:rPr>
      <w:b/>
      <w:bCs/>
      <w:sz w:val="28"/>
      <w:szCs w:val="28"/>
    </w:rPr>
  </w:style>
  <w:style w:type="paragraph" w:styleId="Heading3">
    <w:name w:val="heading 3"/>
    <w:basedOn w:val="Normal"/>
    <w:uiPriority w:val="1"/>
    <w:qFormat/>
    <w:pPr>
      <w:spacing w:before="52"/>
      <w:ind w:left="118"/>
      <w:outlineLvl w:val="2"/>
    </w:pPr>
    <w:rPr>
      <w:rFonts w:ascii="Calibri Light" w:eastAsia="Calibri Light" w:hAnsi="Calibri Light" w:cs="Calibri Light"/>
      <w:sz w:val="24"/>
      <w:szCs w:val="24"/>
    </w:rPr>
  </w:style>
  <w:style w:type="paragraph" w:styleId="Heading4">
    <w:name w:val="heading 4"/>
    <w:basedOn w:val="Normal"/>
    <w:link w:val="Heading4Char"/>
    <w:uiPriority w:val="1"/>
    <w:qFormat/>
    <w:rsid w:val="00A436B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A068AC"/>
  </w:style>
  <w:style w:type="paragraph" w:styleId="ListParagraph">
    <w:name w:val="List Paragraph"/>
    <w:basedOn w:val="Normal"/>
    <w:uiPriority w:val="34"/>
    <w:qFormat/>
    <w:pPr>
      <w:spacing w:before="119"/>
      <w:ind w:left="557" w:hanging="358"/>
    </w:pPr>
  </w:style>
  <w:style w:type="paragraph" w:customStyle="1" w:styleId="TableParagraph">
    <w:name w:val="Table Paragraph"/>
    <w:basedOn w:val="Normal"/>
    <w:uiPriority w:val="1"/>
    <w:qFormat/>
    <w:pPr>
      <w:jc w:val="center"/>
    </w:pPr>
  </w:style>
  <w:style w:type="paragraph" w:styleId="Revision">
    <w:name w:val="Revision"/>
    <w:hidden/>
    <w:uiPriority w:val="99"/>
    <w:semiHidden/>
    <w:rsid w:val="005702BF"/>
    <w:pPr>
      <w:widowControl/>
      <w:autoSpaceDE/>
      <w:autoSpaceDN/>
    </w:pPr>
    <w:rPr>
      <w:rFonts w:ascii="Calibri" w:eastAsia="Calibri" w:hAnsi="Calibri" w:cs="Calibri"/>
      <w:lang w:val="en-AU" w:eastAsia="en-AU" w:bidi="en-AU"/>
    </w:rPr>
  </w:style>
  <w:style w:type="character" w:styleId="CommentReference">
    <w:name w:val="annotation reference"/>
    <w:basedOn w:val="DefaultParagraphFont"/>
    <w:uiPriority w:val="99"/>
    <w:semiHidden/>
    <w:unhideWhenUsed/>
    <w:rsid w:val="005702BF"/>
    <w:rPr>
      <w:sz w:val="16"/>
      <w:szCs w:val="16"/>
    </w:rPr>
  </w:style>
  <w:style w:type="paragraph" w:styleId="CommentText">
    <w:name w:val="annotation text"/>
    <w:basedOn w:val="Normal"/>
    <w:link w:val="CommentTextChar"/>
    <w:uiPriority w:val="99"/>
    <w:unhideWhenUsed/>
    <w:rsid w:val="005702BF"/>
    <w:rPr>
      <w:sz w:val="20"/>
      <w:szCs w:val="20"/>
    </w:rPr>
  </w:style>
  <w:style w:type="character" w:customStyle="1" w:styleId="CommentTextChar">
    <w:name w:val="Comment Text Char"/>
    <w:basedOn w:val="DefaultParagraphFont"/>
    <w:link w:val="CommentText"/>
    <w:uiPriority w:val="99"/>
    <w:rsid w:val="005702BF"/>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5702BF"/>
    <w:rPr>
      <w:b/>
      <w:bCs/>
    </w:rPr>
  </w:style>
  <w:style w:type="character" w:customStyle="1" w:styleId="CommentSubjectChar">
    <w:name w:val="Comment Subject Char"/>
    <w:basedOn w:val="CommentTextChar"/>
    <w:link w:val="CommentSubject"/>
    <w:uiPriority w:val="99"/>
    <w:semiHidden/>
    <w:rsid w:val="005702BF"/>
    <w:rPr>
      <w:rFonts w:ascii="Calibri" w:eastAsia="Calibri" w:hAnsi="Calibri" w:cs="Calibri"/>
      <w:b/>
      <w:bCs/>
      <w:sz w:val="20"/>
      <w:szCs w:val="20"/>
      <w:lang w:val="en-AU" w:eastAsia="en-AU" w:bidi="en-AU"/>
    </w:rPr>
  </w:style>
  <w:style w:type="table" w:styleId="TableGrid">
    <w:name w:val="Table Grid"/>
    <w:basedOn w:val="TableNormal"/>
    <w:uiPriority w:val="39"/>
    <w:rsid w:val="0057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702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07BB"/>
    <w:rPr>
      <w:color w:val="0000FF" w:themeColor="hyperlink"/>
      <w:u w:val="single"/>
    </w:rPr>
  </w:style>
  <w:style w:type="character" w:styleId="UnresolvedMention">
    <w:name w:val="Unresolved Mention"/>
    <w:basedOn w:val="DefaultParagraphFont"/>
    <w:uiPriority w:val="99"/>
    <w:semiHidden/>
    <w:unhideWhenUsed/>
    <w:rsid w:val="001F07BB"/>
    <w:rPr>
      <w:color w:val="605E5C"/>
      <w:shd w:val="clear" w:color="auto" w:fill="E1DFDD"/>
    </w:rPr>
  </w:style>
  <w:style w:type="character" w:styleId="FollowedHyperlink">
    <w:name w:val="FollowedHyperlink"/>
    <w:basedOn w:val="DefaultParagraphFont"/>
    <w:uiPriority w:val="99"/>
    <w:semiHidden/>
    <w:unhideWhenUsed/>
    <w:rsid w:val="0092322E"/>
    <w:rPr>
      <w:color w:val="800080" w:themeColor="followedHyperlink"/>
      <w:u w:val="single"/>
    </w:rPr>
  </w:style>
  <w:style w:type="paragraph" w:styleId="FootnoteText">
    <w:name w:val="footnote text"/>
    <w:basedOn w:val="Normal"/>
    <w:link w:val="FootnoteTextChar"/>
    <w:uiPriority w:val="99"/>
    <w:semiHidden/>
    <w:unhideWhenUsed/>
    <w:rsid w:val="00147BAA"/>
    <w:rPr>
      <w:sz w:val="20"/>
      <w:szCs w:val="20"/>
    </w:rPr>
  </w:style>
  <w:style w:type="character" w:customStyle="1" w:styleId="FootnoteTextChar">
    <w:name w:val="Footnote Text Char"/>
    <w:basedOn w:val="DefaultParagraphFont"/>
    <w:link w:val="FootnoteText"/>
    <w:uiPriority w:val="99"/>
    <w:semiHidden/>
    <w:rsid w:val="00147BAA"/>
    <w:rPr>
      <w:rFonts w:ascii="Calibri" w:eastAsia="Calibri" w:hAnsi="Calibri" w:cs="Calibri"/>
      <w:sz w:val="20"/>
      <w:szCs w:val="20"/>
      <w:lang w:val="en-AU" w:eastAsia="en-AU" w:bidi="en-AU"/>
    </w:rPr>
  </w:style>
  <w:style w:type="character" w:styleId="FootnoteReference">
    <w:name w:val="footnote reference"/>
    <w:basedOn w:val="DefaultParagraphFont"/>
    <w:uiPriority w:val="99"/>
    <w:semiHidden/>
    <w:unhideWhenUsed/>
    <w:rsid w:val="00147BAA"/>
    <w:rPr>
      <w:vertAlign w:val="superscript"/>
    </w:rPr>
  </w:style>
  <w:style w:type="paragraph" w:styleId="Header">
    <w:name w:val="header"/>
    <w:basedOn w:val="Normal"/>
    <w:link w:val="HeaderChar"/>
    <w:uiPriority w:val="99"/>
    <w:unhideWhenUsed/>
    <w:rsid w:val="003658DB"/>
    <w:pPr>
      <w:tabs>
        <w:tab w:val="center" w:pos="4513"/>
        <w:tab w:val="right" w:pos="9026"/>
      </w:tabs>
    </w:pPr>
  </w:style>
  <w:style w:type="character" w:customStyle="1" w:styleId="HeaderChar">
    <w:name w:val="Header Char"/>
    <w:basedOn w:val="DefaultParagraphFont"/>
    <w:link w:val="Header"/>
    <w:uiPriority w:val="99"/>
    <w:rsid w:val="003658DB"/>
    <w:rPr>
      <w:rFonts w:ascii="Calibri" w:eastAsia="Calibri" w:hAnsi="Calibri" w:cs="Calibri"/>
      <w:lang w:val="en-AU" w:eastAsia="en-AU" w:bidi="en-AU"/>
    </w:rPr>
  </w:style>
  <w:style w:type="paragraph" w:styleId="Footer">
    <w:name w:val="footer"/>
    <w:basedOn w:val="Normal"/>
    <w:link w:val="FooterChar"/>
    <w:uiPriority w:val="99"/>
    <w:unhideWhenUsed/>
    <w:rsid w:val="003658DB"/>
    <w:pPr>
      <w:tabs>
        <w:tab w:val="center" w:pos="4513"/>
        <w:tab w:val="right" w:pos="9026"/>
      </w:tabs>
    </w:pPr>
  </w:style>
  <w:style w:type="character" w:customStyle="1" w:styleId="FooterChar">
    <w:name w:val="Footer Char"/>
    <w:basedOn w:val="DefaultParagraphFont"/>
    <w:link w:val="Footer"/>
    <w:uiPriority w:val="99"/>
    <w:rsid w:val="003658DB"/>
    <w:rPr>
      <w:rFonts w:ascii="Calibri" w:eastAsia="Calibri" w:hAnsi="Calibri" w:cs="Calibri"/>
      <w:lang w:val="en-AU" w:eastAsia="en-AU" w:bidi="en-AU"/>
    </w:rPr>
  </w:style>
  <w:style w:type="paragraph" w:styleId="NormalWeb">
    <w:name w:val="Normal (Web)"/>
    <w:basedOn w:val="Normal"/>
    <w:uiPriority w:val="99"/>
    <w:semiHidden/>
    <w:unhideWhenUsed/>
    <w:rsid w:val="009B5BAB"/>
    <w:pPr>
      <w:widowControl/>
      <w:autoSpaceDE/>
      <w:autoSpaceDN/>
      <w:spacing w:before="100" w:beforeAutospacing="1" w:after="100" w:afterAutospacing="1"/>
    </w:pPr>
    <w:rPr>
      <w:rFonts w:ascii="Times New Roman" w:eastAsia="Times New Roman" w:hAnsi="Times New Roman" w:cs="Times New Roman"/>
      <w:sz w:val="24"/>
      <w:szCs w:val="24"/>
      <w:lang w:eastAsia="zh-CN" w:bidi="ar-SA"/>
    </w:rPr>
  </w:style>
  <w:style w:type="paragraph" w:styleId="EndnoteText">
    <w:name w:val="endnote text"/>
    <w:basedOn w:val="Normal"/>
    <w:link w:val="EndnoteTextChar"/>
    <w:uiPriority w:val="99"/>
    <w:semiHidden/>
    <w:unhideWhenUsed/>
    <w:rsid w:val="00344033"/>
    <w:rPr>
      <w:sz w:val="20"/>
      <w:szCs w:val="20"/>
    </w:rPr>
  </w:style>
  <w:style w:type="character" w:customStyle="1" w:styleId="EndnoteTextChar">
    <w:name w:val="Endnote Text Char"/>
    <w:basedOn w:val="DefaultParagraphFont"/>
    <w:link w:val="EndnoteText"/>
    <w:uiPriority w:val="99"/>
    <w:semiHidden/>
    <w:rsid w:val="00344033"/>
    <w:rPr>
      <w:rFonts w:ascii="Calibri" w:eastAsia="Calibri" w:hAnsi="Calibri" w:cs="Calibri"/>
      <w:sz w:val="20"/>
      <w:szCs w:val="20"/>
      <w:lang w:val="en-AU" w:eastAsia="en-AU" w:bidi="en-AU"/>
    </w:rPr>
  </w:style>
  <w:style w:type="character" w:styleId="EndnoteReference">
    <w:name w:val="endnote reference"/>
    <w:basedOn w:val="DefaultParagraphFont"/>
    <w:uiPriority w:val="99"/>
    <w:semiHidden/>
    <w:unhideWhenUsed/>
    <w:rsid w:val="00344033"/>
    <w:rPr>
      <w:vertAlign w:val="superscript"/>
    </w:rPr>
  </w:style>
  <w:style w:type="character" w:customStyle="1" w:styleId="BodyTextChar">
    <w:name w:val="Body Text Char"/>
    <w:basedOn w:val="DefaultParagraphFont"/>
    <w:link w:val="BodyText"/>
    <w:uiPriority w:val="99"/>
    <w:rsid w:val="00A068AC"/>
    <w:rPr>
      <w:rFonts w:ascii="Calibri" w:eastAsia="Calibri" w:hAnsi="Calibri" w:cs="Calibri"/>
      <w:lang w:val="en-AU" w:eastAsia="en-AU" w:bidi="en-AU"/>
    </w:rPr>
  </w:style>
  <w:style w:type="character" w:customStyle="1" w:styleId="Heading4Char">
    <w:name w:val="Heading 4 Char"/>
    <w:basedOn w:val="DefaultParagraphFont"/>
    <w:link w:val="Heading4"/>
    <w:uiPriority w:val="1"/>
    <w:rsid w:val="00A436B6"/>
    <w:rPr>
      <w:rFonts w:ascii="Calibri" w:eastAsia="Calibri" w:hAnsi="Calibri" w:cs="Calibri"/>
      <w:b/>
      <w:bCs/>
      <w:lang w:val="en-AU" w:eastAsia="en-AU" w:bidi="en-AU"/>
    </w:rPr>
  </w:style>
  <w:style w:type="character" w:customStyle="1" w:styleId="Heading1Char">
    <w:name w:val="Heading 1 Char"/>
    <w:basedOn w:val="DefaultParagraphFont"/>
    <w:link w:val="Heading1"/>
    <w:uiPriority w:val="1"/>
    <w:rsid w:val="00A436B6"/>
    <w:rPr>
      <w:rFonts w:ascii="Calibri" w:eastAsia="Calibri" w:hAnsi="Calibri" w:cs="Calibri"/>
      <w:b/>
      <w:bCs/>
      <w:sz w:val="36"/>
      <w:szCs w:val="36"/>
      <w:lang w:val="en-AU" w:eastAsia="en-AU" w:bidi="en-AU"/>
    </w:rPr>
  </w:style>
  <w:style w:type="character" w:customStyle="1" w:styleId="Heading2Char">
    <w:name w:val="Heading 2 Char"/>
    <w:basedOn w:val="DefaultParagraphFont"/>
    <w:link w:val="Heading2"/>
    <w:uiPriority w:val="1"/>
    <w:rsid w:val="00B76F6C"/>
    <w:rPr>
      <w:rFonts w:ascii="Calibri" w:eastAsia="Calibri" w:hAnsi="Calibri" w:cs="Calibri"/>
      <w:b/>
      <w:bCs/>
      <w:sz w:val="28"/>
      <w:szCs w:val="28"/>
      <w:lang w:val="en-AU" w:eastAsia="en-AU" w:bidi="en-AU"/>
    </w:rPr>
  </w:style>
  <w:style w:type="paragraph" w:styleId="ListBullet">
    <w:name w:val="List Bullet"/>
    <w:basedOn w:val="Normal"/>
    <w:uiPriority w:val="99"/>
    <w:unhideWhenUsed/>
    <w:rsid w:val="00A436B6"/>
    <w:pPr>
      <w:numPr>
        <w:numId w:val="15"/>
      </w:numPr>
      <w:ind w:left="357" w:hanging="357"/>
    </w:pPr>
  </w:style>
  <w:style w:type="character" w:styleId="Strong">
    <w:name w:val="Strong"/>
    <w:basedOn w:val="DefaultParagraphFont"/>
    <w:uiPriority w:val="22"/>
    <w:qFormat/>
    <w:rsid w:val="006015D0"/>
    <w:rPr>
      <w:b/>
      <w:bCs/>
    </w:rPr>
  </w:style>
  <w:style w:type="paragraph" w:styleId="Caption">
    <w:name w:val="caption"/>
    <w:basedOn w:val="Normal"/>
    <w:next w:val="Normal"/>
    <w:uiPriority w:val="35"/>
    <w:unhideWhenUsed/>
    <w:qFormat/>
    <w:rsid w:val="00630463"/>
    <w:pPr>
      <w:spacing w:after="200"/>
    </w:pPr>
    <w:rPr>
      <w:b/>
      <w:iCs/>
      <w:color w:val="1F497D" w:themeColor="text2"/>
      <w:sz w:val="20"/>
      <w:szCs w:val="18"/>
    </w:rPr>
  </w:style>
  <w:style w:type="character" w:styleId="Mention">
    <w:name w:val="Mention"/>
    <w:basedOn w:val="DefaultParagraphFont"/>
    <w:uiPriority w:val="99"/>
    <w:unhideWhenUsed/>
    <w:rsid w:val="00C576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750">
      <w:bodyDiv w:val="1"/>
      <w:marLeft w:val="0"/>
      <w:marRight w:val="0"/>
      <w:marTop w:val="0"/>
      <w:marBottom w:val="0"/>
      <w:divBdr>
        <w:top w:val="none" w:sz="0" w:space="0" w:color="auto"/>
        <w:left w:val="none" w:sz="0" w:space="0" w:color="auto"/>
        <w:bottom w:val="none" w:sz="0" w:space="0" w:color="auto"/>
        <w:right w:val="none" w:sz="0" w:space="0" w:color="auto"/>
      </w:divBdr>
      <w:divsChild>
        <w:div w:id="796215478">
          <w:marLeft w:val="0"/>
          <w:marRight w:val="0"/>
          <w:marTop w:val="0"/>
          <w:marBottom w:val="0"/>
          <w:divBdr>
            <w:top w:val="none" w:sz="0" w:space="0" w:color="auto"/>
            <w:left w:val="none" w:sz="0" w:space="0" w:color="auto"/>
            <w:bottom w:val="none" w:sz="0" w:space="0" w:color="auto"/>
            <w:right w:val="none" w:sz="0" w:space="0" w:color="auto"/>
          </w:divBdr>
          <w:divsChild>
            <w:div w:id="759983306">
              <w:marLeft w:val="0"/>
              <w:marRight w:val="0"/>
              <w:marTop w:val="0"/>
              <w:marBottom w:val="0"/>
              <w:divBdr>
                <w:top w:val="none" w:sz="0" w:space="0" w:color="auto"/>
                <w:left w:val="none" w:sz="0" w:space="0" w:color="auto"/>
                <w:bottom w:val="none" w:sz="0" w:space="0" w:color="auto"/>
                <w:right w:val="none" w:sz="0" w:space="0" w:color="auto"/>
              </w:divBdr>
              <w:divsChild>
                <w:div w:id="1968661742">
                  <w:marLeft w:val="0"/>
                  <w:marRight w:val="0"/>
                  <w:marTop w:val="0"/>
                  <w:marBottom w:val="0"/>
                  <w:divBdr>
                    <w:top w:val="none" w:sz="0" w:space="0" w:color="auto"/>
                    <w:left w:val="none" w:sz="0" w:space="0" w:color="auto"/>
                    <w:bottom w:val="none" w:sz="0" w:space="0" w:color="auto"/>
                    <w:right w:val="none" w:sz="0" w:space="0" w:color="auto"/>
                  </w:divBdr>
                  <w:divsChild>
                    <w:div w:id="309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5072">
      <w:bodyDiv w:val="1"/>
      <w:marLeft w:val="0"/>
      <w:marRight w:val="0"/>
      <w:marTop w:val="0"/>
      <w:marBottom w:val="0"/>
      <w:divBdr>
        <w:top w:val="none" w:sz="0" w:space="0" w:color="auto"/>
        <w:left w:val="none" w:sz="0" w:space="0" w:color="auto"/>
        <w:bottom w:val="none" w:sz="0" w:space="0" w:color="auto"/>
        <w:right w:val="none" w:sz="0" w:space="0" w:color="auto"/>
      </w:divBdr>
      <w:divsChild>
        <w:div w:id="286081365">
          <w:marLeft w:val="0"/>
          <w:marRight w:val="0"/>
          <w:marTop w:val="0"/>
          <w:marBottom w:val="0"/>
          <w:divBdr>
            <w:top w:val="none" w:sz="0" w:space="0" w:color="auto"/>
            <w:left w:val="none" w:sz="0" w:space="0" w:color="auto"/>
            <w:bottom w:val="none" w:sz="0" w:space="0" w:color="auto"/>
            <w:right w:val="none" w:sz="0" w:space="0" w:color="auto"/>
          </w:divBdr>
        </w:div>
      </w:divsChild>
    </w:div>
    <w:div w:id="176433618">
      <w:bodyDiv w:val="1"/>
      <w:marLeft w:val="0"/>
      <w:marRight w:val="0"/>
      <w:marTop w:val="0"/>
      <w:marBottom w:val="0"/>
      <w:divBdr>
        <w:top w:val="none" w:sz="0" w:space="0" w:color="auto"/>
        <w:left w:val="none" w:sz="0" w:space="0" w:color="auto"/>
        <w:bottom w:val="none" w:sz="0" w:space="0" w:color="auto"/>
        <w:right w:val="none" w:sz="0" w:space="0" w:color="auto"/>
      </w:divBdr>
      <w:divsChild>
        <w:div w:id="1199465449">
          <w:marLeft w:val="0"/>
          <w:marRight w:val="0"/>
          <w:marTop w:val="0"/>
          <w:marBottom w:val="0"/>
          <w:divBdr>
            <w:top w:val="none" w:sz="0" w:space="0" w:color="auto"/>
            <w:left w:val="none" w:sz="0" w:space="0" w:color="auto"/>
            <w:bottom w:val="none" w:sz="0" w:space="0" w:color="auto"/>
            <w:right w:val="none" w:sz="0" w:space="0" w:color="auto"/>
          </w:divBdr>
        </w:div>
      </w:divsChild>
    </w:div>
    <w:div w:id="342901482">
      <w:bodyDiv w:val="1"/>
      <w:marLeft w:val="0"/>
      <w:marRight w:val="0"/>
      <w:marTop w:val="0"/>
      <w:marBottom w:val="0"/>
      <w:divBdr>
        <w:top w:val="none" w:sz="0" w:space="0" w:color="auto"/>
        <w:left w:val="none" w:sz="0" w:space="0" w:color="auto"/>
        <w:bottom w:val="none" w:sz="0" w:space="0" w:color="auto"/>
        <w:right w:val="none" w:sz="0" w:space="0" w:color="auto"/>
      </w:divBdr>
      <w:divsChild>
        <w:div w:id="1129976337">
          <w:marLeft w:val="0"/>
          <w:marRight w:val="0"/>
          <w:marTop w:val="0"/>
          <w:marBottom w:val="0"/>
          <w:divBdr>
            <w:top w:val="none" w:sz="0" w:space="0" w:color="auto"/>
            <w:left w:val="none" w:sz="0" w:space="0" w:color="auto"/>
            <w:bottom w:val="none" w:sz="0" w:space="0" w:color="auto"/>
            <w:right w:val="none" w:sz="0" w:space="0" w:color="auto"/>
          </w:divBdr>
        </w:div>
      </w:divsChild>
    </w:div>
    <w:div w:id="383256718">
      <w:bodyDiv w:val="1"/>
      <w:marLeft w:val="0"/>
      <w:marRight w:val="0"/>
      <w:marTop w:val="0"/>
      <w:marBottom w:val="0"/>
      <w:divBdr>
        <w:top w:val="none" w:sz="0" w:space="0" w:color="auto"/>
        <w:left w:val="none" w:sz="0" w:space="0" w:color="auto"/>
        <w:bottom w:val="none" w:sz="0" w:space="0" w:color="auto"/>
        <w:right w:val="none" w:sz="0" w:space="0" w:color="auto"/>
      </w:divBdr>
    </w:div>
    <w:div w:id="488328019">
      <w:bodyDiv w:val="1"/>
      <w:marLeft w:val="0"/>
      <w:marRight w:val="0"/>
      <w:marTop w:val="0"/>
      <w:marBottom w:val="0"/>
      <w:divBdr>
        <w:top w:val="none" w:sz="0" w:space="0" w:color="auto"/>
        <w:left w:val="none" w:sz="0" w:space="0" w:color="auto"/>
        <w:bottom w:val="none" w:sz="0" w:space="0" w:color="auto"/>
        <w:right w:val="none" w:sz="0" w:space="0" w:color="auto"/>
      </w:divBdr>
    </w:div>
    <w:div w:id="494226834">
      <w:bodyDiv w:val="1"/>
      <w:marLeft w:val="0"/>
      <w:marRight w:val="0"/>
      <w:marTop w:val="0"/>
      <w:marBottom w:val="0"/>
      <w:divBdr>
        <w:top w:val="none" w:sz="0" w:space="0" w:color="auto"/>
        <w:left w:val="none" w:sz="0" w:space="0" w:color="auto"/>
        <w:bottom w:val="none" w:sz="0" w:space="0" w:color="auto"/>
        <w:right w:val="none" w:sz="0" w:space="0" w:color="auto"/>
      </w:divBdr>
      <w:divsChild>
        <w:div w:id="611404122">
          <w:marLeft w:val="0"/>
          <w:marRight w:val="0"/>
          <w:marTop w:val="0"/>
          <w:marBottom w:val="0"/>
          <w:divBdr>
            <w:top w:val="none" w:sz="0" w:space="0" w:color="auto"/>
            <w:left w:val="none" w:sz="0" w:space="0" w:color="auto"/>
            <w:bottom w:val="none" w:sz="0" w:space="0" w:color="auto"/>
            <w:right w:val="none" w:sz="0" w:space="0" w:color="auto"/>
          </w:divBdr>
        </w:div>
      </w:divsChild>
    </w:div>
    <w:div w:id="515772765">
      <w:bodyDiv w:val="1"/>
      <w:marLeft w:val="0"/>
      <w:marRight w:val="0"/>
      <w:marTop w:val="0"/>
      <w:marBottom w:val="0"/>
      <w:divBdr>
        <w:top w:val="none" w:sz="0" w:space="0" w:color="auto"/>
        <w:left w:val="none" w:sz="0" w:space="0" w:color="auto"/>
        <w:bottom w:val="none" w:sz="0" w:space="0" w:color="auto"/>
        <w:right w:val="none" w:sz="0" w:space="0" w:color="auto"/>
      </w:divBdr>
      <w:divsChild>
        <w:div w:id="489560016">
          <w:marLeft w:val="0"/>
          <w:marRight w:val="0"/>
          <w:marTop w:val="0"/>
          <w:marBottom w:val="0"/>
          <w:divBdr>
            <w:top w:val="none" w:sz="0" w:space="0" w:color="auto"/>
            <w:left w:val="none" w:sz="0" w:space="0" w:color="auto"/>
            <w:bottom w:val="none" w:sz="0" w:space="0" w:color="auto"/>
            <w:right w:val="none" w:sz="0" w:space="0" w:color="auto"/>
          </w:divBdr>
        </w:div>
      </w:divsChild>
    </w:div>
    <w:div w:id="526453669">
      <w:bodyDiv w:val="1"/>
      <w:marLeft w:val="0"/>
      <w:marRight w:val="0"/>
      <w:marTop w:val="0"/>
      <w:marBottom w:val="0"/>
      <w:divBdr>
        <w:top w:val="none" w:sz="0" w:space="0" w:color="auto"/>
        <w:left w:val="none" w:sz="0" w:space="0" w:color="auto"/>
        <w:bottom w:val="none" w:sz="0" w:space="0" w:color="auto"/>
        <w:right w:val="none" w:sz="0" w:space="0" w:color="auto"/>
      </w:divBdr>
    </w:div>
    <w:div w:id="583106477">
      <w:bodyDiv w:val="1"/>
      <w:marLeft w:val="0"/>
      <w:marRight w:val="0"/>
      <w:marTop w:val="0"/>
      <w:marBottom w:val="0"/>
      <w:divBdr>
        <w:top w:val="none" w:sz="0" w:space="0" w:color="auto"/>
        <w:left w:val="none" w:sz="0" w:space="0" w:color="auto"/>
        <w:bottom w:val="none" w:sz="0" w:space="0" w:color="auto"/>
        <w:right w:val="none" w:sz="0" w:space="0" w:color="auto"/>
      </w:divBdr>
      <w:divsChild>
        <w:div w:id="1737167527">
          <w:marLeft w:val="0"/>
          <w:marRight w:val="0"/>
          <w:marTop w:val="0"/>
          <w:marBottom w:val="0"/>
          <w:divBdr>
            <w:top w:val="none" w:sz="0" w:space="0" w:color="auto"/>
            <w:left w:val="none" w:sz="0" w:space="0" w:color="auto"/>
            <w:bottom w:val="none" w:sz="0" w:space="0" w:color="auto"/>
            <w:right w:val="none" w:sz="0" w:space="0" w:color="auto"/>
          </w:divBdr>
        </w:div>
      </w:divsChild>
    </w:div>
    <w:div w:id="676659406">
      <w:bodyDiv w:val="1"/>
      <w:marLeft w:val="0"/>
      <w:marRight w:val="0"/>
      <w:marTop w:val="0"/>
      <w:marBottom w:val="0"/>
      <w:divBdr>
        <w:top w:val="none" w:sz="0" w:space="0" w:color="auto"/>
        <w:left w:val="none" w:sz="0" w:space="0" w:color="auto"/>
        <w:bottom w:val="none" w:sz="0" w:space="0" w:color="auto"/>
        <w:right w:val="none" w:sz="0" w:space="0" w:color="auto"/>
      </w:divBdr>
      <w:divsChild>
        <w:div w:id="30031987">
          <w:marLeft w:val="0"/>
          <w:marRight w:val="0"/>
          <w:marTop w:val="0"/>
          <w:marBottom w:val="0"/>
          <w:divBdr>
            <w:top w:val="none" w:sz="0" w:space="0" w:color="auto"/>
            <w:left w:val="none" w:sz="0" w:space="0" w:color="auto"/>
            <w:bottom w:val="none" w:sz="0" w:space="0" w:color="auto"/>
            <w:right w:val="none" w:sz="0" w:space="0" w:color="auto"/>
          </w:divBdr>
        </w:div>
      </w:divsChild>
    </w:div>
    <w:div w:id="764308333">
      <w:bodyDiv w:val="1"/>
      <w:marLeft w:val="0"/>
      <w:marRight w:val="0"/>
      <w:marTop w:val="0"/>
      <w:marBottom w:val="0"/>
      <w:divBdr>
        <w:top w:val="none" w:sz="0" w:space="0" w:color="auto"/>
        <w:left w:val="none" w:sz="0" w:space="0" w:color="auto"/>
        <w:bottom w:val="none" w:sz="0" w:space="0" w:color="auto"/>
        <w:right w:val="none" w:sz="0" w:space="0" w:color="auto"/>
      </w:divBdr>
      <w:divsChild>
        <w:div w:id="1192110131">
          <w:marLeft w:val="0"/>
          <w:marRight w:val="0"/>
          <w:marTop w:val="0"/>
          <w:marBottom w:val="0"/>
          <w:divBdr>
            <w:top w:val="none" w:sz="0" w:space="0" w:color="auto"/>
            <w:left w:val="none" w:sz="0" w:space="0" w:color="auto"/>
            <w:bottom w:val="none" w:sz="0" w:space="0" w:color="auto"/>
            <w:right w:val="none" w:sz="0" w:space="0" w:color="auto"/>
          </w:divBdr>
        </w:div>
      </w:divsChild>
    </w:div>
    <w:div w:id="806359512">
      <w:bodyDiv w:val="1"/>
      <w:marLeft w:val="0"/>
      <w:marRight w:val="0"/>
      <w:marTop w:val="0"/>
      <w:marBottom w:val="0"/>
      <w:divBdr>
        <w:top w:val="none" w:sz="0" w:space="0" w:color="auto"/>
        <w:left w:val="none" w:sz="0" w:space="0" w:color="auto"/>
        <w:bottom w:val="none" w:sz="0" w:space="0" w:color="auto"/>
        <w:right w:val="none" w:sz="0" w:space="0" w:color="auto"/>
      </w:divBdr>
      <w:divsChild>
        <w:div w:id="435909404">
          <w:marLeft w:val="0"/>
          <w:marRight w:val="0"/>
          <w:marTop w:val="0"/>
          <w:marBottom w:val="0"/>
          <w:divBdr>
            <w:top w:val="none" w:sz="0" w:space="0" w:color="auto"/>
            <w:left w:val="none" w:sz="0" w:space="0" w:color="auto"/>
            <w:bottom w:val="none" w:sz="0" w:space="0" w:color="auto"/>
            <w:right w:val="none" w:sz="0" w:space="0" w:color="auto"/>
          </w:divBdr>
        </w:div>
      </w:divsChild>
    </w:div>
    <w:div w:id="815992457">
      <w:bodyDiv w:val="1"/>
      <w:marLeft w:val="0"/>
      <w:marRight w:val="0"/>
      <w:marTop w:val="0"/>
      <w:marBottom w:val="0"/>
      <w:divBdr>
        <w:top w:val="none" w:sz="0" w:space="0" w:color="auto"/>
        <w:left w:val="none" w:sz="0" w:space="0" w:color="auto"/>
        <w:bottom w:val="none" w:sz="0" w:space="0" w:color="auto"/>
        <w:right w:val="none" w:sz="0" w:space="0" w:color="auto"/>
      </w:divBdr>
      <w:divsChild>
        <w:div w:id="650328539">
          <w:marLeft w:val="0"/>
          <w:marRight w:val="0"/>
          <w:marTop w:val="0"/>
          <w:marBottom w:val="0"/>
          <w:divBdr>
            <w:top w:val="none" w:sz="0" w:space="0" w:color="auto"/>
            <w:left w:val="none" w:sz="0" w:space="0" w:color="auto"/>
            <w:bottom w:val="none" w:sz="0" w:space="0" w:color="auto"/>
            <w:right w:val="none" w:sz="0" w:space="0" w:color="auto"/>
          </w:divBdr>
        </w:div>
      </w:divsChild>
    </w:div>
    <w:div w:id="846678311">
      <w:bodyDiv w:val="1"/>
      <w:marLeft w:val="0"/>
      <w:marRight w:val="0"/>
      <w:marTop w:val="0"/>
      <w:marBottom w:val="0"/>
      <w:divBdr>
        <w:top w:val="none" w:sz="0" w:space="0" w:color="auto"/>
        <w:left w:val="none" w:sz="0" w:space="0" w:color="auto"/>
        <w:bottom w:val="none" w:sz="0" w:space="0" w:color="auto"/>
        <w:right w:val="none" w:sz="0" w:space="0" w:color="auto"/>
      </w:divBdr>
    </w:div>
    <w:div w:id="886842306">
      <w:bodyDiv w:val="1"/>
      <w:marLeft w:val="0"/>
      <w:marRight w:val="0"/>
      <w:marTop w:val="0"/>
      <w:marBottom w:val="0"/>
      <w:divBdr>
        <w:top w:val="none" w:sz="0" w:space="0" w:color="auto"/>
        <w:left w:val="none" w:sz="0" w:space="0" w:color="auto"/>
        <w:bottom w:val="none" w:sz="0" w:space="0" w:color="auto"/>
        <w:right w:val="none" w:sz="0" w:space="0" w:color="auto"/>
      </w:divBdr>
    </w:div>
    <w:div w:id="897475504">
      <w:bodyDiv w:val="1"/>
      <w:marLeft w:val="0"/>
      <w:marRight w:val="0"/>
      <w:marTop w:val="0"/>
      <w:marBottom w:val="0"/>
      <w:divBdr>
        <w:top w:val="none" w:sz="0" w:space="0" w:color="auto"/>
        <w:left w:val="none" w:sz="0" w:space="0" w:color="auto"/>
        <w:bottom w:val="none" w:sz="0" w:space="0" w:color="auto"/>
        <w:right w:val="none" w:sz="0" w:space="0" w:color="auto"/>
      </w:divBdr>
      <w:divsChild>
        <w:div w:id="995301636">
          <w:marLeft w:val="0"/>
          <w:marRight w:val="0"/>
          <w:marTop w:val="0"/>
          <w:marBottom w:val="0"/>
          <w:divBdr>
            <w:top w:val="none" w:sz="0" w:space="0" w:color="auto"/>
            <w:left w:val="none" w:sz="0" w:space="0" w:color="auto"/>
            <w:bottom w:val="none" w:sz="0" w:space="0" w:color="auto"/>
            <w:right w:val="none" w:sz="0" w:space="0" w:color="auto"/>
          </w:divBdr>
        </w:div>
      </w:divsChild>
    </w:div>
    <w:div w:id="922563541">
      <w:bodyDiv w:val="1"/>
      <w:marLeft w:val="0"/>
      <w:marRight w:val="0"/>
      <w:marTop w:val="0"/>
      <w:marBottom w:val="0"/>
      <w:divBdr>
        <w:top w:val="none" w:sz="0" w:space="0" w:color="auto"/>
        <w:left w:val="none" w:sz="0" w:space="0" w:color="auto"/>
        <w:bottom w:val="none" w:sz="0" w:space="0" w:color="auto"/>
        <w:right w:val="none" w:sz="0" w:space="0" w:color="auto"/>
      </w:divBdr>
      <w:divsChild>
        <w:div w:id="356127703">
          <w:marLeft w:val="0"/>
          <w:marRight w:val="0"/>
          <w:marTop w:val="0"/>
          <w:marBottom w:val="0"/>
          <w:divBdr>
            <w:top w:val="none" w:sz="0" w:space="0" w:color="auto"/>
            <w:left w:val="none" w:sz="0" w:space="0" w:color="auto"/>
            <w:bottom w:val="none" w:sz="0" w:space="0" w:color="auto"/>
            <w:right w:val="none" w:sz="0" w:space="0" w:color="auto"/>
          </w:divBdr>
        </w:div>
      </w:divsChild>
    </w:div>
    <w:div w:id="1077937862">
      <w:bodyDiv w:val="1"/>
      <w:marLeft w:val="0"/>
      <w:marRight w:val="0"/>
      <w:marTop w:val="0"/>
      <w:marBottom w:val="0"/>
      <w:divBdr>
        <w:top w:val="none" w:sz="0" w:space="0" w:color="auto"/>
        <w:left w:val="none" w:sz="0" w:space="0" w:color="auto"/>
        <w:bottom w:val="none" w:sz="0" w:space="0" w:color="auto"/>
        <w:right w:val="none" w:sz="0" w:space="0" w:color="auto"/>
      </w:divBdr>
      <w:divsChild>
        <w:div w:id="2073193184">
          <w:marLeft w:val="0"/>
          <w:marRight w:val="0"/>
          <w:marTop w:val="0"/>
          <w:marBottom w:val="0"/>
          <w:divBdr>
            <w:top w:val="none" w:sz="0" w:space="0" w:color="auto"/>
            <w:left w:val="none" w:sz="0" w:space="0" w:color="auto"/>
            <w:bottom w:val="none" w:sz="0" w:space="0" w:color="auto"/>
            <w:right w:val="none" w:sz="0" w:space="0" w:color="auto"/>
          </w:divBdr>
        </w:div>
      </w:divsChild>
    </w:div>
    <w:div w:id="1081214116">
      <w:bodyDiv w:val="1"/>
      <w:marLeft w:val="0"/>
      <w:marRight w:val="0"/>
      <w:marTop w:val="0"/>
      <w:marBottom w:val="0"/>
      <w:divBdr>
        <w:top w:val="none" w:sz="0" w:space="0" w:color="auto"/>
        <w:left w:val="none" w:sz="0" w:space="0" w:color="auto"/>
        <w:bottom w:val="none" w:sz="0" w:space="0" w:color="auto"/>
        <w:right w:val="none" w:sz="0" w:space="0" w:color="auto"/>
      </w:divBdr>
      <w:divsChild>
        <w:div w:id="1876697205">
          <w:marLeft w:val="0"/>
          <w:marRight w:val="0"/>
          <w:marTop w:val="0"/>
          <w:marBottom w:val="0"/>
          <w:divBdr>
            <w:top w:val="none" w:sz="0" w:space="0" w:color="auto"/>
            <w:left w:val="none" w:sz="0" w:space="0" w:color="auto"/>
            <w:bottom w:val="none" w:sz="0" w:space="0" w:color="auto"/>
            <w:right w:val="none" w:sz="0" w:space="0" w:color="auto"/>
          </w:divBdr>
        </w:div>
      </w:divsChild>
    </w:div>
    <w:div w:id="1140996178">
      <w:bodyDiv w:val="1"/>
      <w:marLeft w:val="0"/>
      <w:marRight w:val="0"/>
      <w:marTop w:val="0"/>
      <w:marBottom w:val="0"/>
      <w:divBdr>
        <w:top w:val="none" w:sz="0" w:space="0" w:color="auto"/>
        <w:left w:val="none" w:sz="0" w:space="0" w:color="auto"/>
        <w:bottom w:val="none" w:sz="0" w:space="0" w:color="auto"/>
        <w:right w:val="none" w:sz="0" w:space="0" w:color="auto"/>
      </w:divBdr>
      <w:divsChild>
        <w:div w:id="369916034">
          <w:marLeft w:val="0"/>
          <w:marRight w:val="0"/>
          <w:marTop w:val="0"/>
          <w:marBottom w:val="0"/>
          <w:divBdr>
            <w:top w:val="none" w:sz="0" w:space="0" w:color="auto"/>
            <w:left w:val="none" w:sz="0" w:space="0" w:color="auto"/>
            <w:bottom w:val="none" w:sz="0" w:space="0" w:color="auto"/>
            <w:right w:val="none" w:sz="0" w:space="0" w:color="auto"/>
          </w:divBdr>
        </w:div>
      </w:divsChild>
    </w:div>
    <w:div w:id="1260143299">
      <w:bodyDiv w:val="1"/>
      <w:marLeft w:val="0"/>
      <w:marRight w:val="0"/>
      <w:marTop w:val="0"/>
      <w:marBottom w:val="0"/>
      <w:divBdr>
        <w:top w:val="none" w:sz="0" w:space="0" w:color="auto"/>
        <w:left w:val="none" w:sz="0" w:space="0" w:color="auto"/>
        <w:bottom w:val="none" w:sz="0" w:space="0" w:color="auto"/>
        <w:right w:val="none" w:sz="0" w:space="0" w:color="auto"/>
      </w:divBdr>
    </w:div>
    <w:div w:id="1299215918">
      <w:bodyDiv w:val="1"/>
      <w:marLeft w:val="0"/>
      <w:marRight w:val="0"/>
      <w:marTop w:val="0"/>
      <w:marBottom w:val="0"/>
      <w:divBdr>
        <w:top w:val="none" w:sz="0" w:space="0" w:color="auto"/>
        <w:left w:val="none" w:sz="0" w:space="0" w:color="auto"/>
        <w:bottom w:val="none" w:sz="0" w:space="0" w:color="auto"/>
        <w:right w:val="none" w:sz="0" w:space="0" w:color="auto"/>
      </w:divBdr>
      <w:divsChild>
        <w:div w:id="414328400">
          <w:marLeft w:val="0"/>
          <w:marRight w:val="0"/>
          <w:marTop w:val="0"/>
          <w:marBottom w:val="0"/>
          <w:divBdr>
            <w:top w:val="none" w:sz="0" w:space="0" w:color="auto"/>
            <w:left w:val="none" w:sz="0" w:space="0" w:color="auto"/>
            <w:bottom w:val="none" w:sz="0" w:space="0" w:color="auto"/>
            <w:right w:val="none" w:sz="0" w:space="0" w:color="auto"/>
          </w:divBdr>
        </w:div>
      </w:divsChild>
    </w:div>
    <w:div w:id="1508249082">
      <w:bodyDiv w:val="1"/>
      <w:marLeft w:val="0"/>
      <w:marRight w:val="0"/>
      <w:marTop w:val="0"/>
      <w:marBottom w:val="0"/>
      <w:divBdr>
        <w:top w:val="none" w:sz="0" w:space="0" w:color="auto"/>
        <w:left w:val="none" w:sz="0" w:space="0" w:color="auto"/>
        <w:bottom w:val="none" w:sz="0" w:space="0" w:color="auto"/>
        <w:right w:val="none" w:sz="0" w:space="0" w:color="auto"/>
      </w:divBdr>
      <w:divsChild>
        <w:div w:id="1515193146">
          <w:marLeft w:val="0"/>
          <w:marRight w:val="0"/>
          <w:marTop w:val="0"/>
          <w:marBottom w:val="0"/>
          <w:divBdr>
            <w:top w:val="none" w:sz="0" w:space="0" w:color="auto"/>
            <w:left w:val="none" w:sz="0" w:space="0" w:color="auto"/>
            <w:bottom w:val="none" w:sz="0" w:space="0" w:color="auto"/>
            <w:right w:val="none" w:sz="0" w:space="0" w:color="auto"/>
          </w:divBdr>
        </w:div>
      </w:divsChild>
    </w:div>
    <w:div w:id="1599679607">
      <w:bodyDiv w:val="1"/>
      <w:marLeft w:val="0"/>
      <w:marRight w:val="0"/>
      <w:marTop w:val="0"/>
      <w:marBottom w:val="0"/>
      <w:divBdr>
        <w:top w:val="none" w:sz="0" w:space="0" w:color="auto"/>
        <w:left w:val="none" w:sz="0" w:space="0" w:color="auto"/>
        <w:bottom w:val="none" w:sz="0" w:space="0" w:color="auto"/>
        <w:right w:val="none" w:sz="0" w:space="0" w:color="auto"/>
      </w:divBdr>
      <w:divsChild>
        <w:div w:id="1435250430">
          <w:marLeft w:val="0"/>
          <w:marRight w:val="0"/>
          <w:marTop w:val="0"/>
          <w:marBottom w:val="0"/>
          <w:divBdr>
            <w:top w:val="none" w:sz="0" w:space="0" w:color="auto"/>
            <w:left w:val="none" w:sz="0" w:space="0" w:color="auto"/>
            <w:bottom w:val="none" w:sz="0" w:space="0" w:color="auto"/>
            <w:right w:val="none" w:sz="0" w:space="0" w:color="auto"/>
          </w:divBdr>
        </w:div>
      </w:divsChild>
    </w:div>
    <w:div w:id="1776172048">
      <w:bodyDiv w:val="1"/>
      <w:marLeft w:val="0"/>
      <w:marRight w:val="0"/>
      <w:marTop w:val="0"/>
      <w:marBottom w:val="0"/>
      <w:divBdr>
        <w:top w:val="none" w:sz="0" w:space="0" w:color="auto"/>
        <w:left w:val="none" w:sz="0" w:space="0" w:color="auto"/>
        <w:bottom w:val="none" w:sz="0" w:space="0" w:color="auto"/>
        <w:right w:val="none" w:sz="0" w:space="0" w:color="auto"/>
      </w:divBdr>
      <w:divsChild>
        <w:div w:id="21054251">
          <w:marLeft w:val="0"/>
          <w:marRight w:val="0"/>
          <w:marTop w:val="0"/>
          <w:marBottom w:val="0"/>
          <w:divBdr>
            <w:top w:val="none" w:sz="0" w:space="0" w:color="auto"/>
            <w:left w:val="none" w:sz="0" w:space="0" w:color="auto"/>
            <w:bottom w:val="none" w:sz="0" w:space="0" w:color="auto"/>
            <w:right w:val="none" w:sz="0" w:space="0" w:color="auto"/>
          </w:divBdr>
        </w:div>
      </w:divsChild>
    </w:div>
    <w:div w:id="1783569557">
      <w:bodyDiv w:val="1"/>
      <w:marLeft w:val="0"/>
      <w:marRight w:val="0"/>
      <w:marTop w:val="0"/>
      <w:marBottom w:val="0"/>
      <w:divBdr>
        <w:top w:val="none" w:sz="0" w:space="0" w:color="auto"/>
        <w:left w:val="none" w:sz="0" w:space="0" w:color="auto"/>
        <w:bottom w:val="none" w:sz="0" w:space="0" w:color="auto"/>
        <w:right w:val="none" w:sz="0" w:space="0" w:color="auto"/>
      </w:divBdr>
    </w:div>
    <w:div w:id="1799839357">
      <w:bodyDiv w:val="1"/>
      <w:marLeft w:val="0"/>
      <w:marRight w:val="0"/>
      <w:marTop w:val="0"/>
      <w:marBottom w:val="0"/>
      <w:divBdr>
        <w:top w:val="none" w:sz="0" w:space="0" w:color="auto"/>
        <w:left w:val="none" w:sz="0" w:space="0" w:color="auto"/>
        <w:bottom w:val="none" w:sz="0" w:space="0" w:color="auto"/>
        <w:right w:val="none" w:sz="0" w:space="0" w:color="auto"/>
      </w:divBdr>
      <w:divsChild>
        <w:div w:id="1416706001">
          <w:marLeft w:val="0"/>
          <w:marRight w:val="0"/>
          <w:marTop w:val="0"/>
          <w:marBottom w:val="0"/>
          <w:divBdr>
            <w:top w:val="none" w:sz="0" w:space="0" w:color="auto"/>
            <w:left w:val="none" w:sz="0" w:space="0" w:color="auto"/>
            <w:bottom w:val="none" w:sz="0" w:space="0" w:color="auto"/>
            <w:right w:val="none" w:sz="0" w:space="0" w:color="auto"/>
          </w:divBdr>
        </w:div>
      </w:divsChild>
    </w:div>
    <w:div w:id="1841970200">
      <w:bodyDiv w:val="1"/>
      <w:marLeft w:val="0"/>
      <w:marRight w:val="0"/>
      <w:marTop w:val="0"/>
      <w:marBottom w:val="0"/>
      <w:divBdr>
        <w:top w:val="none" w:sz="0" w:space="0" w:color="auto"/>
        <w:left w:val="none" w:sz="0" w:space="0" w:color="auto"/>
        <w:bottom w:val="none" w:sz="0" w:space="0" w:color="auto"/>
        <w:right w:val="none" w:sz="0" w:space="0" w:color="auto"/>
      </w:divBdr>
    </w:div>
    <w:div w:id="1866869945">
      <w:bodyDiv w:val="1"/>
      <w:marLeft w:val="0"/>
      <w:marRight w:val="0"/>
      <w:marTop w:val="0"/>
      <w:marBottom w:val="0"/>
      <w:divBdr>
        <w:top w:val="none" w:sz="0" w:space="0" w:color="auto"/>
        <w:left w:val="none" w:sz="0" w:space="0" w:color="auto"/>
        <w:bottom w:val="none" w:sz="0" w:space="0" w:color="auto"/>
        <w:right w:val="none" w:sz="0" w:space="0" w:color="auto"/>
      </w:divBdr>
      <w:divsChild>
        <w:div w:id="1540507829">
          <w:marLeft w:val="0"/>
          <w:marRight w:val="0"/>
          <w:marTop w:val="0"/>
          <w:marBottom w:val="0"/>
          <w:divBdr>
            <w:top w:val="none" w:sz="0" w:space="0" w:color="auto"/>
            <w:left w:val="none" w:sz="0" w:space="0" w:color="auto"/>
            <w:bottom w:val="none" w:sz="0" w:space="0" w:color="auto"/>
            <w:right w:val="none" w:sz="0" w:space="0" w:color="auto"/>
          </w:divBdr>
        </w:div>
      </w:divsChild>
    </w:div>
    <w:div w:id="1956061244">
      <w:bodyDiv w:val="1"/>
      <w:marLeft w:val="0"/>
      <w:marRight w:val="0"/>
      <w:marTop w:val="0"/>
      <w:marBottom w:val="0"/>
      <w:divBdr>
        <w:top w:val="none" w:sz="0" w:space="0" w:color="auto"/>
        <w:left w:val="none" w:sz="0" w:space="0" w:color="auto"/>
        <w:bottom w:val="none" w:sz="0" w:space="0" w:color="auto"/>
        <w:right w:val="none" w:sz="0" w:space="0" w:color="auto"/>
      </w:divBdr>
      <w:divsChild>
        <w:div w:id="1221747211">
          <w:marLeft w:val="0"/>
          <w:marRight w:val="0"/>
          <w:marTop w:val="0"/>
          <w:marBottom w:val="0"/>
          <w:divBdr>
            <w:top w:val="none" w:sz="0" w:space="0" w:color="auto"/>
            <w:left w:val="none" w:sz="0" w:space="0" w:color="auto"/>
            <w:bottom w:val="none" w:sz="0" w:space="0" w:color="auto"/>
            <w:right w:val="none" w:sz="0" w:space="0" w:color="auto"/>
          </w:divBdr>
        </w:div>
      </w:divsChild>
    </w:div>
    <w:div w:id="2003120433">
      <w:bodyDiv w:val="1"/>
      <w:marLeft w:val="0"/>
      <w:marRight w:val="0"/>
      <w:marTop w:val="0"/>
      <w:marBottom w:val="0"/>
      <w:divBdr>
        <w:top w:val="none" w:sz="0" w:space="0" w:color="auto"/>
        <w:left w:val="none" w:sz="0" w:space="0" w:color="auto"/>
        <w:bottom w:val="none" w:sz="0" w:space="0" w:color="auto"/>
        <w:right w:val="none" w:sz="0" w:space="0" w:color="auto"/>
      </w:divBdr>
      <w:divsChild>
        <w:div w:id="946691455">
          <w:marLeft w:val="0"/>
          <w:marRight w:val="0"/>
          <w:marTop w:val="0"/>
          <w:marBottom w:val="0"/>
          <w:divBdr>
            <w:top w:val="none" w:sz="0" w:space="0" w:color="auto"/>
            <w:left w:val="none" w:sz="0" w:space="0" w:color="auto"/>
            <w:bottom w:val="none" w:sz="0" w:space="0" w:color="auto"/>
            <w:right w:val="none" w:sz="0" w:space="0" w:color="auto"/>
          </w:divBdr>
        </w:div>
      </w:divsChild>
    </w:div>
    <w:div w:id="2041542267">
      <w:bodyDiv w:val="1"/>
      <w:marLeft w:val="0"/>
      <w:marRight w:val="0"/>
      <w:marTop w:val="0"/>
      <w:marBottom w:val="0"/>
      <w:divBdr>
        <w:top w:val="none" w:sz="0" w:space="0" w:color="auto"/>
        <w:left w:val="none" w:sz="0" w:space="0" w:color="auto"/>
        <w:bottom w:val="none" w:sz="0" w:space="0" w:color="auto"/>
        <w:right w:val="none" w:sz="0" w:space="0" w:color="auto"/>
      </w:divBdr>
      <w:divsChild>
        <w:div w:id="1598252326">
          <w:marLeft w:val="0"/>
          <w:marRight w:val="0"/>
          <w:marTop w:val="0"/>
          <w:marBottom w:val="0"/>
          <w:divBdr>
            <w:top w:val="none" w:sz="0" w:space="0" w:color="auto"/>
            <w:left w:val="none" w:sz="0" w:space="0" w:color="auto"/>
            <w:bottom w:val="none" w:sz="0" w:space="0" w:color="auto"/>
            <w:right w:val="none" w:sz="0" w:space="0" w:color="auto"/>
          </w:divBdr>
        </w:div>
      </w:divsChild>
    </w:div>
    <w:div w:id="2102948761">
      <w:bodyDiv w:val="1"/>
      <w:marLeft w:val="0"/>
      <w:marRight w:val="0"/>
      <w:marTop w:val="0"/>
      <w:marBottom w:val="0"/>
      <w:divBdr>
        <w:top w:val="none" w:sz="0" w:space="0" w:color="auto"/>
        <w:left w:val="none" w:sz="0" w:space="0" w:color="auto"/>
        <w:bottom w:val="none" w:sz="0" w:space="0" w:color="auto"/>
        <w:right w:val="none" w:sz="0" w:space="0" w:color="auto"/>
      </w:divBdr>
      <w:divsChild>
        <w:div w:id="1053386275">
          <w:marLeft w:val="0"/>
          <w:marRight w:val="0"/>
          <w:marTop w:val="0"/>
          <w:marBottom w:val="0"/>
          <w:divBdr>
            <w:top w:val="none" w:sz="0" w:space="0" w:color="auto"/>
            <w:left w:val="none" w:sz="0" w:space="0" w:color="auto"/>
            <w:bottom w:val="none" w:sz="0" w:space="0" w:color="auto"/>
            <w:right w:val="none" w:sz="0" w:space="0" w:color="auto"/>
          </w:divBdr>
        </w:div>
      </w:divsChild>
    </w:div>
    <w:div w:id="2117870338">
      <w:bodyDiv w:val="1"/>
      <w:marLeft w:val="0"/>
      <w:marRight w:val="0"/>
      <w:marTop w:val="0"/>
      <w:marBottom w:val="0"/>
      <w:divBdr>
        <w:top w:val="none" w:sz="0" w:space="0" w:color="auto"/>
        <w:left w:val="none" w:sz="0" w:space="0" w:color="auto"/>
        <w:bottom w:val="none" w:sz="0" w:space="0" w:color="auto"/>
        <w:right w:val="none" w:sz="0" w:space="0" w:color="auto"/>
      </w:divBdr>
    </w:div>
    <w:div w:id="2137529180">
      <w:bodyDiv w:val="1"/>
      <w:marLeft w:val="0"/>
      <w:marRight w:val="0"/>
      <w:marTop w:val="0"/>
      <w:marBottom w:val="0"/>
      <w:divBdr>
        <w:top w:val="none" w:sz="0" w:space="0" w:color="auto"/>
        <w:left w:val="none" w:sz="0" w:space="0" w:color="auto"/>
        <w:bottom w:val="none" w:sz="0" w:space="0" w:color="auto"/>
        <w:right w:val="none" w:sz="0" w:space="0" w:color="auto"/>
      </w:divBdr>
    </w:div>
    <w:div w:id="2138989156">
      <w:bodyDiv w:val="1"/>
      <w:marLeft w:val="0"/>
      <w:marRight w:val="0"/>
      <w:marTop w:val="0"/>
      <w:marBottom w:val="0"/>
      <w:divBdr>
        <w:top w:val="none" w:sz="0" w:space="0" w:color="auto"/>
        <w:left w:val="none" w:sz="0" w:space="0" w:color="auto"/>
        <w:bottom w:val="none" w:sz="0" w:space="0" w:color="auto"/>
        <w:right w:val="none" w:sz="0" w:space="0" w:color="auto"/>
      </w:divBdr>
      <w:divsChild>
        <w:div w:id="2823511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sites/default/files/documents/2020/12/indigenous-australians-health-programme-primary-health-care-funding-model-location-and-need-how-to-find-the-correct-multiplie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igenousphcpolicy@health.gov.au"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aihw.gov.au/about-our-data/our-data-collections/online-services-report-osr" TargetMode="External"/><Relationship Id="rId1" Type="http://schemas.openxmlformats.org/officeDocument/2006/relationships/hyperlink" Target="https://www.grants.gov.au/Go/Show?GoUuid=b44d14b8-b9b3-4d02-8b6b-1c085f38259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7b5d65-6a7b-4d29-8058-532dd865f997">
      <Terms xmlns="http://schemas.microsoft.com/office/infopath/2007/PartnerControls"/>
    </lcf76f155ced4ddcb4097134ff3c332f>
    <TaxCatchAll xmlns="1ce55e6e-06dd-4e73-9374-e006fe8d8563" xsi:nil="true"/>
    <_Flow_SignoffStatus xmlns="8d7b5d65-6a7b-4d29-8058-532dd865f9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5" ma:contentTypeDescription="Create a new document." ma:contentTypeScope="" ma:versionID="66004409216926aaf7cf3ec2b6b5de4e">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55b59f3639c1d48e840641c8ce4a710"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6ca32-48b2-4698-babb-1801969a8e37}"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A439A-E607-42C0-9647-A570304CB997}">
  <ds:schemaRefs>
    <ds:schemaRef ds:uri="http://schemas.microsoft.com/sharepoint/v3/contenttype/forms"/>
  </ds:schemaRefs>
</ds:datastoreItem>
</file>

<file path=customXml/itemProps2.xml><?xml version="1.0" encoding="utf-8"?>
<ds:datastoreItem xmlns:ds="http://schemas.openxmlformats.org/officeDocument/2006/customXml" ds:itemID="{1BEBC11E-B105-4E9A-9734-C901E34C38B7}">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3.xml><?xml version="1.0" encoding="utf-8"?>
<ds:datastoreItem xmlns:ds="http://schemas.openxmlformats.org/officeDocument/2006/customXml" ds:itemID="{EB6BF724-0C7E-4C44-AC43-E17391E7EDD8}">
  <ds:schemaRefs>
    <ds:schemaRef ds:uri="http://schemas.openxmlformats.org/officeDocument/2006/bibliography"/>
  </ds:schemaRefs>
</ds:datastoreItem>
</file>

<file path=customXml/itemProps4.xml><?xml version="1.0" encoding="utf-8"?>
<ds:datastoreItem xmlns:ds="http://schemas.openxmlformats.org/officeDocument/2006/customXml" ds:itemID="{7CBAB394-2A88-4140-8167-0100BAA11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Overview and calculation steps – IAHP primary health care funding model technical factsheet</vt:lpstr>
    </vt:vector>
  </TitlesOfParts>
  <Company/>
  <LinksUpToDate>false</LinksUpToDate>
  <CharactersWithSpaces>10608</CharactersWithSpaces>
  <SharedDoc>false</SharedDoc>
  <HLinks>
    <vt:vector size="36" baseType="variant">
      <vt:variant>
        <vt:i4>1572978</vt:i4>
      </vt:variant>
      <vt:variant>
        <vt:i4>18</vt:i4>
      </vt:variant>
      <vt:variant>
        <vt:i4>0</vt:i4>
      </vt:variant>
      <vt:variant>
        <vt:i4>5</vt:i4>
      </vt:variant>
      <vt:variant>
        <vt:lpwstr>mailto:indigenousphcpolicy@health.gov.au</vt:lpwstr>
      </vt:variant>
      <vt:variant>
        <vt:lpwstr/>
      </vt:variant>
      <vt:variant>
        <vt:i4>8323156</vt:i4>
      </vt:variant>
      <vt:variant>
        <vt:i4>9</vt:i4>
      </vt:variant>
      <vt:variant>
        <vt:i4>0</vt:i4>
      </vt:variant>
      <vt:variant>
        <vt:i4>5</vt:i4>
      </vt:variant>
      <vt:variant>
        <vt:lpwstr/>
      </vt:variant>
      <vt:variant>
        <vt:lpwstr>_Table_1._Definition</vt:lpwstr>
      </vt:variant>
      <vt:variant>
        <vt:i4>3080301</vt:i4>
      </vt:variant>
      <vt:variant>
        <vt:i4>6</vt:i4>
      </vt:variant>
      <vt:variant>
        <vt:i4>0</vt:i4>
      </vt:variant>
      <vt:variant>
        <vt:i4>5</vt:i4>
      </vt:variant>
      <vt:variant>
        <vt:lpwstr>https://www.health.gov.au/sites/default/files/documents/2020/12/indigenous-australians-health-programme-primary-health-care-funding-model-location-and-need-how-to-find-the-correct-multiplier.pdf</vt:lpwstr>
      </vt:variant>
      <vt:variant>
        <vt:lpwstr/>
      </vt:variant>
      <vt:variant>
        <vt:i4>2228305</vt:i4>
      </vt:variant>
      <vt:variant>
        <vt:i4>0</vt:i4>
      </vt:variant>
      <vt:variant>
        <vt:i4>0</vt:i4>
      </vt:variant>
      <vt:variant>
        <vt:i4>5</vt:i4>
      </vt:variant>
      <vt:variant>
        <vt:lpwstr/>
      </vt:variant>
      <vt:variant>
        <vt:lpwstr>_bookmark0</vt:lpwstr>
      </vt:variant>
      <vt:variant>
        <vt:i4>2228284</vt:i4>
      </vt:variant>
      <vt:variant>
        <vt:i4>3</vt:i4>
      </vt:variant>
      <vt:variant>
        <vt:i4>0</vt:i4>
      </vt:variant>
      <vt:variant>
        <vt:i4>5</vt:i4>
      </vt:variant>
      <vt:variant>
        <vt:lpwstr>https://www.aihw.gov.au/about-our-data/our-data-collections/online-services-report-osr</vt:lpwstr>
      </vt:variant>
      <vt:variant>
        <vt:lpwstr/>
      </vt:variant>
      <vt:variant>
        <vt:i4>5046285</vt:i4>
      </vt:variant>
      <vt:variant>
        <vt:i4>0</vt:i4>
      </vt:variant>
      <vt:variant>
        <vt:i4>0</vt:i4>
      </vt:variant>
      <vt:variant>
        <vt:i4>5</vt:i4>
      </vt:variant>
      <vt:variant>
        <vt:lpwstr>https://www.grants.gov.au/Go/Show?GoUuid=b44d14b8-b9b3-4d02-8b6b-1c085f382594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and calculation steps – IAHP primary health care funding model technical factsheet</dc:title>
  <dc:subject>Primary health</dc:subject>
  <dc:creator>Australian Government Department of Health and Aged Care</dc:creator>
  <cp:keywords>Aboriginal and Torres Strait Islander health</cp:keywords>
  <dc:description/>
  <cp:lastPrinted>2024-11-16T22:17:00Z</cp:lastPrinted>
  <dcterms:created xsi:type="dcterms:W3CDTF">2026-06-17T00:57:00Z</dcterms:created>
  <dcterms:modified xsi:type="dcterms:W3CDTF">2026-06-17T00:57:00Z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326a4d59,1b8443de,74817aae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7e266a1,46968805,277c2592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2026-03-04T02:48:00Z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22389592-05ef-439e-8b8e-3becb20589e6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