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438007F1" w:rsidR="00751A23" w:rsidRPr="00EA55D0" w:rsidRDefault="005B5C98" w:rsidP="005D4A3F">
      <w:pPr>
        <w:pStyle w:val="Title"/>
        <w:rPr>
          <w:rFonts w:cs="Arial"/>
        </w:rPr>
      </w:pPr>
      <w:r w:rsidRPr="00EA55D0">
        <w:rPr>
          <w:rFonts w:cs="Arial"/>
        </w:rPr>
        <w:t>Aged Care</w:t>
      </w:r>
      <w:r w:rsidR="002116E9" w:rsidRPr="00EA55D0">
        <w:rPr>
          <w:rFonts w:cs="Arial"/>
        </w:rPr>
        <w:t xml:space="preserve"> Financial Report | Guidance and FAQs</w:t>
      </w:r>
    </w:p>
    <w:p w14:paraId="615DE290" w14:textId="77777777" w:rsidR="00751A23" w:rsidRPr="00EA55D0" w:rsidRDefault="001D306E" w:rsidP="006249DC">
      <w:pPr>
        <w:pStyle w:val="Subtitle"/>
        <w:rPr>
          <w:rFonts w:cs="Arial"/>
        </w:rPr>
      </w:pPr>
      <w:r w:rsidRPr="00EA55D0">
        <w:rPr>
          <w:rFonts w:cs="Arial"/>
        </w:rPr>
        <w:t>2025-26</w:t>
      </w:r>
      <w:r w:rsidR="005B5C98" w:rsidRPr="00EA55D0">
        <w:rPr>
          <w:rFonts w:cs="Arial"/>
        </w:rPr>
        <w:t xml:space="preserve"> Financial Year</w:t>
      </w:r>
    </w:p>
    <w:p w14:paraId="77704821" w14:textId="2C65404E" w:rsidR="00062656" w:rsidRPr="00EA55D0" w:rsidRDefault="00062656" w:rsidP="00ED3ABB">
      <w:pPr>
        <w:pStyle w:val="Date"/>
        <w:sectPr w:rsidR="00062656" w:rsidRPr="00EA55D0"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EA55D0">
        <w:t>Version 1.0</w:t>
      </w:r>
    </w:p>
    <w:p w14:paraId="298C14F3" w14:textId="77777777" w:rsidR="006C4E9C" w:rsidRPr="00E333F2" w:rsidRDefault="006C4E9C" w:rsidP="00E333F2">
      <w:r w:rsidRPr="00E333F2">
        <w:rPr>
          <w:noProof/>
        </w:rPr>
        <w:lastRenderedPageBreak/>
        <w:drawing>
          <wp:anchor distT="0" distB="0" distL="114300" distR="114300" simplePos="0" relativeHeight="251658242"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E333F2">
        <w:br w:type="page"/>
      </w:r>
    </w:p>
    <w:p w14:paraId="777B80A4" w14:textId="77777777" w:rsidR="00BC1D5B" w:rsidRPr="00EA55D0" w:rsidRDefault="00BC1D5B" w:rsidP="006162AB">
      <w:pPr>
        <w:pStyle w:val="FigureTitle"/>
      </w:pPr>
      <w:r w:rsidRPr="00EA55D0">
        <w:lastRenderedPageBreak/>
        <w:t>Version History </w:t>
      </w:r>
    </w:p>
    <w:p w14:paraId="58030EFC" w14:textId="77DA2159" w:rsidR="00BC1D5B" w:rsidRPr="00EA55D0" w:rsidRDefault="00BC1D5B" w:rsidP="00BC1D5B">
      <w:pPr>
        <w:rPr>
          <w:rFonts w:cs="Arial"/>
        </w:rPr>
      </w:pPr>
      <w:r w:rsidRPr="00EA55D0">
        <w:rPr>
          <w:rFonts w:cs="Arial"/>
        </w:rPr>
        <w:t xml:space="preserve">The Department of Health, Disability and Ageing (department) will continue to update this Guidance and FAQs document throughout the 2025-26 financial year. The table </w:t>
      </w:r>
      <w:r w:rsidR="00925F12" w:rsidRPr="00EA55D0">
        <w:rPr>
          <w:rFonts w:cs="Arial"/>
        </w:rPr>
        <w:t xml:space="preserve">below </w:t>
      </w:r>
      <w:r w:rsidRPr="00EA55D0">
        <w:rPr>
          <w:rFonts w:cs="Arial"/>
        </w:rPr>
        <w:t>will reflect changes as new information is added or updated.</w:t>
      </w:r>
    </w:p>
    <w:tbl>
      <w:tblPr>
        <w:tblStyle w:val="TableGrid"/>
        <w:tblpPr w:leftFromText="180" w:rightFromText="180" w:vertAnchor="page" w:horzAnchor="margin" w:tblpY="3766"/>
        <w:tblW w:w="9067" w:type="dxa"/>
        <w:tblLook w:val="04A0" w:firstRow="1" w:lastRow="0" w:firstColumn="1" w:lastColumn="0" w:noHBand="0" w:noVBand="1"/>
      </w:tblPr>
      <w:tblGrid>
        <w:gridCol w:w="988"/>
        <w:gridCol w:w="3685"/>
        <w:gridCol w:w="4394"/>
      </w:tblGrid>
      <w:tr w:rsidR="00921A58" w:rsidRPr="00EA55D0" w14:paraId="23C59996" w14:textId="77777777" w:rsidTr="003B66FC">
        <w:trPr>
          <w:cnfStyle w:val="100000000000" w:firstRow="1" w:lastRow="0" w:firstColumn="0" w:lastColumn="0" w:oddVBand="0" w:evenVBand="0" w:oddHBand="0" w:evenHBand="0" w:firstRowFirstColumn="0" w:firstRowLastColumn="0" w:lastRowFirstColumn="0" w:lastRowLastColumn="0"/>
          <w:trHeight w:val="420"/>
          <w:tblHeader/>
        </w:trPr>
        <w:tc>
          <w:tcPr>
            <w:tcW w:w="988" w:type="dxa"/>
          </w:tcPr>
          <w:p w14:paraId="7400592E" w14:textId="77777777" w:rsidR="00921A58" w:rsidRPr="00EA55D0" w:rsidRDefault="00921A58" w:rsidP="00921A58">
            <w:pPr>
              <w:pStyle w:val="FigureTitle"/>
              <w:rPr>
                <w:rFonts w:cs="Arial"/>
                <w:sz w:val="20"/>
                <w:szCs w:val="20"/>
              </w:rPr>
            </w:pPr>
            <w:r w:rsidRPr="00EA55D0">
              <w:rPr>
                <w:rFonts w:cs="Arial"/>
                <w:sz w:val="20"/>
                <w:szCs w:val="20"/>
              </w:rPr>
              <w:t>Version</w:t>
            </w:r>
          </w:p>
        </w:tc>
        <w:tc>
          <w:tcPr>
            <w:tcW w:w="3685" w:type="dxa"/>
          </w:tcPr>
          <w:p w14:paraId="4C6A2289" w14:textId="77777777" w:rsidR="00921A58" w:rsidRPr="00EA55D0" w:rsidRDefault="00921A58" w:rsidP="00921A58">
            <w:pPr>
              <w:pStyle w:val="FigureTitle"/>
              <w:rPr>
                <w:rFonts w:cs="Arial"/>
                <w:sz w:val="20"/>
                <w:szCs w:val="20"/>
              </w:rPr>
            </w:pPr>
            <w:r w:rsidRPr="00EA55D0">
              <w:rPr>
                <w:rFonts w:cs="Arial"/>
                <w:sz w:val="20"/>
                <w:szCs w:val="20"/>
              </w:rPr>
              <w:t>Date</w:t>
            </w:r>
          </w:p>
        </w:tc>
        <w:tc>
          <w:tcPr>
            <w:tcW w:w="4394" w:type="dxa"/>
          </w:tcPr>
          <w:p w14:paraId="1EBBC01B" w14:textId="77777777" w:rsidR="00921A58" w:rsidRPr="00EA55D0" w:rsidRDefault="00921A58" w:rsidP="00921A58">
            <w:pPr>
              <w:pStyle w:val="FigureTitle"/>
              <w:rPr>
                <w:rFonts w:cs="Arial"/>
                <w:sz w:val="20"/>
                <w:szCs w:val="20"/>
              </w:rPr>
            </w:pPr>
            <w:r w:rsidRPr="00EA55D0">
              <w:rPr>
                <w:rFonts w:cs="Arial"/>
                <w:sz w:val="20"/>
                <w:szCs w:val="20"/>
              </w:rPr>
              <w:t>Explanation of changes</w:t>
            </w:r>
          </w:p>
        </w:tc>
      </w:tr>
      <w:tr w:rsidR="00921A58" w:rsidRPr="00EA55D0" w14:paraId="46EEE2D0" w14:textId="77777777" w:rsidTr="003B66FC">
        <w:trPr>
          <w:trHeight w:val="611"/>
        </w:trPr>
        <w:tc>
          <w:tcPr>
            <w:tcW w:w="988" w:type="dxa"/>
          </w:tcPr>
          <w:p w14:paraId="6EA1D7CC" w14:textId="77777777" w:rsidR="00921A58" w:rsidRPr="00EA55D0" w:rsidRDefault="00921A58" w:rsidP="00921A58">
            <w:pPr>
              <w:pStyle w:val="FigureTitle"/>
              <w:rPr>
                <w:rFonts w:cs="Arial"/>
                <w:b w:val="0"/>
              </w:rPr>
            </w:pPr>
            <w:r w:rsidRPr="00EA55D0">
              <w:rPr>
                <w:rFonts w:cs="Arial"/>
                <w:b w:val="0"/>
              </w:rPr>
              <w:t>1.0</w:t>
            </w:r>
          </w:p>
        </w:tc>
        <w:tc>
          <w:tcPr>
            <w:tcW w:w="3685" w:type="dxa"/>
          </w:tcPr>
          <w:p w14:paraId="51E091D0" w14:textId="4BAEA343" w:rsidR="00921A58" w:rsidRPr="00EA55D0" w:rsidRDefault="00921A58" w:rsidP="00921A58">
            <w:pPr>
              <w:pStyle w:val="FigureTitle"/>
              <w:rPr>
                <w:rFonts w:cs="Arial"/>
                <w:b w:val="0"/>
              </w:rPr>
            </w:pPr>
            <w:r w:rsidRPr="00EA55D0">
              <w:rPr>
                <w:rFonts w:cs="Arial"/>
                <w:b w:val="0"/>
              </w:rPr>
              <w:t>22 September 2025</w:t>
            </w:r>
          </w:p>
        </w:tc>
        <w:tc>
          <w:tcPr>
            <w:tcW w:w="4394" w:type="dxa"/>
          </w:tcPr>
          <w:p w14:paraId="2F46B733" w14:textId="657E2A58" w:rsidR="00921A58" w:rsidRPr="00EA55D0" w:rsidRDefault="00921A58" w:rsidP="00921A58">
            <w:pPr>
              <w:pStyle w:val="FigureTitle"/>
              <w:rPr>
                <w:rFonts w:cs="Arial"/>
                <w:b w:val="0"/>
              </w:rPr>
            </w:pPr>
            <w:r w:rsidRPr="00EA55D0">
              <w:rPr>
                <w:rFonts w:cs="Arial"/>
                <w:b w:val="0"/>
              </w:rPr>
              <w:t>Updated for changes in financial reporting from 1 November 2025.</w:t>
            </w:r>
          </w:p>
        </w:tc>
      </w:tr>
    </w:tbl>
    <w:p w14:paraId="0D16A9D8" w14:textId="77777777" w:rsidR="003B6FB7" w:rsidRPr="00F32566" w:rsidRDefault="003B6FB7" w:rsidP="00F32566">
      <w:r w:rsidRPr="00F32566">
        <w:br w:type="page"/>
      </w:r>
    </w:p>
    <w:p w14:paraId="2D7BDE8F" w14:textId="2F1D2B66" w:rsidR="00DD6906" w:rsidRPr="00EA55D0" w:rsidRDefault="00DD6906" w:rsidP="00E61D43">
      <w:pPr>
        <w:pStyle w:val="FigureTitle"/>
        <w:rPr>
          <w:rFonts w:cs="Arial"/>
          <w:sz w:val="60"/>
          <w:szCs w:val="60"/>
        </w:rPr>
      </w:pPr>
      <w:r w:rsidRPr="00EA55D0">
        <w:rPr>
          <w:rFonts w:cs="Arial"/>
          <w:sz w:val="60"/>
          <w:szCs w:val="60"/>
        </w:rPr>
        <w:lastRenderedPageBreak/>
        <w:t>Contents</w:t>
      </w:r>
    </w:p>
    <w:p w14:paraId="58A07D4E" w14:textId="3247212A" w:rsidR="003B66FC" w:rsidRDefault="0045279B">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09774710" w:history="1">
        <w:r w:rsidR="003B66FC" w:rsidRPr="00A224EA">
          <w:rPr>
            <w:rStyle w:val="Hyperlink"/>
            <w:noProof/>
          </w:rPr>
          <w:t>1</w:t>
        </w:r>
        <w:r w:rsidR="003B66FC">
          <w:rPr>
            <w:rFonts w:asciiTheme="minorHAnsi" w:eastAsiaTheme="minorEastAsia" w:hAnsiTheme="minorHAnsi" w:cstheme="minorBidi"/>
            <w:b w:val="0"/>
            <w:bCs w:val="0"/>
            <w:noProof/>
            <w:color w:val="auto"/>
            <w:kern w:val="2"/>
            <w:szCs w:val="24"/>
            <w:lang w:eastAsia="ja-JP"/>
            <w14:ligatures w14:val="standardContextual"/>
          </w:rPr>
          <w:tab/>
        </w:r>
        <w:r w:rsidR="003B66FC" w:rsidRPr="00A224EA">
          <w:rPr>
            <w:rStyle w:val="Hyperlink"/>
            <w:noProof/>
          </w:rPr>
          <w:t>Introduction</w:t>
        </w:r>
        <w:r w:rsidR="003B66FC">
          <w:rPr>
            <w:noProof/>
            <w:webHidden/>
          </w:rPr>
          <w:tab/>
        </w:r>
        <w:r w:rsidR="003B66FC">
          <w:rPr>
            <w:noProof/>
            <w:webHidden/>
          </w:rPr>
          <w:fldChar w:fldCharType="begin"/>
        </w:r>
        <w:r w:rsidR="003B66FC">
          <w:rPr>
            <w:noProof/>
            <w:webHidden/>
          </w:rPr>
          <w:instrText xml:space="preserve"> PAGEREF _Toc209774710 \h </w:instrText>
        </w:r>
        <w:r w:rsidR="003B66FC">
          <w:rPr>
            <w:noProof/>
            <w:webHidden/>
          </w:rPr>
        </w:r>
        <w:r w:rsidR="003B66FC">
          <w:rPr>
            <w:noProof/>
            <w:webHidden/>
          </w:rPr>
          <w:fldChar w:fldCharType="separate"/>
        </w:r>
        <w:r w:rsidR="003F5AC3">
          <w:rPr>
            <w:noProof/>
            <w:webHidden/>
          </w:rPr>
          <w:t>6</w:t>
        </w:r>
        <w:r w:rsidR="003B66FC">
          <w:rPr>
            <w:noProof/>
            <w:webHidden/>
          </w:rPr>
          <w:fldChar w:fldCharType="end"/>
        </w:r>
      </w:hyperlink>
    </w:p>
    <w:p w14:paraId="1FF3F20E" w14:textId="70A89765"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1" w:history="1">
        <w:r w:rsidRPr="00A224EA">
          <w:rPr>
            <w:rStyle w:val="Hyperlink"/>
            <w:noProof/>
          </w:rPr>
          <w:t>2</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Changes to the ACFR from 1 November 2025</w:t>
        </w:r>
        <w:r>
          <w:rPr>
            <w:noProof/>
            <w:webHidden/>
          </w:rPr>
          <w:tab/>
        </w:r>
        <w:r>
          <w:rPr>
            <w:noProof/>
            <w:webHidden/>
          </w:rPr>
          <w:fldChar w:fldCharType="begin"/>
        </w:r>
        <w:r>
          <w:rPr>
            <w:noProof/>
            <w:webHidden/>
          </w:rPr>
          <w:instrText xml:space="preserve"> PAGEREF _Toc209774711 \h </w:instrText>
        </w:r>
        <w:r>
          <w:rPr>
            <w:noProof/>
            <w:webHidden/>
          </w:rPr>
        </w:r>
        <w:r>
          <w:rPr>
            <w:noProof/>
            <w:webHidden/>
          </w:rPr>
          <w:fldChar w:fldCharType="separate"/>
        </w:r>
        <w:r w:rsidR="003F5AC3">
          <w:rPr>
            <w:noProof/>
            <w:webHidden/>
          </w:rPr>
          <w:t>13</w:t>
        </w:r>
        <w:r>
          <w:rPr>
            <w:noProof/>
            <w:webHidden/>
          </w:rPr>
          <w:fldChar w:fldCharType="end"/>
        </w:r>
      </w:hyperlink>
    </w:p>
    <w:p w14:paraId="6C99B8F5" w14:textId="35951437"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2" w:history="1">
        <w:r w:rsidRPr="00A224EA">
          <w:rPr>
            <w:rStyle w:val="Hyperlink"/>
            <w:noProof/>
          </w:rPr>
          <w:t>3</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Guidance &amp; FAQs</w:t>
        </w:r>
        <w:r>
          <w:rPr>
            <w:noProof/>
            <w:webHidden/>
          </w:rPr>
          <w:tab/>
        </w:r>
        <w:r>
          <w:rPr>
            <w:noProof/>
            <w:webHidden/>
          </w:rPr>
          <w:fldChar w:fldCharType="begin"/>
        </w:r>
        <w:r>
          <w:rPr>
            <w:noProof/>
            <w:webHidden/>
          </w:rPr>
          <w:instrText xml:space="preserve"> PAGEREF _Toc209774712 \h </w:instrText>
        </w:r>
        <w:r>
          <w:rPr>
            <w:noProof/>
            <w:webHidden/>
          </w:rPr>
        </w:r>
        <w:r>
          <w:rPr>
            <w:noProof/>
            <w:webHidden/>
          </w:rPr>
          <w:fldChar w:fldCharType="separate"/>
        </w:r>
        <w:r w:rsidR="003F5AC3">
          <w:rPr>
            <w:noProof/>
            <w:webHidden/>
          </w:rPr>
          <w:t>17</w:t>
        </w:r>
        <w:r>
          <w:rPr>
            <w:noProof/>
            <w:webHidden/>
          </w:rPr>
          <w:fldChar w:fldCharType="end"/>
        </w:r>
      </w:hyperlink>
    </w:p>
    <w:p w14:paraId="60597FD8" w14:textId="215275FD"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3" w:history="1">
        <w:r w:rsidRPr="00A224EA">
          <w:rPr>
            <w:rStyle w:val="Hyperlink"/>
            <w:noProof/>
          </w:rPr>
          <w:t>4</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Consolidated Segment Report</w:t>
        </w:r>
        <w:r>
          <w:rPr>
            <w:noProof/>
            <w:webHidden/>
          </w:rPr>
          <w:tab/>
        </w:r>
        <w:r>
          <w:rPr>
            <w:noProof/>
            <w:webHidden/>
          </w:rPr>
          <w:fldChar w:fldCharType="begin"/>
        </w:r>
        <w:r>
          <w:rPr>
            <w:noProof/>
            <w:webHidden/>
          </w:rPr>
          <w:instrText xml:space="preserve"> PAGEREF _Toc209774713 \h </w:instrText>
        </w:r>
        <w:r>
          <w:rPr>
            <w:noProof/>
            <w:webHidden/>
          </w:rPr>
        </w:r>
        <w:r>
          <w:rPr>
            <w:noProof/>
            <w:webHidden/>
          </w:rPr>
          <w:fldChar w:fldCharType="separate"/>
        </w:r>
        <w:r w:rsidR="003F5AC3">
          <w:rPr>
            <w:noProof/>
            <w:webHidden/>
          </w:rPr>
          <w:t>21</w:t>
        </w:r>
        <w:r>
          <w:rPr>
            <w:noProof/>
            <w:webHidden/>
          </w:rPr>
          <w:fldChar w:fldCharType="end"/>
        </w:r>
      </w:hyperlink>
    </w:p>
    <w:p w14:paraId="648A7096" w14:textId="57E54B5D"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4" w:history="1">
        <w:r w:rsidRPr="00A224EA">
          <w:rPr>
            <w:rStyle w:val="Hyperlink"/>
            <w:noProof/>
          </w:rPr>
          <w:t>5</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Registered Provider reporting</w:t>
        </w:r>
        <w:r>
          <w:rPr>
            <w:noProof/>
            <w:webHidden/>
          </w:rPr>
          <w:tab/>
        </w:r>
        <w:r>
          <w:rPr>
            <w:noProof/>
            <w:webHidden/>
          </w:rPr>
          <w:fldChar w:fldCharType="begin"/>
        </w:r>
        <w:r>
          <w:rPr>
            <w:noProof/>
            <w:webHidden/>
          </w:rPr>
          <w:instrText xml:space="preserve"> PAGEREF _Toc209774714 \h </w:instrText>
        </w:r>
        <w:r>
          <w:rPr>
            <w:noProof/>
            <w:webHidden/>
          </w:rPr>
        </w:r>
        <w:r>
          <w:rPr>
            <w:noProof/>
            <w:webHidden/>
          </w:rPr>
          <w:fldChar w:fldCharType="separate"/>
        </w:r>
        <w:r w:rsidR="003F5AC3">
          <w:rPr>
            <w:noProof/>
            <w:webHidden/>
          </w:rPr>
          <w:t>23</w:t>
        </w:r>
        <w:r>
          <w:rPr>
            <w:noProof/>
            <w:webHidden/>
          </w:rPr>
          <w:fldChar w:fldCharType="end"/>
        </w:r>
      </w:hyperlink>
    </w:p>
    <w:p w14:paraId="2E0E12A5" w14:textId="311F1124"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5" w:history="1">
        <w:r w:rsidRPr="00A224EA">
          <w:rPr>
            <w:rStyle w:val="Hyperlink"/>
            <w:noProof/>
          </w:rPr>
          <w:t>6</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General Purpose Financial Statement</w:t>
        </w:r>
        <w:r>
          <w:rPr>
            <w:noProof/>
            <w:webHidden/>
          </w:rPr>
          <w:tab/>
        </w:r>
        <w:r>
          <w:rPr>
            <w:noProof/>
            <w:webHidden/>
          </w:rPr>
          <w:fldChar w:fldCharType="begin"/>
        </w:r>
        <w:r>
          <w:rPr>
            <w:noProof/>
            <w:webHidden/>
          </w:rPr>
          <w:instrText xml:space="preserve"> PAGEREF _Toc209774715 \h </w:instrText>
        </w:r>
        <w:r>
          <w:rPr>
            <w:noProof/>
            <w:webHidden/>
          </w:rPr>
        </w:r>
        <w:r>
          <w:rPr>
            <w:noProof/>
            <w:webHidden/>
          </w:rPr>
          <w:fldChar w:fldCharType="separate"/>
        </w:r>
        <w:r w:rsidR="003F5AC3">
          <w:rPr>
            <w:noProof/>
            <w:webHidden/>
          </w:rPr>
          <w:t>27</w:t>
        </w:r>
        <w:r>
          <w:rPr>
            <w:noProof/>
            <w:webHidden/>
          </w:rPr>
          <w:fldChar w:fldCharType="end"/>
        </w:r>
      </w:hyperlink>
    </w:p>
    <w:p w14:paraId="6CEE09D9" w14:textId="515B5D11"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6" w:history="1">
        <w:r w:rsidRPr="00A224EA">
          <w:rPr>
            <w:rStyle w:val="Hyperlink"/>
            <w:noProof/>
          </w:rPr>
          <w:t>7</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Residential Aged Care reporting</w:t>
        </w:r>
        <w:r>
          <w:rPr>
            <w:noProof/>
            <w:webHidden/>
          </w:rPr>
          <w:tab/>
        </w:r>
        <w:r>
          <w:rPr>
            <w:noProof/>
            <w:webHidden/>
          </w:rPr>
          <w:fldChar w:fldCharType="begin"/>
        </w:r>
        <w:r>
          <w:rPr>
            <w:noProof/>
            <w:webHidden/>
          </w:rPr>
          <w:instrText xml:space="preserve"> PAGEREF _Toc209774716 \h </w:instrText>
        </w:r>
        <w:r>
          <w:rPr>
            <w:noProof/>
            <w:webHidden/>
          </w:rPr>
        </w:r>
        <w:r>
          <w:rPr>
            <w:noProof/>
            <w:webHidden/>
          </w:rPr>
          <w:fldChar w:fldCharType="separate"/>
        </w:r>
        <w:r w:rsidR="003F5AC3">
          <w:rPr>
            <w:noProof/>
            <w:webHidden/>
          </w:rPr>
          <w:t>29</w:t>
        </w:r>
        <w:r>
          <w:rPr>
            <w:noProof/>
            <w:webHidden/>
          </w:rPr>
          <w:fldChar w:fldCharType="end"/>
        </w:r>
      </w:hyperlink>
    </w:p>
    <w:p w14:paraId="02FCB5BC" w14:textId="705C7C0E"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7" w:history="1">
        <w:r w:rsidRPr="00A224EA">
          <w:rPr>
            <w:rStyle w:val="Hyperlink"/>
            <w:noProof/>
          </w:rPr>
          <w:t>8</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Short-Term Restorative Care reporting</w:t>
        </w:r>
        <w:r>
          <w:rPr>
            <w:noProof/>
            <w:webHidden/>
          </w:rPr>
          <w:tab/>
        </w:r>
        <w:r>
          <w:rPr>
            <w:noProof/>
            <w:webHidden/>
          </w:rPr>
          <w:fldChar w:fldCharType="begin"/>
        </w:r>
        <w:r>
          <w:rPr>
            <w:noProof/>
            <w:webHidden/>
          </w:rPr>
          <w:instrText xml:space="preserve"> PAGEREF _Toc209774717 \h </w:instrText>
        </w:r>
        <w:r>
          <w:rPr>
            <w:noProof/>
            <w:webHidden/>
          </w:rPr>
        </w:r>
        <w:r>
          <w:rPr>
            <w:noProof/>
            <w:webHidden/>
          </w:rPr>
          <w:fldChar w:fldCharType="separate"/>
        </w:r>
        <w:r w:rsidR="003F5AC3">
          <w:rPr>
            <w:noProof/>
            <w:webHidden/>
          </w:rPr>
          <w:t>38</w:t>
        </w:r>
        <w:r>
          <w:rPr>
            <w:noProof/>
            <w:webHidden/>
          </w:rPr>
          <w:fldChar w:fldCharType="end"/>
        </w:r>
      </w:hyperlink>
    </w:p>
    <w:p w14:paraId="33D48FFD" w14:textId="2D404A00" w:rsidR="003B66FC" w:rsidRDefault="003B66FC">
      <w:pPr>
        <w:pStyle w:val="TOC1"/>
        <w:tabs>
          <w:tab w:val="left" w:pos="480"/>
        </w:tabs>
        <w:rPr>
          <w:rFonts w:asciiTheme="minorHAnsi" w:eastAsiaTheme="minorEastAsia" w:hAnsiTheme="minorHAnsi" w:cstheme="minorBidi"/>
          <w:b w:val="0"/>
          <w:bCs w:val="0"/>
          <w:noProof/>
          <w:color w:val="auto"/>
          <w:kern w:val="2"/>
          <w:szCs w:val="24"/>
          <w:lang w:eastAsia="ja-JP"/>
          <w14:ligatures w14:val="standardContextual"/>
        </w:rPr>
      </w:pPr>
      <w:hyperlink w:anchor="_Toc209774718" w:history="1">
        <w:r w:rsidRPr="00A224EA">
          <w:rPr>
            <w:rStyle w:val="Hyperlink"/>
            <w:noProof/>
          </w:rPr>
          <w:t>9</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Home Care Packages Program and Support at Home program reporting</w:t>
        </w:r>
        <w:r>
          <w:rPr>
            <w:noProof/>
            <w:webHidden/>
          </w:rPr>
          <w:tab/>
        </w:r>
        <w:r>
          <w:rPr>
            <w:noProof/>
            <w:webHidden/>
          </w:rPr>
          <w:fldChar w:fldCharType="begin"/>
        </w:r>
        <w:r>
          <w:rPr>
            <w:noProof/>
            <w:webHidden/>
          </w:rPr>
          <w:instrText xml:space="preserve"> PAGEREF _Toc209774718 \h </w:instrText>
        </w:r>
        <w:r>
          <w:rPr>
            <w:noProof/>
            <w:webHidden/>
          </w:rPr>
        </w:r>
        <w:r>
          <w:rPr>
            <w:noProof/>
            <w:webHidden/>
          </w:rPr>
          <w:fldChar w:fldCharType="separate"/>
        </w:r>
        <w:r w:rsidR="003F5AC3">
          <w:rPr>
            <w:noProof/>
            <w:webHidden/>
          </w:rPr>
          <w:t>39</w:t>
        </w:r>
        <w:r>
          <w:rPr>
            <w:noProof/>
            <w:webHidden/>
          </w:rPr>
          <w:fldChar w:fldCharType="end"/>
        </w:r>
      </w:hyperlink>
    </w:p>
    <w:p w14:paraId="7CA4BA92" w14:textId="0767041B"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19" w:history="1">
        <w:r w:rsidRPr="00A224EA">
          <w:rPr>
            <w:rStyle w:val="Hyperlink"/>
            <w:noProof/>
          </w:rPr>
          <w:t>10</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noProof/>
          </w:rPr>
          <w:t>Annual Prudential Compliance Statement</w:t>
        </w:r>
        <w:r>
          <w:rPr>
            <w:noProof/>
            <w:webHidden/>
          </w:rPr>
          <w:tab/>
        </w:r>
        <w:r>
          <w:rPr>
            <w:noProof/>
            <w:webHidden/>
          </w:rPr>
          <w:fldChar w:fldCharType="begin"/>
        </w:r>
        <w:r>
          <w:rPr>
            <w:noProof/>
            <w:webHidden/>
          </w:rPr>
          <w:instrText xml:space="preserve"> PAGEREF _Toc209774719 \h </w:instrText>
        </w:r>
        <w:r>
          <w:rPr>
            <w:noProof/>
            <w:webHidden/>
          </w:rPr>
        </w:r>
        <w:r>
          <w:rPr>
            <w:noProof/>
            <w:webHidden/>
          </w:rPr>
          <w:fldChar w:fldCharType="separate"/>
        </w:r>
        <w:r w:rsidR="003F5AC3">
          <w:rPr>
            <w:noProof/>
            <w:webHidden/>
          </w:rPr>
          <w:t>51</w:t>
        </w:r>
        <w:r>
          <w:rPr>
            <w:noProof/>
            <w:webHidden/>
          </w:rPr>
          <w:fldChar w:fldCharType="end"/>
        </w:r>
      </w:hyperlink>
    </w:p>
    <w:p w14:paraId="569665D4" w14:textId="4637EADF"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20" w:history="1">
        <w:r w:rsidRPr="00A224EA">
          <w:rPr>
            <w:rStyle w:val="Hyperlink"/>
            <w:rFonts w:eastAsia="Calibri Light"/>
            <w:noProof/>
          </w:rPr>
          <w:t>11</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_Toc209774720 \h </w:instrText>
        </w:r>
        <w:r>
          <w:rPr>
            <w:noProof/>
            <w:webHidden/>
          </w:rPr>
        </w:r>
        <w:r>
          <w:rPr>
            <w:noProof/>
            <w:webHidden/>
          </w:rPr>
          <w:fldChar w:fldCharType="separate"/>
        </w:r>
        <w:r w:rsidR="003F5AC3">
          <w:rPr>
            <w:noProof/>
            <w:webHidden/>
          </w:rPr>
          <w:t>51</w:t>
        </w:r>
        <w:r>
          <w:rPr>
            <w:noProof/>
            <w:webHidden/>
          </w:rPr>
          <w:fldChar w:fldCharType="end"/>
        </w:r>
      </w:hyperlink>
    </w:p>
    <w:p w14:paraId="62CD5A58" w14:textId="5AF33163" w:rsidR="003B66FC" w:rsidRDefault="003B66FC">
      <w:pPr>
        <w:pStyle w:val="TOC1"/>
        <w:tabs>
          <w:tab w:val="left" w:pos="720"/>
        </w:tabs>
        <w:rPr>
          <w:rFonts w:asciiTheme="minorHAnsi" w:eastAsiaTheme="minorEastAsia" w:hAnsiTheme="minorHAnsi" w:cstheme="minorBidi"/>
          <w:b w:val="0"/>
          <w:bCs w:val="0"/>
          <w:noProof/>
          <w:color w:val="auto"/>
          <w:kern w:val="2"/>
          <w:szCs w:val="24"/>
          <w:lang w:eastAsia="ja-JP"/>
          <w14:ligatures w14:val="standardContextual"/>
        </w:rPr>
      </w:pPr>
      <w:hyperlink w:anchor="_Toc209774721" w:history="1">
        <w:r w:rsidRPr="00A224EA">
          <w:rPr>
            <w:rStyle w:val="Hyperlink"/>
            <w:rFonts w:eastAsia="Calibri Light"/>
            <w:noProof/>
          </w:rPr>
          <w:t>12</w:t>
        </w:r>
        <w:r>
          <w:rPr>
            <w:rFonts w:asciiTheme="minorHAnsi" w:eastAsiaTheme="minorEastAsia" w:hAnsiTheme="minorHAnsi" w:cstheme="minorBidi"/>
            <w:b w:val="0"/>
            <w:bCs w:val="0"/>
            <w:noProof/>
            <w:color w:val="auto"/>
            <w:kern w:val="2"/>
            <w:szCs w:val="24"/>
            <w:lang w:eastAsia="ja-JP"/>
            <w14:ligatures w14:val="standardContextual"/>
          </w:rPr>
          <w:tab/>
        </w:r>
        <w:r w:rsidRPr="00A224EA">
          <w:rPr>
            <w:rStyle w:val="Hyperlink"/>
            <w:rFonts w:eastAsia="Calibri Light"/>
            <w:noProof/>
          </w:rPr>
          <w:t>Building activity by residential aged care service</w:t>
        </w:r>
        <w:r>
          <w:rPr>
            <w:noProof/>
            <w:webHidden/>
          </w:rPr>
          <w:tab/>
        </w:r>
        <w:r>
          <w:rPr>
            <w:noProof/>
            <w:webHidden/>
          </w:rPr>
          <w:fldChar w:fldCharType="begin"/>
        </w:r>
        <w:r>
          <w:rPr>
            <w:noProof/>
            <w:webHidden/>
          </w:rPr>
          <w:instrText xml:space="preserve"> PAGEREF _Toc209774721 \h </w:instrText>
        </w:r>
        <w:r>
          <w:rPr>
            <w:noProof/>
            <w:webHidden/>
          </w:rPr>
        </w:r>
        <w:r>
          <w:rPr>
            <w:noProof/>
            <w:webHidden/>
          </w:rPr>
          <w:fldChar w:fldCharType="separate"/>
        </w:r>
        <w:r w:rsidR="003F5AC3">
          <w:rPr>
            <w:noProof/>
            <w:webHidden/>
          </w:rPr>
          <w:t>53</w:t>
        </w:r>
        <w:r>
          <w:rPr>
            <w:noProof/>
            <w:webHidden/>
          </w:rPr>
          <w:fldChar w:fldCharType="end"/>
        </w:r>
      </w:hyperlink>
    </w:p>
    <w:p w14:paraId="14FCB051" w14:textId="7B0FC41F" w:rsidR="00DD694E" w:rsidRPr="00DB002E" w:rsidRDefault="0045279B" w:rsidP="00DB002E">
      <w:pPr>
        <w:rPr>
          <w:rFonts w:cs="Arial"/>
        </w:rPr>
      </w:pPr>
      <w:r>
        <w:rPr>
          <w:rFonts w:cs="Arial"/>
          <w:szCs w:val="20"/>
        </w:rPr>
        <w:fldChar w:fldCharType="end"/>
      </w:r>
      <w:r w:rsidR="00DD694E" w:rsidRPr="00EA55D0">
        <w:br w:type="page"/>
      </w:r>
    </w:p>
    <w:p w14:paraId="4F389639" w14:textId="79253B6E" w:rsidR="00DD694E" w:rsidRPr="001F3525" w:rsidRDefault="00DD694E" w:rsidP="001F3525">
      <w:r w:rsidRPr="001F3525">
        <w:rPr>
          <w:noProof/>
        </w:rPr>
        <w:lastRenderedPageBreak/>
        <mc:AlternateContent>
          <mc:Choice Requires="wps">
            <w:drawing>
              <wp:anchor distT="0" distB="0" distL="114300" distR="114300" simplePos="0" relativeHeight="251659264" behindDoc="1" locked="0" layoutInCell="1" allowOverlap="1" wp14:anchorId="2465F1C2" wp14:editId="604CA4D0">
                <wp:simplePos x="0" y="0"/>
                <wp:positionH relativeFrom="page">
                  <wp:align>left</wp:align>
                </wp:positionH>
                <wp:positionV relativeFrom="page">
                  <wp:posOffset>-417589</wp:posOffset>
                </wp:positionV>
                <wp:extent cx="7560000" cy="106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82F5" id="Rectangle 1955098640" o:spid="_x0000_s1026" alt="&quot;&quot;" style="position:absolute;margin-left:0;margin-top:-32.9pt;width:595.3pt;height:841.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" fillcolor="#1e1545 [3213]" stroked="f" strokeweight="2pt">
                <w10:wrap anchorx="page" anchory="page"/>
              </v:rect>
            </w:pict>
          </mc:Fallback>
        </mc:AlternateContent>
      </w:r>
    </w:p>
    <w:p w14:paraId="41281E37" w14:textId="526ABA02" w:rsidR="00DD694E" w:rsidRPr="00EA55D0" w:rsidRDefault="00DD694E" w:rsidP="00DD694E">
      <w:pPr>
        <w:pStyle w:val="SectionNumber"/>
        <w:rPr>
          <w:rFonts w:cs="Arial"/>
          <w:noProof w:val="0"/>
        </w:rPr>
      </w:pPr>
      <w:r w:rsidRPr="00EA55D0">
        <w:rPr>
          <w:rFonts w:cs="Arial"/>
        </w:rPr>
        <mc:AlternateContent>
          <mc:Choice Requires="wps">
            <w:drawing>
              <wp:anchor distT="0" distB="0" distL="114300" distR="114300" simplePos="0" relativeHeight="251662336" behindDoc="1" locked="0" layoutInCell="1" allowOverlap="1" wp14:anchorId="3B3E7A76" wp14:editId="66ECE319">
                <wp:simplePos x="171450" y="400050"/>
                <wp:positionH relativeFrom="page">
                  <wp:align>left</wp:align>
                </wp:positionH>
                <wp:positionV relativeFrom="page">
                  <wp:align>top</wp:align>
                </wp:positionV>
                <wp:extent cx="7560000" cy="10692000"/>
                <wp:effectExtent l="0" t="0" r="3175" b="0"/>
                <wp:wrapNone/>
                <wp:docPr id="1883609514" name="Rectangle 1883609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1BA3" id="Rectangle 1883609514" o:spid="_x0000_s1026" alt="&quot;&quot;"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EA55D0">
        <w:rPr>
          <w:rFonts w:cs="Arial"/>
          <w:noProof w:val="0"/>
        </w:rPr>
        <w:t>Introduction</w:t>
      </w:r>
    </w:p>
    <w:p w14:paraId="3B1BF979" w14:textId="38975262" w:rsidR="00DD694E" w:rsidRPr="00EA55D0" w:rsidRDefault="00DD694E" w:rsidP="002C13D1">
      <w:pPr>
        <w:pStyle w:val="Titleforpagesbetweensections"/>
      </w:pPr>
      <w:r w:rsidRPr="00EA55D0">
        <w:t xml:space="preserve">Introduction to the </w:t>
      </w:r>
      <w:r w:rsidR="001B04C4" w:rsidRPr="00EA55D0">
        <w:t>Aged Care</w:t>
      </w:r>
      <w:r w:rsidRPr="00EA55D0">
        <w:t xml:space="preserve"> Financial Report</w:t>
      </w:r>
    </w:p>
    <w:p w14:paraId="022A4F33" w14:textId="77777777" w:rsidR="00DD694E" w:rsidRPr="001F3525" w:rsidRDefault="00DD694E" w:rsidP="001F3525"/>
    <w:p w14:paraId="1D2917B6" w14:textId="48E7DD87" w:rsidR="00DD694E" w:rsidRPr="001F3525" w:rsidRDefault="00DD694E" w:rsidP="001F3525">
      <w:r w:rsidRPr="001F3525">
        <w:br w:type="page"/>
      </w:r>
    </w:p>
    <w:p w14:paraId="2BBCC96D" w14:textId="47E62ABF" w:rsidR="002116E9" w:rsidRPr="00F32566" w:rsidRDefault="002116E9" w:rsidP="00132737">
      <w:pPr>
        <w:pStyle w:val="Heading1"/>
      </w:pPr>
      <w:bookmarkStart w:id="0" w:name="_Toc209078238"/>
      <w:bookmarkStart w:id="1" w:name="_Toc209774710"/>
      <w:r w:rsidRPr="00EA55D0">
        <w:lastRenderedPageBreak/>
        <w:t>Introduction</w:t>
      </w:r>
      <w:bookmarkEnd w:id="0"/>
      <w:bookmarkEnd w:id="1"/>
    </w:p>
    <w:p w14:paraId="10CA9B13" w14:textId="5439A7C6" w:rsidR="002116E9" w:rsidRPr="00EA55D0" w:rsidRDefault="002116E9" w:rsidP="00ED3ABB">
      <w:pPr>
        <w:pStyle w:val="Header3"/>
      </w:pPr>
      <w:bookmarkStart w:id="2" w:name="_Toc209078239"/>
      <w:r w:rsidRPr="00EA55D0">
        <w:t>Purpose</w:t>
      </w:r>
      <w:bookmarkEnd w:id="2"/>
    </w:p>
    <w:p w14:paraId="14850042" w14:textId="323EB636" w:rsidR="002116E9" w:rsidRPr="00EA55D0" w:rsidRDefault="002116E9" w:rsidP="002116E9">
      <w:pPr>
        <w:rPr>
          <w:rFonts w:cs="Arial"/>
        </w:rPr>
      </w:pPr>
      <w:r w:rsidRPr="00EA55D0">
        <w:rPr>
          <w:rFonts w:cs="Arial"/>
        </w:rPr>
        <w:t xml:space="preserve">This guide is designed to assist Registered Providers of aged care </w:t>
      </w:r>
      <w:r w:rsidR="00357938" w:rsidRPr="00EA55D0">
        <w:rPr>
          <w:rFonts w:cs="Arial"/>
        </w:rPr>
        <w:t>services</w:t>
      </w:r>
      <w:r w:rsidRPr="00EA55D0">
        <w:rPr>
          <w:rFonts w:cs="Arial"/>
        </w:rPr>
        <w:t xml:space="preserve"> complete their </w:t>
      </w:r>
      <w:r w:rsidR="001B04C4" w:rsidRPr="00EA55D0">
        <w:rPr>
          <w:rFonts w:cs="Arial"/>
        </w:rPr>
        <w:t>Aged Care</w:t>
      </w:r>
      <w:r w:rsidRPr="00EA55D0">
        <w:rPr>
          <w:rFonts w:cs="Arial"/>
        </w:rPr>
        <w:t xml:space="preserve"> Financial Report (</w:t>
      </w:r>
      <w:r w:rsidR="001B04C4" w:rsidRPr="00EA55D0">
        <w:rPr>
          <w:rFonts w:cs="Arial"/>
        </w:rPr>
        <w:t>AC</w:t>
      </w:r>
      <w:r w:rsidRPr="00EA55D0">
        <w:rPr>
          <w:rFonts w:cs="Arial"/>
        </w:rPr>
        <w:t>FR)</w:t>
      </w:r>
      <w:r w:rsidR="00EB49E7" w:rsidRPr="00EA55D0">
        <w:rPr>
          <w:rFonts w:cs="Arial"/>
        </w:rPr>
        <w:t xml:space="preserve"> f</w:t>
      </w:r>
      <w:r w:rsidR="00C54BA5" w:rsidRPr="00EA55D0">
        <w:rPr>
          <w:rFonts w:cs="Arial"/>
        </w:rPr>
        <w:t>or</w:t>
      </w:r>
      <w:r w:rsidR="00EB49E7" w:rsidRPr="00EA55D0">
        <w:rPr>
          <w:rFonts w:cs="Arial"/>
        </w:rPr>
        <w:t xml:space="preserve"> 2025-26</w:t>
      </w:r>
      <w:r w:rsidRPr="00EA55D0">
        <w:rPr>
          <w:rFonts w:cs="Arial"/>
        </w:rPr>
        <w:t>.</w:t>
      </w:r>
    </w:p>
    <w:p w14:paraId="4AFCAA66" w14:textId="758FDA97" w:rsidR="002116E9" w:rsidRPr="00EA55D0" w:rsidRDefault="002116E9" w:rsidP="00ED3ABB">
      <w:pPr>
        <w:pStyle w:val="Header3"/>
      </w:pPr>
      <w:bookmarkStart w:id="3" w:name="_Toc209078240"/>
      <w:r w:rsidRPr="00EA55D0">
        <w:t>Background</w:t>
      </w:r>
      <w:bookmarkEnd w:id="3"/>
      <w:r w:rsidRPr="00EA55D0">
        <w:t xml:space="preserve"> </w:t>
      </w:r>
    </w:p>
    <w:p w14:paraId="4F9FB20E" w14:textId="3DAD6070" w:rsidR="002116E9" w:rsidRPr="00EA55D0" w:rsidRDefault="007D213E" w:rsidP="002116E9">
      <w:pPr>
        <w:rPr>
          <w:rFonts w:cs="Arial"/>
        </w:rPr>
      </w:pPr>
      <w:r w:rsidRPr="00EA55D0">
        <w:rPr>
          <w:rFonts w:cs="Arial"/>
        </w:rPr>
        <w:t xml:space="preserve">The ACFR allows the </w:t>
      </w:r>
      <w:r w:rsidR="00BF2A09" w:rsidRPr="00EA55D0">
        <w:rPr>
          <w:rFonts w:cs="Arial"/>
        </w:rPr>
        <w:t xml:space="preserve">Australian Government to collect financial information for </w:t>
      </w:r>
      <w:r w:rsidR="000A7804" w:rsidRPr="00EA55D0">
        <w:rPr>
          <w:rFonts w:cs="Arial"/>
        </w:rPr>
        <w:t>R</w:t>
      </w:r>
      <w:r w:rsidR="00901A2B" w:rsidRPr="00EA55D0">
        <w:rPr>
          <w:rFonts w:cs="Arial"/>
        </w:rPr>
        <w:t>egister</w:t>
      </w:r>
      <w:r w:rsidR="00BF2A09" w:rsidRPr="00EA55D0">
        <w:rPr>
          <w:rFonts w:cs="Arial"/>
        </w:rPr>
        <w:t xml:space="preserve">ed </w:t>
      </w:r>
      <w:r w:rsidR="00586459" w:rsidRPr="00EA55D0">
        <w:rPr>
          <w:rFonts w:cs="Arial"/>
        </w:rPr>
        <w:t>P</w:t>
      </w:r>
      <w:r w:rsidR="00BF2A09" w:rsidRPr="00EA55D0">
        <w:rPr>
          <w:rFonts w:cs="Arial"/>
        </w:rPr>
        <w:t xml:space="preserve">roviders and parent entities where applicable. </w:t>
      </w:r>
      <w:r w:rsidR="005F01A7" w:rsidRPr="00EA55D0">
        <w:rPr>
          <w:rFonts w:cs="Arial"/>
        </w:rPr>
        <w:t xml:space="preserve">It was designed to consolidate annual financial and prudential reporting </w:t>
      </w:r>
      <w:r w:rsidR="005C3431" w:rsidRPr="00EA55D0">
        <w:rPr>
          <w:rFonts w:cs="Arial"/>
        </w:rPr>
        <w:t>obligations</w:t>
      </w:r>
      <w:r w:rsidR="005F01A7" w:rsidRPr="00EA55D0">
        <w:rPr>
          <w:rFonts w:cs="Arial"/>
        </w:rPr>
        <w:t xml:space="preserve"> within a single report</w:t>
      </w:r>
      <w:r w:rsidR="005C3431" w:rsidRPr="00EA55D0">
        <w:rPr>
          <w:rFonts w:cs="Arial"/>
        </w:rPr>
        <w:t xml:space="preserve">. Some of the financial information collected through the ACFR is published in the </w:t>
      </w:r>
      <w:hyperlink r:id="rId17" w:history="1">
        <w:r w:rsidR="005C3431" w:rsidRPr="00EA55D0">
          <w:rPr>
            <w:rStyle w:val="Hyperlink"/>
            <w:rFonts w:cs="Arial"/>
          </w:rPr>
          <w:t>Financial Report on the Australian Aged Care Sector.</w:t>
        </w:r>
      </w:hyperlink>
    </w:p>
    <w:p w14:paraId="2E720FA2" w14:textId="710A7AEE" w:rsidR="002116E9" w:rsidRPr="00EA55D0" w:rsidRDefault="002116E9" w:rsidP="00ED3ABB">
      <w:pPr>
        <w:pStyle w:val="Header3"/>
      </w:pPr>
      <w:bookmarkStart w:id="4" w:name="_Toc209078241"/>
      <w:r w:rsidRPr="00EA55D0">
        <w:t>Reporting r</w:t>
      </w:r>
      <w:r w:rsidR="00207EF7" w:rsidRPr="00EA55D0">
        <w:t>equirements</w:t>
      </w:r>
      <w:bookmarkEnd w:id="4"/>
      <w:r w:rsidRPr="00EA55D0">
        <w:t xml:space="preserve"> </w:t>
      </w:r>
    </w:p>
    <w:p w14:paraId="3EEB4F5B" w14:textId="3F597E2E" w:rsidR="00EE7F39" w:rsidRPr="00E333F2" w:rsidRDefault="00EE7F39" w:rsidP="00E333F2">
      <w:pPr>
        <w:pStyle w:val="ListBullet"/>
        <w:rPr>
          <w:rFonts w:eastAsia="Calibri"/>
        </w:rPr>
      </w:pPr>
      <w:r w:rsidRPr="00E333F2">
        <w:rPr>
          <w:rFonts w:eastAsiaTheme="minorHAnsi"/>
        </w:rPr>
        <w:t xml:space="preserve">If you are a Registered Provider delivering residential aged care and/or </w:t>
      </w:r>
      <w:r w:rsidR="00CA212A" w:rsidRPr="00E333F2">
        <w:rPr>
          <w:rFonts w:eastAsiaTheme="minorHAnsi"/>
        </w:rPr>
        <w:t xml:space="preserve">the </w:t>
      </w:r>
      <w:r w:rsidRPr="00E333F2">
        <w:rPr>
          <w:rFonts w:eastAsiaTheme="minorHAnsi"/>
        </w:rPr>
        <w:t>Support at Home program,</w:t>
      </w:r>
      <w:r w:rsidRPr="00E333F2">
        <w:rPr>
          <w:rFonts w:eastAsia="Calibri"/>
        </w:rPr>
        <w:t xml:space="preserve"> you are required to submit an ACFR for 2025-26.</w:t>
      </w:r>
    </w:p>
    <w:p w14:paraId="64502674" w14:textId="5E7E9829" w:rsidR="00EE7F39" w:rsidRPr="00E333F2" w:rsidRDefault="00EE7F39" w:rsidP="00E333F2">
      <w:pPr>
        <w:pStyle w:val="ListBullet"/>
        <w:rPr>
          <w:rFonts w:eastAsia="Calibri"/>
        </w:rPr>
      </w:pPr>
      <w:r w:rsidRPr="00E333F2">
        <w:rPr>
          <w:rFonts w:eastAsiaTheme="minorHAnsi"/>
        </w:rPr>
        <w:t xml:space="preserve">If you are a </w:t>
      </w:r>
      <w:r w:rsidRPr="00E333F2">
        <w:t xml:space="preserve">Registered Provider delivering Multi-Purpose Services </w:t>
      </w:r>
      <w:r w:rsidR="00120D14" w:rsidRPr="00E333F2">
        <w:t>(MPS</w:t>
      </w:r>
      <w:r w:rsidR="000448C5" w:rsidRPr="00E333F2">
        <w:t>P</w:t>
      </w:r>
      <w:r w:rsidR="00120D14" w:rsidRPr="00E333F2">
        <w:t>)</w:t>
      </w:r>
      <w:r w:rsidRPr="00E333F2">
        <w:t xml:space="preserve"> </w:t>
      </w:r>
      <w:r w:rsidR="00796E29" w:rsidRPr="00E333F2">
        <w:t>P</w:t>
      </w:r>
      <w:r w:rsidRPr="00E333F2">
        <w:t xml:space="preserve">rogram, you will continue to complete the Annual Prudential Compliance Statement </w:t>
      </w:r>
      <w:r w:rsidR="00120D14" w:rsidRPr="00E333F2">
        <w:t xml:space="preserve">(ACPS) </w:t>
      </w:r>
      <w:r w:rsidRPr="00E333F2">
        <w:t>only in the ACFR 2025-26</w:t>
      </w:r>
      <w:r w:rsidRPr="00E333F2">
        <w:rPr>
          <w:rFonts w:eastAsia="Calibri"/>
        </w:rPr>
        <w:t>.</w:t>
      </w:r>
    </w:p>
    <w:p w14:paraId="71E02C85" w14:textId="2BC377FF" w:rsidR="00EE7F39" w:rsidRPr="00E333F2" w:rsidRDefault="00EE7F39" w:rsidP="00E333F2">
      <w:pPr>
        <w:pStyle w:val="ListBullet"/>
        <w:rPr>
          <w:rFonts w:eastAsia="Calibri"/>
        </w:rPr>
      </w:pPr>
      <w:r w:rsidRPr="00E333F2">
        <w:rPr>
          <w:rFonts w:eastAsia="Calibri"/>
        </w:rPr>
        <w:t xml:space="preserve">Providers who delivered the Home Care Packages </w:t>
      </w:r>
      <w:r w:rsidR="00AF1BD0" w:rsidRPr="00E333F2">
        <w:rPr>
          <w:rFonts w:eastAsia="Calibri"/>
        </w:rPr>
        <w:t>P</w:t>
      </w:r>
      <w:r w:rsidRPr="00E333F2">
        <w:rPr>
          <w:rFonts w:eastAsia="Calibri"/>
        </w:rPr>
        <w:t xml:space="preserve">rogram and/or the Short-Term Restorative Care (STRC) </w:t>
      </w:r>
      <w:r w:rsidR="00B601EE" w:rsidRPr="00E333F2">
        <w:rPr>
          <w:rFonts w:eastAsia="Calibri"/>
        </w:rPr>
        <w:t>P</w:t>
      </w:r>
      <w:r w:rsidRPr="00E333F2">
        <w:rPr>
          <w:rFonts w:eastAsia="Calibri"/>
        </w:rPr>
        <w:t>rogra</w:t>
      </w:r>
      <w:r w:rsidR="00B601EE" w:rsidRPr="00E333F2">
        <w:rPr>
          <w:rFonts w:eastAsia="Calibri"/>
        </w:rPr>
        <w:t>m</w:t>
      </w:r>
      <w:r w:rsidR="000957AB" w:rsidRPr="00E333F2">
        <w:rPr>
          <w:rFonts w:eastAsia="Calibri"/>
        </w:rPr>
        <w:t>me</w:t>
      </w:r>
      <w:r w:rsidRPr="00E333F2">
        <w:rPr>
          <w:rFonts w:eastAsia="Calibri"/>
        </w:rPr>
        <w:t xml:space="preserve"> up until 31 October 2025, are still required to report information in the ACFR 2025-26.</w:t>
      </w:r>
    </w:p>
    <w:p w14:paraId="2BED8392" w14:textId="0A79CB67" w:rsidR="007F701A" w:rsidRPr="00EA55D0" w:rsidRDefault="007F701A" w:rsidP="002116E9">
      <w:pPr>
        <w:rPr>
          <w:rFonts w:cs="Arial"/>
        </w:rPr>
      </w:pPr>
      <w:r w:rsidRPr="00EA55D0">
        <w:rPr>
          <w:rFonts w:cs="Arial"/>
        </w:rPr>
        <w:t xml:space="preserve">What you are required to report in the </w:t>
      </w:r>
      <w:r w:rsidR="006F4FD5" w:rsidRPr="00EA55D0">
        <w:rPr>
          <w:rFonts w:cs="Arial"/>
        </w:rPr>
        <w:t>AC</w:t>
      </w:r>
      <w:r w:rsidRPr="00EA55D0">
        <w:rPr>
          <w:rFonts w:cs="Arial"/>
        </w:rPr>
        <w:t xml:space="preserve">FR depends on the types of </w:t>
      </w:r>
      <w:r w:rsidR="00BF377E" w:rsidRPr="00EA55D0">
        <w:rPr>
          <w:rFonts w:cs="Arial"/>
        </w:rPr>
        <w:t>program</w:t>
      </w:r>
      <w:r w:rsidR="00C34B9C" w:rsidRPr="00EA55D0">
        <w:rPr>
          <w:rFonts w:cs="Arial"/>
        </w:rPr>
        <w:t>s</w:t>
      </w:r>
      <w:r w:rsidRPr="00EA55D0">
        <w:rPr>
          <w:rFonts w:cs="Arial"/>
        </w:rPr>
        <w:t xml:space="preserve"> you deliver.</w:t>
      </w:r>
    </w:p>
    <w:p w14:paraId="7D8B9E62" w14:textId="7D7CF419" w:rsidR="007F701A" w:rsidRPr="00EA55D0" w:rsidRDefault="007F701A" w:rsidP="002116E9">
      <w:pPr>
        <w:rPr>
          <w:rFonts w:cs="Arial"/>
        </w:rPr>
      </w:pPr>
      <w:r w:rsidRPr="00EA55D0">
        <w:rPr>
          <w:rFonts w:cs="Arial"/>
        </w:rPr>
        <w:t xml:space="preserve">The table below outlines the reporting </w:t>
      </w:r>
      <w:r w:rsidR="00D67BA2" w:rsidRPr="00EA55D0">
        <w:rPr>
          <w:rFonts w:cs="Arial"/>
        </w:rPr>
        <w:t>requirements</w:t>
      </w:r>
      <w:r w:rsidRPr="00EA55D0">
        <w:rPr>
          <w:rFonts w:cs="Arial"/>
        </w:rPr>
        <w:t>:</w:t>
      </w:r>
    </w:p>
    <w:tbl>
      <w:tblPr>
        <w:tblStyle w:val="PHNGreyTable"/>
        <w:tblW w:w="8744" w:type="dxa"/>
        <w:tblLook w:val="04A0" w:firstRow="1" w:lastRow="0" w:firstColumn="1" w:lastColumn="0" w:noHBand="0" w:noVBand="1"/>
      </w:tblPr>
      <w:tblGrid>
        <w:gridCol w:w="2358"/>
        <w:gridCol w:w="1385"/>
        <w:gridCol w:w="1404"/>
        <w:gridCol w:w="1350"/>
        <w:gridCol w:w="897"/>
        <w:gridCol w:w="1350"/>
      </w:tblGrid>
      <w:tr w:rsidR="00EC4C9D" w:rsidRPr="009F4F57" w14:paraId="787CE6FD" w14:textId="77777777" w:rsidTr="00F325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95" w:type="dxa"/>
            <w:vMerge w:val="restart"/>
            <w:hideMark/>
          </w:tcPr>
          <w:p w14:paraId="16262B0E" w14:textId="77777777" w:rsidR="00EC4C9D" w:rsidRPr="009F4F57" w:rsidRDefault="00EC4C9D" w:rsidP="00EC4C9D">
            <w:pPr>
              <w:rPr>
                <w:rFonts w:cs="Arial"/>
                <w:b/>
                <w:color w:val="F1F2F2" w:themeColor="background1"/>
              </w:rPr>
            </w:pPr>
            <w:r w:rsidRPr="009F4F57">
              <w:rPr>
                <w:rFonts w:cs="Arial"/>
                <w:b/>
                <w:color w:val="F1F2F2" w:themeColor="background1"/>
              </w:rPr>
              <w:t>Form Name </w:t>
            </w:r>
          </w:p>
        </w:tc>
        <w:tc>
          <w:tcPr>
            <w:tcW w:w="1391" w:type="dxa"/>
            <w:vMerge w:val="restart"/>
            <w:hideMark/>
          </w:tcPr>
          <w:p w14:paraId="514E7BF8" w14:textId="77777777"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b/>
                <w:color w:val="F1F2F2" w:themeColor="background1"/>
              </w:rPr>
              <w:t>Data Collection Level </w:t>
            </w:r>
          </w:p>
        </w:tc>
        <w:tc>
          <w:tcPr>
            <w:tcW w:w="4458" w:type="dxa"/>
            <w:gridSpan w:val="4"/>
            <w:hideMark/>
          </w:tcPr>
          <w:p w14:paraId="4AF6C8A9" w14:textId="15AA120B"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b/>
                <w:bCs/>
                <w:iCs/>
                <w:color w:val="F1F2F2" w:themeColor="background1"/>
              </w:rPr>
              <w:t>P</w:t>
            </w:r>
            <w:r w:rsidR="005C7163" w:rsidRPr="009F4F57">
              <w:rPr>
                <w:rFonts w:cs="Arial"/>
                <w:b/>
                <w:bCs/>
                <w:iCs/>
                <w:color w:val="F1F2F2" w:themeColor="background1"/>
              </w:rPr>
              <w:t>rogram</w:t>
            </w:r>
            <w:r w:rsidRPr="009F4F57">
              <w:rPr>
                <w:rFonts w:cs="Arial"/>
                <w:b/>
                <w:color w:val="F1F2F2" w:themeColor="background1"/>
              </w:rPr>
              <w:t xml:space="preserve"> Type </w:t>
            </w:r>
          </w:p>
        </w:tc>
      </w:tr>
      <w:tr w:rsidR="00EC4C9D" w:rsidRPr="009F4F57" w14:paraId="487D296A" w14:textId="77777777" w:rsidTr="00F3256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AB671D1" w14:textId="77777777" w:rsidR="00EC4C9D" w:rsidRPr="009F4F57" w:rsidRDefault="00EC4C9D" w:rsidP="00EC4C9D">
            <w:pPr>
              <w:rPr>
                <w:rFonts w:cs="Arial"/>
                <w:b/>
                <w:color w:val="F1F2F2" w:themeColor="background1"/>
              </w:rPr>
            </w:pPr>
          </w:p>
        </w:tc>
        <w:tc>
          <w:tcPr>
            <w:tcW w:w="0" w:type="auto"/>
            <w:vMerge/>
            <w:hideMark/>
          </w:tcPr>
          <w:p w14:paraId="74394D24" w14:textId="77777777" w:rsidR="00EC4C9D" w:rsidRPr="009F4F57" w:rsidRDefault="00EC4C9D" w:rsidP="00EC4C9D">
            <w:pP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p>
        </w:tc>
        <w:tc>
          <w:tcPr>
            <w:tcW w:w="1120" w:type="dxa"/>
            <w:hideMark/>
          </w:tcPr>
          <w:p w14:paraId="555165B3" w14:textId="503F82C9" w:rsidR="00EC4C9D" w:rsidRPr="009F4F57" w:rsidRDefault="00EC4C9D" w:rsidP="00C34B9C">
            <w:pPr>
              <w:jc w:val="cente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color w:val="F1F2F2" w:themeColor="background1"/>
              </w:rPr>
              <w:t xml:space="preserve">Residential </w:t>
            </w:r>
            <w:r w:rsidR="002A19E1" w:rsidRPr="009F4F57">
              <w:rPr>
                <w:rFonts w:cs="Arial"/>
                <w:color w:val="F1F2F2" w:themeColor="background1"/>
              </w:rPr>
              <w:t>Aged</w:t>
            </w:r>
            <w:r w:rsidRPr="009F4F57">
              <w:rPr>
                <w:rFonts w:cs="Arial"/>
                <w:color w:val="F1F2F2" w:themeColor="background1"/>
              </w:rPr>
              <w:t xml:space="preserve"> Care</w:t>
            </w:r>
          </w:p>
        </w:tc>
        <w:tc>
          <w:tcPr>
            <w:tcW w:w="1250" w:type="dxa"/>
            <w:hideMark/>
          </w:tcPr>
          <w:p w14:paraId="2EB7552D" w14:textId="2F893B54" w:rsidR="00EC4C9D" w:rsidRPr="009F4F57" w:rsidRDefault="002A19E1" w:rsidP="00C34B9C">
            <w:pPr>
              <w:jc w:val="center"/>
              <w:cnfStyle w:val="100000000000" w:firstRow="1" w:lastRow="0" w:firstColumn="0" w:lastColumn="0" w:oddVBand="0" w:evenVBand="0" w:oddHBand="0" w:evenHBand="0" w:firstRowFirstColumn="0" w:firstRowLastColumn="0" w:lastRowFirstColumn="0" w:lastRowLastColumn="0"/>
              <w:rPr>
                <w:rFonts w:cs="Arial"/>
                <w:b/>
                <w:color w:val="F1F2F2" w:themeColor="background1"/>
              </w:rPr>
            </w:pPr>
            <w:r w:rsidRPr="009F4F57">
              <w:rPr>
                <w:rFonts w:cs="Arial"/>
                <w:color w:val="F1F2F2" w:themeColor="background1"/>
              </w:rPr>
              <w:t>Home Care P</w:t>
            </w:r>
            <w:r w:rsidR="00B66DCF" w:rsidRPr="009F4F57">
              <w:rPr>
                <w:rFonts w:cs="Arial"/>
                <w:color w:val="F1F2F2" w:themeColor="background1"/>
              </w:rPr>
              <w:t>a</w:t>
            </w:r>
            <w:r w:rsidRPr="009F4F57">
              <w:rPr>
                <w:rFonts w:cs="Arial"/>
                <w:color w:val="F1F2F2" w:themeColor="background1"/>
              </w:rPr>
              <w:t>ckages</w:t>
            </w:r>
            <w:r w:rsidR="00B66DCF" w:rsidRPr="009F4F57">
              <w:rPr>
                <w:rFonts w:cs="Arial"/>
                <w:color w:val="F1F2F2" w:themeColor="background1"/>
              </w:rPr>
              <w:t xml:space="preserve"> /</w:t>
            </w:r>
            <w:r w:rsidR="00EC4C9D" w:rsidRPr="009F4F57">
              <w:rPr>
                <w:rFonts w:cs="Arial"/>
                <w:color w:val="F1F2F2" w:themeColor="background1"/>
              </w:rPr>
              <w:t>Support at Home</w:t>
            </w:r>
          </w:p>
        </w:tc>
        <w:tc>
          <w:tcPr>
            <w:tcW w:w="830" w:type="dxa"/>
            <w:hideMark/>
          </w:tcPr>
          <w:p w14:paraId="4A4B6E52" w14:textId="3EB5C4FB" w:rsidR="00EC4C9D" w:rsidRPr="001F3525" w:rsidRDefault="00B25139" w:rsidP="001F3525">
            <w:pPr>
              <w:cnfStyle w:val="100000000000" w:firstRow="1" w:lastRow="0" w:firstColumn="0" w:lastColumn="0" w:oddVBand="0" w:evenVBand="0" w:oddHBand="0" w:evenHBand="0" w:firstRowFirstColumn="0" w:firstRowLastColumn="0" w:lastRowFirstColumn="0" w:lastRowLastColumn="0"/>
            </w:pPr>
            <w:r w:rsidRPr="001F3525">
              <w:t>MPS</w:t>
            </w:r>
            <w:r w:rsidR="00C34B9C" w:rsidRPr="001F3525">
              <w:t>P</w:t>
            </w:r>
          </w:p>
        </w:tc>
        <w:tc>
          <w:tcPr>
            <w:tcW w:w="1258" w:type="dxa"/>
            <w:hideMark/>
          </w:tcPr>
          <w:p w14:paraId="4AD42ADC" w14:textId="5E52A540" w:rsidR="00EC4C9D" w:rsidRPr="001F3525" w:rsidRDefault="0082109C" w:rsidP="001F3525">
            <w:pPr>
              <w:cnfStyle w:val="100000000000" w:firstRow="1" w:lastRow="0" w:firstColumn="0" w:lastColumn="0" w:oddVBand="0" w:evenVBand="0" w:oddHBand="0" w:evenHBand="0" w:firstRowFirstColumn="0" w:firstRowLastColumn="0" w:lastRowFirstColumn="0" w:lastRowLastColumn="0"/>
            </w:pPr>
            <w:r w:rsidRPr="001F3525">
              <w:t>STRC</w:t>
            </w:r>
          </w:p>
        </w:tc>
      </w:tr>
      <w:tr w:rsidR="00EC4C9D" w:rsidRPr="009F4F57" w14:paraId="3E7E302E" w14:textId="77777777" w:rsidTr="00F32566">
        <w:trPr>
          <w:trHeight w:val="897"/>
        </w:trPr>
        <w:tc>
          <w:tcPr>
            <w:cnfStyle w:val="001000000000" w:firstRow="0" w:lastRow="0" w:firstColumn="1" w:lastColumn="0" w:oddVBand="0" w:evenVBand="0" w:oddHBand="0" w:evenHBand="0" w:firstRowFirstColumn="0" w:firstRowLastColumn="0" w:lastRowFirstColumn="0" w:lastRowLastColumn="0"/>
            <w:tcW w:w="2895" w:type="dxa"/>
            <w:hideMark/>
          </w:tcPr>
          <w:p w14:paraId="04AAAC24" w14:textId="35E111FD" w:rsidR="00EC4C9D" w:rsidRPr="00F32566" w:rsidRDefault="00EC4C9D" w:rsidP="00F32566">
            <w:r w:rsidRPr="00F32566">
              <w:t>Consolidated Segment Report*  </w:t>
            </w:r>
          </w:p>
        </w:tc>
        <w:tc>
          <w:tcPr>
            <w:tcW w:w="1391" w:type="dxa"/>
            <w:hideMark/>
          </w:tcPr>
          <w:p w14:paraId="229A9262"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Parent Entity or Registered Provider </w:t>
            </w:r>
          </w:p>
        </w:tc>
        <w:tc>
          <w:tcPr>
            <w:tcW w:w="1120" w:type="dxa"/>
            <w:hideMark/>
          </w:tcPr>
          <w:p w14:paraId="1EEE8103" w14:textId="0B761AF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3ED8078A" w14:textId="4CF5588F"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830" w:type="dxa"/>
            <w:hideMark/>
          </w:tcPr>
          <w:p w14:paraId="00A5FC7F" w14:textId="7B535630"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7AD452EC" w14:textId="471E736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6E92994" w14:textId="77777777" w:rsidTr="00F32566">
        <w:trPr>
          <w:trHeight w:val="1111"/>
        </w:trPr>
        <w:tc>
          <w:tcPr>
            <w:cnfStyle w:val="001000000000" w:firstRow="0" w:lastRow="0" w:firstColumn="1" w:lastColumn="0" w:oddVBand="0" w:evenVBand="0" w:oddHBand="0" w:evenHBand="0" w:firstRowFirstColumn="0" w:firstRowLastColumn="0" w:lastRowFirstColumn="0" w:lastRowLastColumn="0"/>
            <w:tcW w:w="2895" w:type="dxa"/>
            <w:hideMark/>
          </w:tcPr>
          <w:p w14:paraId="0A0B3140" w14:textId="2FF2C7E8" w:rsidR="00EC4C9D" w:rsidRPr="00F32566" w:rsidRDefault="00EC4C9D" w:rsidP="00F32566">
            <w:r w:rsidRPr="00F32566">
              <w:lastRenderedPageBreak/>
              <w:t xml:space="preserve">Registered Provider Reporting (Income and expenditure, balance sheet, cash </w:t>
            </w:r>
            <w:r w:rsidR="00D377EC" w:rsidRPr="00F32566">
              <w:t>flow) *</w:t>
            </w:r>
            <w:r w:rsidRPr="00F32566">
              <w:t> </w:t>
            </w:r>
          </w:p>
        </w:tc>
        <w:tc>
          <w:tcPr>
            <w:tcW w:w="1391" w:type="dxa"/>
            <w:hideMark/>
          </w:tcPr>
          <w:p w14:paraId="6A6D243D"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781416A4" w14:textId="763D71D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35B593A8" w14:textId="2E45D70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830" w:type="dxa"/>
            <w:hideMark/>
          </w:tcPr>
          <w:p w14:paraId="11EE5419" w14:textId="48579DD5"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7F1D022B" w14:textId="644ED03D"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50E9B4A"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09ECD348" w14:textId="7A86AA54" w:rsidR="00EC4C9D" w:rsidRPr="00F32566" w:rsidRDefault="00EC4C9D" w:rsidP="00F32566">
            <w:r w:rsidRPr="00F32566">
              <w:t>Movement Schedules* </w:t>
            </w:r>
          </w:p>
        </w:tc>
        <w:tc>
          <w:tcPr>
            <w:tcW w:w="1391" w:type="dxa"/>
            <w:hideMark/>
          </w:tcPr>
          <w:p w14:paraId="5D7233B1"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0135F288" w14:textId="3E97A886"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DA60E19" w14:textId="5B28F9E4"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36777B86" w14:textId="4E07782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20CA89A1" w14:textId="0F99E96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3A09337D"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6C682964" w14:textId="77777777" w:rsidR="00EC4C9D" w:rsidRPr="00F32566" w:rsidRDefault="00EC4C9D" w:rsidP="00F32566">
            <w:r w:rsidRPr="00F32566">
              <w:t>Residential Care Reporting (Income and expenditure, balance sheet, Care Minute Performance Statement) </w:t>
            </w:r>
          </w:p>
        </w:tc>
        <w:tc>
          <w:tcPr>
            <w:tcW w:w="1391" w:type="dxa"/>
            <w:hideMark/>
          </w:tcPr>
          <w:p w14:paraId="7308D46A"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34C9E6B6" w14:textId="1E9B0D5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40A4A5DD" w14:textId="3D5AEFE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077BEFA6" w14:textId="64B19CEC"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38A5570C" w14:textId="0CDDF230"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C650E8" w:rsidRPr="009F4F57" w14:paraId="71F1ECCE"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tcPr>
          <w:p w14:paraId="62CA581B" w14:textId="3000F287" w:rsidR="00C650E8" w:rsidRPr="00F32566" w:rsidRDefault="0021500E" w:rsidP="00F32566">
            <w:r w:rsidRPr="00F32566">
              <w:t>Home Care Pa</w:t>
            </w:r>
            <w:r w:rsidR="009A0B72" w:rsidRPr="00F32566">
              <w:t>c</w:t>
            </w:r>
            <w:r w:rsidRPr="00F32566">
              <w:t xml:space="preserve">kages / STRC / Support at Home </w:t>
            </w:r>
            <w:r w:rsidR="009A0B72" w:rsidRPr="00F32566">
              <w:t>p</w:t>
            </w:r>
            <w:r w:rsidRPr="00F32566">
              <w:t>rogram</w:t>
            </w:r>
          </w:p>
        </w:tc>
        <w:tc>
          <w:tcPr>
            <w:tcW w:w="1391" w:type="dxa"/>
          </w:tcPr>
          <w:p w14:paraId="07A2DCC1" w14:textId="43AC643C" w:rsidR="00C650E8" w:rsidRPr="009F4F57" w:rsidRDefault="00C809B1" w:rsidP="00EC4C9D">
            <w:pPr>
              <w:cnfStyle w:val="000000000000" w:firstRow="0" w:lastRow="0" w:firstColumn="0" w:lastColumn="0" w:oddVBand="0" w:evenVBand="0" w:oddHBand="0" w:evenHBand="0" w:firstRowFirstColumn="0" w:firstRowLastColumn="0" w:lastRowFirstColumn="0" w:lastRowLastColumn="0"/>
              <w:rPr>
                <w:rFonts w:cs="Arial"/>
                <w:iCs/>
              </w:rPr>
            </w:pPr>
            <w:r w:rsidRPr="009F4F57">
              <w:rPr>
                <w:rFonts w:cs="Arial"/>
                <w:iCs/>
              </w:rPr>
              <w:t xml:space="preserve">Program </w:t>
            </w:r>
            <w:r w:rsidR="008A3909" w:rsidRPr="009F4F57">
              <w:rPr>
                <w:rFonts w:cs="Arial"/>
                <w:iCs/>
              </w:rPr>
              <w:t>level</w:t>
            </w:r>
          </w:p>
        </w:tc>
        <w:tc>
          <w:tcPr>
            <w:tcW w:w="1120" w:type="dxa"/>
          </w:tcPr>
          <w:p w14:paraId="0DFB7C88" w14:textId="2945ABA0" w:rsidR="00C650E8" w:rsidRPr="00F32566" w:rsidRDefault="00644BF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0" w:type="dxa"/>
          </w:tcPr>
          <w:p w14:paraId="03E52B87" w14:textId="1DE100F0" w:rsidR="00C650E8" w:rsidRPr="009F4F57" w:rsidRDefault="00890A4A" w:rsidP="00F32566">
            <w:pPr>
              <w:cnfStyle w:val="000000000000" w:firstRow="0" w:lastRow="0" w:firstColumn="0" w:lastColumn="0" w:oddVBand="0" w:evenVBand="0" w:oddHBand="0" w:evenHBand="0" w:firstRowFirstColumn="0" w:firstRowLastColumn="0" w:lastRowFirstColumn="0" w:lastRowLastColumn="0"/>
              <w:rPr>
                <w:rFonts w:cs="Arial"/>
                <w:iCs/>
              </w:rPr>
            </w:pPr>
            <w:proofErr w:type="gramStart"/>
            <w:r w:rsidRPr="009F4F57">
              <w:rPr>
                <w:rFonts w:cs="Arial"/>
                <w:b/>
              </w:rPr>
              <w:t>YES</w:t>
            </w:r>
            <w:proofErr w:type="gramEnd"/>
            <w:r w:rsidR="00F32566">
              <w:rPr>
                <w:rFonts w:cs="Arial"/>
                <w:b/>
              </w:rPr>
              <w:t xml:space="preserve"> </w:t>
            </w:r>
            <w:r w:rsidRPr="00F32566">
              <w:rPr>
                <w:rStyle w:val="Strong"/>
              </w:rPr>
              <w:t>Refer to additional table</w:t>
            </w:r>
          </w:p>
        </w:tc>
        <w:tc>
          <w:tcPr>
            <w:tcW w:w="830" w:type="dxa"/>
          </w:tcPr>
          <w:p w14:paraId="09C37D6A" w14:textId="2ABADB49" w:rsidR="00C650E8" w:rsidRPr="00F32566" w:rsidRDefault="008613B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tcPr>
          <w:p w14:paraId="2BAEF4CB" w14:textId="4AD0B813" w:rsidR="00C650E8" w:rsidRPr="009F4F57" w:rsidRDefault="008613B9" w:rsidP="00F32566">
            <w:pPr>
              <w:cnfStyle w:val="000000000000" w:firstRow="0" w:lastRow="0" w:firstColumn="0" w:lastColumn="0" w:oddVBand="0" w:evenVBand="0" w:oddHBand="0" w:evenHBand="0" w:firstRowFirstColumn="0" w:firstRowLastColumn="0" w:lastRowFirstColumn="0" w:lastRowLastColumn="0"/>
              <w:rPr>
                <w:rFonts w:cs="Arial"/>
                <w:iCs/>
              </w:rPr>
            </w:pPr>
            <w:proofErr w:type="gramStart"/>
            <w:r w:rsidRPr="00F32566">
              <w:rPr>
                <w:rStyle w:val="Strong"/>
              </w:rPr>
              <w:t>YES</w:t>
            </w:r>
            <w:proofErr w:type="gramEnd"/>
            <w:r w:rsidR="00F32566">
              <w:rPr>
                <w:rStyle w:val="Strong"/>
              </w:rPr>
              <w:t xml:space="preserve"> </w:t>
            </w:r>
            <w:r w:rsidRPr="009F4F57">
              <w:rPr>
                <w:rFonts w:cs="Arial"/>
                <w:b/>
                <w:bCs/>
                <w:iCs/>
              </w:rPr>
              <w:t>Refer to additional table</w:t>
            </w:r>
          </w:p>
        </w:tc>
      </w:tr>
      <w:tr w:rsidR="00EC4C9D" w:rsidRPr="009F4F57" w14:paraId="141CA6AA"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0E090ADF" w14:textId="77777777" w:rsidR="00EC4C9D" w:rsidRPr="00F32566" w:rsidRDefault="00EC4C9D" w:rsidP="00F32566">
            <w:r w:rsidRPr="00F32566">
              <w:t>Annual Prudential Compliance Statement  </w:t>
            </w:r>
          </w:p>
        </w:tc>
        <w:tc>
          <w:tcPr>
            <w:tcW w:w="1391" w:type="dxa"/>
            <w:hideMark/>
          </w:tcPr>
          <w:p w14:paraId="0BF2B2EE"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78C7047D" w14:textId="39A0D6D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60419D0" w14:textId="6A5F6AF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665EF157" w14:textId="0FAC5106" w:rsidR="00EC4C9D" w:rsidRPr="00F32566" w:rsidRDefault="0082109C"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8" w:type="dxa"/>
            <w:hideMark/>
          </w:tcPr>
          <w:p w14:paraId="635D79F5" w14:textId="4AA052E2" w:rsidR="00EC4C9D" w:rsidRPr="009F4F57" w:rsidRDefault="0082109C" w:rsidP="0082109C">
            <w:pPr>
              <w:jc w:val="cente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iCs/>
              </w:rPr>
              <w:t>NO</w:t>
            </w:r>
          </w:p>
        </w:tc>
      </w:tr>
      <w:tr w:rsidR="00EC4C9D" w:rsidRPr="009F4F57" w14:paraId="44FF4CD9"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2A32887F" w14:textId="37068687" w:rsidR="00EC4C9D" w:rsidRPr="00F32566" w:rsidRDefault="00EC4C9D" w:rsidP="00F32566">
            <w:r w:rsidRPr="00F32566">
              <w:t>Financial Support Statement*</w:t>
            </w:r>
          </w:p>
        </w:tc>
        <w:tc>
          <w:tcPr>
            <w:tcW w:w="1391" w:type="dxa"/>
            <w:hideMark/>
          </w:tcPr>
          <w:p w14:paraId="6FAB4793"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18E5D1A2" w14:textId="69979D0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43A7F7D0" w14:textId="786F4BA9"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1DDAB6BD" w14:textId="60B68ED9"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6AA131C5" w14:textId="56930FC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131665A5"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11340B75" w14:textId="77777777" w:rsidR="00EC4C9D" w:rsidRPr="00F32566" w:rsidRDefault="00EC4C9D" w:rsidP="00F32566">
            <w:r w:rsidRPr="00F32566">
              <w:t>Survey of Aged Care Homes </w:t>
            </w:r>
          </w:p>
        </w:tc>
        <w:tc>
          <w:tcPr>
            <w:tcW w:w="1391" w:type="dxa"/>
            <w:hideMark/>
          </w:tcPr>
          <w:p w14:paraId="14A84D31"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17A6016F" w14:textId="62D1CD57"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5691AE61" w14:textId="25BF6058"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DDB9BC7" w14:textId="39DFCC5D"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5CF3E148" w14:textId="59AFCEB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5700B48E"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D46204A" w14:textId="77777777" w:rsidR="00EC4C9D" w:rsidRPr="00F32566" w:rsidRDefault="00EC4C9D" w:rsidP="00F32566">
            <w:r w:rsidRPr="00F32566">
              <w:t>Residential Building Activity </w:t>
            </w:r>
          </w:p>
        </w:tc>
        <w:tc>
          <w:tcPr>
            <w:tcW w:w="1391" w:type="dxa"/>
            <w:hideMark/>
          </w:tcPr>
          <w:p w14:paraId="66519D4F"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Service level </w:t>
            </w:r>
          </w:p>
        </w:tc>
        <w:tc>
          <w:tcPr>
            <w:tcW w:w="1120" w:type="dxa"/>
            <w:hideMark/>
          </w:tcPr>
          <w:p w14:paraId="640CC526" w14:textId="357662F7"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58F440C2" w14:textId="19BF6105"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D653948" w14:textId="5DF9B4A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1F533ABA" w14:textId="4F93B76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EC4C9D" w:rsidRPr="009F4F57" w14:paraId="53993E79" w14:textId="77777777" w:rsidTr="00F32566">
        <w:trPr>
          <w:trHeight w:val="300"/>
        </w:trPr>
        <w:tc>
          <w:tcPr>
            <w:cnfStyle w:val="001000000000" w:firstRow="0" w:lastRow="0" w:firstColumn="1" w:lastColumn="0" w:oddVBand="0" w:evenVBand="0" w:oddHBand="0" w:evenHBand="0" w:firstRowFirstColumn="0" w:firstRowLastColumn="0" w:lastRowFirstColumn="0" w:lastRowLastColumn="0"/>
            <w:tcW w:w="2895" w:type="dxa"/>
            <w:hideMark/>
          </w:tcPr>
          <w:p w14:paraId="511B9443" w14:textId="5D9A10E3" w:rsidR="00EC4C9D" w:rsidRPr="00F32566" w:rsidRDefault="00EC4C9D" w:rsidP="00F32566">
            <w:r w:rsidRPr="00F32566">
              <w:lastRenderedPageBreak/>
              <w:t>General Purpose Financial Statements*</w:t>
            </w:r>
          </w:p>
        </w:tc>
        <w:tc>
          <w:tcPr>
            <w:tcW w:w="1391" w:type="dxa"/>
            <w:hideMark/>
          </w:tcPr>
          <w:p w14:paraId="2A139EAA" w14:textId="77777777" w:rsidR="00EC4C9D" w:rsidRPr="009F4F57" w:rsidRDefault="00EC4C9D" w:rsidP="00EC4C9D">
            <w:pPr>
              <w:cnfStyle w:val="000000000000" w:firstRow="0" w:lastRow="0" w:firstColumn="0" w:lastColumn="0" w:oddVBand="0" w:evenVBand="0" w:oddHBand="0" w:evenHBand="0" w:firstRowFirstColumn="0" w:firstRowLastColumn="0" w:lastRowFirstColumn="0" w:lastRowLastColumn="0"/>
              <w:rPr>
                <w:rFonts w:cs="Arial"/>
              </w:rPr>
            </w:pPr>
            <w:r w:rsidRPr="009F4F57">
              <w:rPr>
                <w:rFonts w:cs="Arial"/>
              </w:rPr>
              <w:t>Registered Provider </w:t>
            </w:r>
          </w:p>
        </w:tc>
        <w:tc>
          <w:tcPr>
            <w:tcW w:w="1120" w:type="dxa"/>
            <w:hideMark/>
          </w:tcPr>
          <w:p w14:paraId="4DBAAECF" w14:textId="70F0546B"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YES</w:t>
            </w:r>
          </w:p>
        </w:tc>
        <w:tc>
          <w:tcPr>
            <w:tcW w:w="1250" w:type="dxa"/>
            <w:hideMark/>
          </w:tcPr>
          <w:p w14:paraId="0DD106E1" w14:textId="4EE370D3"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830" w:type="dxa"/>
            <w:hideMark/>
          </w:tcPr>
          <w:p w14:paraId="2701AAC0" w14:textId="066C347C"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58" w:type="dxa"/>
            <w:hideMark/>
          </w:tcPr>
          <w:p w14:paraId="06004665" w14:textId="002626C2" w:rsidR="00EC4C9D" w:rsidRPr="00F32566" w:rsidRDefault="00EC4C9D" w:rsidP="00F32566">
            <w:pPr>
              <w:cnfStyle w:val="000000000000" w:firstRow="0" w:lastRow="0" w:firstColumn="0" w:lastColumn="0" w:oddVBand="0" w:evenVBand="0" w:oddHBand="0" w:evenHBand="0" w:firstRowFirstColumn="0" w:firstRowLastColumn="0" w:lastRowFirstColumn="0" w:lastRowLastColumn="0"/>
            </w:pPr>
            <w:r w:rsidRPr="00F32566">
              <w:t>NO</w:t>
            </w:r>
          </w:p>
        </w:tc>
      </w:tr>
    </w:tbl>
    <w:p w14:paraId="71BC6A1E" w14:textId="69132AA8" w:rsidR="00B7636C" w:rsidRPr="00ED3ABB" w:rsidRDefault="00B7636C" w:rsidP="00ED3ABB">
      <w:r w:rsidRPr="00ED3ABB">
        <w:rPr>
          <w:rFonts w:eastAsiaTheme="majorEastAsia"/>
        </w:rPr>
        <w:t xml:space="preserve">*Government providers of residential </w:t>
      </w:r>
      <w:r w:rsidR="002A4CA1" w:rsidRPr="00ED3ABB">
        <w:rPr>
          <w:rFonts w:eastAsiaTheme="majorEastAsia"/>
        </w:rPr>
        <w:t>aged care</w:t>
      </w:r>
      <w:r w:rsidRPr="00ED3ABB">
        <w:rPr>
          <w:rFonts w:eastAsiaTheme="majorEastAsia"/>
        </w:rPr>
        <w:t xml:space="preserve"> and</w:t>
      </w:r>
      <w:r w:rsidR="00755763" w:rsidRPr="00ED3ABB">
        <w:rPr>
          <w:rFonts w:eastAsiaTheme="majorEastAsia"/>
        </w:rPr>
        <w:t>/or the</w:t>
      </w:r>
      <w:r w:rsidRPr="00ED3ABB">
        <w:rPr>
          <w:rFonts w:eastAsiaTheme="majorEastAsia"/>
        </w:rPr>
        <w:t xml:space="preserve"> Support at Home </w:t>
      </w:r>
      <w:r w:rsidR="002A4CA1" w:rsidRPr="00ED3ABB">
        <w:rPr>
          <w:rFonts w:eastAsiaTheme="majorEastAsia"/>
        </w:rPr>
        <w:t>program</w:t>
      </w:r>
      <w:r w:rsidRPr="00ED3ABB">
        <w:rPr>
          <w:rFonts w:eastAsiaTheme="majorEastAsia"/>
        </w:rPr>
        <w:t xml:space="preserve"> are not required to complete the Consolidated Segment or Registered Provider Reporting, Movement Schedules, Financial Support Statement or to publish their </w:t>
      </w:r>
      <w:r w:rsidR="00D377EC" w:rsidRPr="00ED3ABB">
        <w:rPr>
          <w:rFonts w:eastAsiaTheme="majorEastAsia"/>
        </w:rPr>
        <w:t>General-Purpose</w:t>
      </w:r>
      <w:r w:rsidRPr="00ED3ABB">
        <w:rPr>
          <w:rFonts w:eastAsiaTheme="majorEastAsia"/>
        </w:rPr>
        <w:t xml:space="preserve"> Financial Statements.</w:t>
      </w:r>
      <w:r w:rsidRPr="00ED3ABB">
        <w:t> </w:t>
      </w:r>
    </w:p>
    <w:p w14:paraId="4F3A80D8" w14:textId="2002CE32" w:rsidR="00094254" w:rsidRPr="00F32566" w:rsidRDefault="00094254" w:rsidP="00F32566">
      <w:pPr>
        <w:pStyle w:val="ListBullet"/>
        <w:rPr>
          <w:rFonts w:eastAsiaTheme="minorHAnsi"/>
        </w:rPr>
      </w:pPr>
      <w:r w:rsidRPr="00F32566">
        <w:rPr>
          <w:rFonts w:eastAsiaTheme="minorHAnsi"/>
        </w:rPr>
        <w:t xml:space="preserve">Providers who delivered services under the Home Care Packages </w:t>
      </w:r>
      <w:r w:rsidR="000C481D" w:rsidRPr="00F32566">
        <w:rPr>
          <w:rFonts w:eastAsiaTheme="minorHAnsi"/>
        </w:rPr>
        <w:t>P</w:t>
      </w:r>
      <w:r w:rsidRPr="00F32566">
        <w:rPr>
          <w:rFonts w:eastAsiaTheme="minorHAnsi"/>
        </w:rPr>
        <w:t xml:space="preserve">rogram and/or STRC </w:t>
      </w:r>
      <w:r w:rsidR="000C481D" w:rsidRPr="00F32566">
        <w:rPr>
          <w:rFonts w:eastAsiaTheme="minorHAnsi"/>
        </w:rPr>
        <w:t>P</w:t>
      </w:r>
      <w:r w:rsidRPr="00F32566">
        <w:rPr>
          <w:rFonts w:eastAsiaTheme="minorHAnsi"/>
        </w:rPr>
        <w:t>rogram</w:t>
      </w:r>
      <w:r w:rsidR="000C481D" w:rsidRPr="00F32566">
        <w:rPr>
          <w:rFonts w:eastAsiaTheme="minorHAnsi"/>
        </w:rPr>
        <w:t>me</w:t>
      </w:r>
      <w:r w:rsidRPr="00F32566">
        <w:rPr>
          <w:rFonts w:eastAsiaTheme="minorHAnsi"/>
        </w:rPr>
        <w:t xml:space="preserve"> up until 31 October 2025, must report income and expenses in the “Home Care Income and Expenditure Statement” and/or the “STRC Income and Expenditure Statement”. </w:t>
      </w:r>
    </w:p>
    <w:p w14:paraId="126DBB88" w14:textId="77777777" w:rsidR="00094254" w:rsidRPr="00F32566" w:rsidRDefault="00094254" w:rsidP="00F32566">
      <w:pPr>
        <w:pStyle w:val="ListBullet"/>
        <w:rPr>
          <w:rFonts w:eastAsiaTheme="minorHAnsi"/>
        </w:rPr>
      </w:pPr>
      <w:r w:rsidRPr="00F32566">
        <w:rPr>
          <w:rFonts w:eastAsiaTheme="minorHAnsi"/>
        </w:rPr>
        <w:t xml:space="preserve">Providers who deliver the Support at Home program from 1 November 2025 must report income and expenses in a new “Support at Home Income and Expenditure Statement”. </w:t>
      </w:r>
    </w:p>
    <w:p w14:paraId="16C01AD0" w14:textId="77777777" w:rsidR="00094254" w:rsidRPr="00F32566" w:rsidRDefault="00094254" w:rsidP="00F32566">
      <w:pPr>
        <w:pStyle w:val="ListBullet"/>
        <w:rPr>
          <w:rFonts w:eastAsiaTheme="minorHAnsi"/>
        </w:rPr>
      </w:pPr>
      <w:r w:rsidRPr="00F32566">
        <w:rPr>
          <w:rFonts w:eastAsiaTheme="minorHAnsi"/>
        </w:rPr>
        <w:t>Providers will need to attribute income and expenses received or incurred to the relevant program.</w:t>
      </w:r>
    </w:p>
    <w:p w14:paraId="2799B0BB" w14:textId="6C8C0C80" w:rsidR="00061EE9" w:rsidRPr="00F32566" w:rsidRDefault="00061EE9" w:rsidP="00F32566">
      <w:pPr>
        <w:rPr>
          <w:rFonts w:eastAsia="Calibri Light"/>
        </w:rPr>
      </w:pPr>
      <w:r w:rsidRPr="00F32566">
        <w:rPr>
          <w:rFonts w:eastAsia="Calibri Light"/>
        </w:rPr>
        <w:t xml:space="preserve">The table below outlines the reporting requirements in the ACFR 2025-26 for providers of Home Care Packages </w:t>
      </w:r>
      <w:r w:rsidR="009578C1" w:rsidRPr="00F32566">
        <w:rPr>
          <w:rFonts w:eastAsia="Calibri Light"/>
        </w:rPr>
        <w:t>P</w:t>
      </w:r>
      <w:r w:rsidRPr="00F32566">
        <w:rPr>
          <w:rFonts w:eastAsia="Calibri Light"/>
        </w:rPr>
        <w:t xml:space="preserve">rogram, STRC </w:t>
      </w:r>
      <w:r w:rsidR="009578C1" w:rsidRPr="00F32566">
        <w:rPr>
          <w:rFonts w:eastAsia="Calibri Light"/>
        </w:rPr>
        <w:t>P</w:t>
      </w:r>
      <w:r w:rsidRPr="00F32566">
        <w:rPr>
          <w:rFonts w:eastAsia="Calibri Light"/>
        </w:rPr>
        <w:t>rogram</w:t>
      </w:r>
      <w:r w:rsidR="00EB5EBD" w:rsidRPr="00F32566">
        <w:rPr>
          <w:rFonts w:eastAsia="Calibri Light"/>
        </w:rPr>
        <w:t>me</w:t>
      </w:r>
      <w:r w:rsidRPr="00F32566">
        <w:rPr>
          <w:rFonts w:eastAsia="Calibri Light"/>
        </w:rPr>
        <w:t xml:space="preserve"> and Support at Home program: </w:t>
      </w:r>
    </w:p>
    <w:tbl>
      <w:tblPr>
        <w:tblStyle w:val="PHNGreyTable"/>
        <w:tblpPr w:leftFromText="180" w:rightFromText="180" w:vertAnchor="text" w:tblpX="279" w:tblpY="1"/>
        <w:tblW w:w="8926" w:type="dxa"/>
        <w:tblLayout w:type="fixed"/>
        <w:tblLook w:val="04A0" w:firstRow="1" w:lastRow="0" w:firstColumn="1" w:lastColumn="0" w:noHBand="0" w:noVBand="1"/>
      </w:tblPr>
      <w:tblGrid>
        <w:gridCol w:w="3256"/>
        <w:gridCol w:w="1559"/>
        <w:gridCol w:w="1134"/>
        <w:gridCol w:w="1276"/>
        <w:gridCol w:w="1701"/>
      </w:tblGrid>
      <w:tr w:rsidR="00D17953" w:rsidRPr="00F32566" w14:paraId="40D04FE4" w14:textId="77777777" w:rsidTr="00ED3ABB">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4E1DC85B" w14:textId="77777777" w:rsidR="00061EE9" w:rsidRPr="00F32566" w:rsidRDefault="00061EE9" w:rsidP="00ED3ABB">
            <w:pPr>
              <w:pStyle w:val="TableHeaderWhite"/>
            </w:pPr>
            <w:r w:rsidRPr="00F32566">
              <w:t>Form Name</w:t>
            </w:r>
          </w:p>
        </w:tc>
        <w:tc>
          <w:tcPr>
            <w:tcW w:w="1559" w:type="dxa"/>
            <w:vMerge w:val="restart"/>
            <w:hideMark/>
          </w:tcPr>
          <w:p w14:paraId="679C1D67"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Data Collection Level</w:t>
            </w:r>
          </w:p>
        </w:tc>
        <w:tc>
          <w:tcPr>
            <w:tcW w:w="2410" w:type="dxa"/>
            <w:gridSpan w:val="2"/>
            <w:hideMark/>
          </w:tcPr>
          <w:p w14:paraId="6B20EA28"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Pre-1 November 2025</w:t>
            </w:r>
          </w:p>
        </w:tc>
        <w:tc>
          <w:tcPr>
            <w:tcW w:w="1701" w:type="dxa"/>
          </w:tcPr>
          <w:p w14:paraId="68C3F664"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Post-1 November 2025</w:t>
            </w:r>
          </w:p>
        </w:tc>
      </w:tr>
      <w:tr w:rsidR="00D17953" w:rsidRPr="00F32566" w14:paraId="6CDFC997" w14:textId="77777777" w:rsidTr="00ED3ABB">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3256" w:type="dxa"/>
            <w:vMerge/>
            <w:hideMark/>
          </w:tcPr>
          <w:p w14:paraId="1295B772" w14:textId="77777777" w:rsidR="00061EE9" w:rsidRPr="00F32566" w:rsidRDefault="00061EE9" w:rsidP="00ED3ABB">
            <w:pPr>
              <w:pStyle w:val="TableHeaderWhite"/>
            </w:pPr>
          </w:p>
        </w:tc>
        <w:tc>
          <w:tcPr>
            <w:tcW w:w="1559" w:type="dxa"/>
            <w:vMerge/>
            <w:hideMark/>
          </w:tcPr>
          <w:p w14:paraId="14AB4D2F"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p>
        </w:tc>
        <w:tc>
          <w:tcPr>
            <w:tcW w:w="1134" w:type="dxa"/>
            <w:hideMark/>
          </w:tcPr>
          <w:p w14:paraId="0ABCC378"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Home Care</w:t>
            </w:r>
          </w:p>
        </w:tc>
        <w:tc>
          <w:tcPr>
            <w:tcW w:w="1276" w:type="dxa"/>
            <w:hideMark/>
          </w:tcPr>
          <w:p w14:paraId="06A37956"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STRC</w:t>
            </w:r>
          </w:p>
        </w:tc>
        <w:tc>
          <w:tcPr>
            <w:tcW w:w="1701" w:type="dxa"/>
          </w:tcPr>
          <w:p w14:paraId="48728832" w14:textId="77777777" w:rsidR="00061EE9" w:rsidRPr="00F32566" w:rsidRDefault="00061EE9" w:rsidP="00ED3ABB">
            <w:pPr>
              <w:pStyle w:val="TableHeaderWhite"/>
              <w:cnfStyle w:val="100000000000" w:firstRow="1" w:lastRow="0" w:firstColumn="0" w:lastColumn="0" w:oddVBand="0" w:evenVBand="0" w:oddHBand="0" w:evenHBand="0" w:firstRowFirstColumn="0" w:firstRowLastColumn="0" w:lastRowFirstColumn="0" w:lastRowLastColumn="0"/>
            </w:pPr>
            <w:r w:rsidRPr="00F32566">
              <w:t>Support at Home</w:t>
            </w:r>
          </w:p>
        </w:tc>
      </w:tr>
      <w:tr w:rsidR="00061EE9" w:rsidRPr="00F32566" w14:paraId="1A612EA3"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hideMark/>
          </w:tcPr>
          <w:p w14:paraId="6045A77B" w14:textId="77777777" w:rsidR="00061EE9" w:rsidRPr="00F32566" w:rsidRDefault="00061EE9" w:rsidP="00F32566">
            <w:r w:rsidRPr="00F32566">
              <w:t xml:space="preserve">Home Care Income and Expenditure Statement </w:t>
            </w:r>
          </w:p>
        </w:tc>
        <w:tc>
          <w:tcPr>
            <w:tcW w:w="1559" w:type="dxa"/>
            <w:hideMark/>
          </w:tcPr>
          <w:p w14:paraId="6B36FCD0"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hideMark/>
          </w:tcPr>
          <w:p w14:paraId="378D9D51" w14:textId="77777777" w:rsidR="00061EE9" w:rsidRPr="00ED3ABB" w:rsidRDefault="00061EE9" w:rsidP="00F32566">
            <w:pPr>
              <w:cnfStyle w:val="000000000000" w:firstRow="0" w:lastRow="0" w:firstColumn="0" w:lastColumn="0" w:oddVBand="0" w:evenVBand="0" w:oddHBand="0" w:evenHBand="0" w:firstRowFirstColumn="0" w:firstRowLastColumn="0" w:lastRowFirstColumn="0" w:lastRowLastColumn="0"/>
              <w:rPr>
                <w:rStyle w:val="Strong"/>
              </w:rPr>
            </w:pPr>
            <w:r w:rsidRPr="00ED3ABB">
              <w:rPr>
                <w:rStyle w:val="Strong"/>
              </w:rPr>
              <w:t>YES</w:t>
            </w:r>
          </w:p>
        </w:tc>
        <w:tc>
          <w:tcPr>
            <w:tcW w:w="1276" w:type="dxa"/>
            <w:hideMark/>
          </w:tcPr>
          <w:p w14:paraId="4ED8F9AD"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701" w:type="dxa"/>
          </w:tcPr>
          <w:p w14:paraId="74EF4619"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061EE9" w:rsidRPr="00F32566" w14:paraId="56E48A0F"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hideMark/>
          </w:tcPr>
          <w:p w14:paraId="1D46D8F1" w14:textId="77777777" w:rsidR="00061EE9" w:rsidRPr="00F32566" w:rsidRDefault="00061EE9" w:rsidP="00F32566">
            <w:r w:rsidRPr="00F32566">
              <w:t>STRC Income and Expenditure Statement</w:t>
            </w:r>
          </w:p>
        </w:tc>
        <w:tc>
          <w:tcPr>
            <w:tcW w:w="1559" w:type="dxa"/>
            <w:hideMark/>
          </w:tcPr>
          <w:p w14:paraId="41FD5218"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hideMark/>
          </w:tcPr>
          <w:p w14:paraId="2E433391"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76" w:type="dxa"/>
            <w:hideMark/>
          </w:tcPr>
          <w:p w14:paraId="631E1B23" w14:textId="77777777" w:rsidR="00061EE9" w:rsidRPr="00ED3ABB" w:rsidRDefault="00061EE9" w:rsidP="00F32566">
            <w:pPr>
              <w:cnfStyle w:val="000000000000" w:firstRow="0" w:lastRow="0" w:firstColumn="0" w:lastColumn="0" w:oddVBand="0" w:evenVBand="0" w:oddHBand="0" w:evenHBand="0" w:firstRowFirstColumn="0" w:firstRowLastColumn="0" w:lastRowFirstColumn="0" w:lastRowLastColumn="0"/>
              <w:rPr>
                <w:rStyle w:val="Strong"/>
              </w:rPr>
            </w:pPr>
            <w:r w:rsidRPr="00ED3ABB">
              <w:rPr>
                <w:rStyle w:val="Strong"/>
              </w:rPr>
              <w:t>YES</w:t>
            </w:r>
          </w:p>
        </w:tc>
        <w:tc>
          <w:tcPr>
            <w:tcW w:w="1701" w:type="dxa"/>
          </w:tcPr>
          <w:p w14:paraId="15040946"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r>
      <w:tr w:rsidR="00061EE9" w:rsidRPr="00F32566" w14:paraId="3E44F574" w14:textId="77777777" w:rsidTr="00F32566">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891542B" w14:textId="77777777" w:rsidR="00061EE9" w:rsidRPr="00F32566" w:rsidRDefault="00061EE9" w:rsidP="00F32566">
            <w:r w:rsidRPr="00F32566">
              <w:lastRenderedPageBreak/>
              <w:t>Support at Home Income and Expenditure Statement</w:t>
            </w:r>
          </w:p>
        </w:tc>
        <w:tc>
          <w:tcPr>
            <w:tcW w:w="1559" w:type="dxa"/>
          </w:tcPr>
          <w:p w14:paraId="1A56AC9F"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Program level</w:t>
            </w:r>
          </w:p>
        </w:tc>
        <w:tc>
          <w:tcPr>
            <w:tcW w:w="1134" w:type="dxa"/>
          </w:tcPr>
          <w:p w14:paraId="0A290FAE"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276" w:type="dxa"/>
          </w:tcPr>
          <w:p w14:paraId="644B375D"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NO</w:t>
            </w:r>
          </w:p>
        </w:tc>
        <w:tc>
          <w:tcPr>
            <w:tcW w:w="1701" w:type="dxa"/>
          </w:tcPr>
          <w:p w14:paraId="3497CA9F" w14:textId="77777777" w:rsidR="00061EE9" w:rsidRPr="00F32566" w:rsidRDefault="00061EE9" w:rsidP="00F32566">
            <w:pPr>
              <w:cnfStyle w:val="000000000000" w:firstRow="0" w:lastRow="0" w:firstColumn="0" w:lastColumn="0" w:oddVBand="0" w:evenVBand="0" w:oddHBand="0" w:evenHBand="0" w:firstRowFirstColumn="0" w:firstRowLastColumn="0" w:lastRowFirstColumn="0" w:lastRowLastColumn="0"/>
            </w:pPr>
            <w:r w:rsidRPr="00F32566">
              <w:t>YES</w:t>
            </w:r>
          </w:p>
        </w:tc>
      </w:tr>
    </w:tbl>
    <w:p w14:paraId="4BE22B42" w14:textId="188400B1" w:rsidR="008C4CF6" w:rsidRPr="00EA55D0" w:rsidRDefault="008C4CF6" w:rsidP="00ED3ABB">
      <w:pPr>
        <w:pStyle w:val="Header3"/>
      </w:pPr>
      <w:bookmarkStart w:id="5" w:name="_Toc209078242"/>
      <w:r w:rsidRPr="00EA55D0">
        <w:t>Submission Due Date</w:t>
      </w:r>
      <w:bookmarkEnd w:id="5"/>
    </w:p>
    <w:p w14:paraId="5548CAE3" w14:textId="46936449" w:rsidR="00E82075" w:rsidRPr="00EA55D0" w:rsidRDefault="00E82075" w:rsidP="00B174CE">
      <w:pPr>
        <w:rPr>
          <w:rFonts w:cs="Arial"/>
        </w:rPr>
      </w:pPr>
      <w:r w:rsidRPr="00EA55D0">
        <w:rPr>
          <w:rFonts w:cs="Arial"/>
        </w:rPr>
        <w:t xml:space="preserve">It is a legislative requirement that the ACFR is lodged </w:t>
      </w:r>
      <w:r w:rsidR="1152869D" w:rsidRPr="00EA55D0">
        <w:rPr>
          <w:rFonts w:cs="Arial"/>
        </w:rPr>
        <w:t>within 4 months of the end of the financial year. For providers reporting on the standard financial year ending 30</w:t>
      </w:r>
      <w:r w:rsidR="00C43B66">
        <w:rPr>
          <w:rFonts w:cs="Arial"/>
        </w:rPr>
        <w:t> </w:t>
      </w:r>
      <w:r w:rsidR="1152869D" w:rsidRPr="00EA55D0">
        <w:rPr>
          <w:rFonts w:cs="Arial"/>
        </w:rPr>
        <w:t xml:space="preserve">June, the ACFR must be lodged </w:t>
      </w:r>
      <w:r w:rsidRPr="00EA55D0">
        <w:rPr>
          <w:rFonts w:cs="Arial"/>
        </w:rPr>
        <w:t xml:space="preserve">by 31 October each year using the </w:t>
      </w:r>
      <w:r w:rsidR="002B73A8" w:rsidRPr="00EA55D0">
        <w:rPr>
          <w:rFonts w:cs="Arial"/>
        </w:rPr>
        <w:t xml:space="preserve">Forms Administration </w:t>
      </w:r>
      <w:r w:rsidRPr="00EA55D0">
        <w:rPr>
          <w:rFonts w:cs="Arial"/>
        </w:rPr>
        <w:t xml:space="preserve">portal. There is no provision under the </w:t>
      </w:r>
      <w:r w:rsidRPr="00EA55D0">
        <w:rPr>
          <w:rFonts w:cs="Arial"/>
          <w:i/>
        </w:rPr>
        <w:t>Aged Care Act 2024</w:t>
      </w:r>
      <w:r w:rsidRPr="00EA55D0">
        <w:rPr>
          <w:rFonts w:cs="Arial"/>
        </w:rPr>
        <w:t xml:space="preserve"> (</w:t>
      </w:r>
      <w:r w:rsidR="00DD2B17" w:rsidRPr="00EA55D0">
        <w:rPr>
          <w:rFonts w:cs="Arial"/>
        </w:rPr>
        <w:t>new</w:t>
      </w:r>
      <w:r w:rsidRPr="00EA55D0">
        <w:rPr>
          <w:rFonts w:cs="Arial"/>
        </w:rPr>
        <w:t xml:space="preserve"> Act) </w:t>
      </w:r>
      <w:r w:rsidR="008659B5" w:rsidRPr="00EA55D0">
        <w:rPr>
          <w:rFonts w:cs="Arial"/>
        </w:rPr>
        <w:t xml:space="preserve">or </w:t>
      </w:r>
      <w:r w:rsidR="008659B5" w:rsidRPr="00EA55D0">
        <w:rPr>
          <w:rFonts w:cs="Arial"/>
          <w:i/>
        </w:rPr>
        <w:t>Aged Care Rules 2025</w:t>
      </w:r>
      <w:r w:rsidR="008659B5" w:rsidRPr="00EA55D0">
        <w:rPr>
          <w:rFonts w:cs="Arial"/>
        </w:rPr>
        <w:t xml:space="preserve"> (Rules) </w:t>
      </w:r>
      <w:r w:rsidRPr="00EA55D0">
        <w:rPr>
          <w:rFonts w:cs="Arial"/>
        </w:rPr>
        <w:t>to allow for a later reporting date. No extension of time will be given for the lodgement outside of this legislated period.</w:t>
      </w:r>
    </w:p>
    <w:p w14:paraId="3BE29E23" w14:textId="03D470FC" w:rsidR="00E82075" w:rsidRPr="00EA55D0" w:rsidRDefault="00E82075" w:rsidP="00B174CE">
      <w:pPr>
        <w:rPr>
          <w:rFonts w:cs="Arial"/>
        </w:rPr>
      </w:pPr>
      <w:r w:rsidRPr="00EA55D0">
        <w:rPr>
          <w:rFonts w:cs="Arial"/>
        </w:rPr>
        <w:t>Providers are encouraged to complete and lodge their ACFR early so that there is adequate time to address any issues and finalise all components of the ACFR.</w:t>
      </w:r>
    </w:p>
    <w:p w14:paraId="0089C1B1" w14:textId="74B7F3AA" w:rsidR="00A10745" w:rsidRPr="00EA55D0" w:rsidRDefault="00A10745" w:rsidP="00ED3ABB">
      <w:pPr>
        <w:pStyle w:val="Header3"/>
      </w:pPr>
      <w:bookmarkStart w:id="6" w:name="_Toc209078243"/>
      <w:r w:rsidRPr="00EA55D0">
        <w:t>Alternate Financial Year</w:t>
      </w:r>
      <w:bookmarkEnd w:id="6"/>
    </w:p>
    <w:p w14:paraId="7FD97808" w14:textId="143F87CD" w:rsidR="00E82075" w:rsidRPr="00EA55D0" w:rsidRDefault="00E82075" w:rsidP="00B174CE">
      <w:pPr>
        <w:pStyle w:val="BodyText"/>
        <w:rPr>
          <w:rFonts w:cs="Arial"/>
        </w:rPr>
      </w:pPr>
      <w:r w:rsidRPr="00EA55D0">
        <w:rPr>
          <w:rFonts w:cs="Arial"/>
        </w:rPr>
        <w:t xml:space="preserve">Some providers have a financial year that is different to the standard financial year from 1 July to 30 June. Providers can request an application form </w:t>
      </w:r>
      <w:r w:rsidR="00EF3C69" w:rsidRPr="00EA55D0">
        <w:rPr>
          <w:rFonts w:cs="Arial"/>
        </w:rPr>
        <w:t xml:space="preserve">to report their ACFR </w:t>
      </w:r>
      <w:r w:rsidRPr="00EA55D0">
        <w:rPr>
          <w:rFonts w:cs="Arial"/>
        </w:rPr>
        <w:t>for a</w:t>
      </w:r>
      <w:r w:rsidR="00EF3C69" w:rsidRPr="00EA55D0">
        <w:rPr>
          <w:rFonts w:cs="Arial"/>
        </w:rPr>
        <w:t>n alternative</w:t>
      </w:r>
      <w:r w:rsidRPr="00EA55D0">
        <w:rPr>
          <w:rFonts w:cs="Arial"/>
        </w:rPr>
        <w:t xml:space="preserve"> financial year by </w:t>
      </w:r>
      <w:hyperlink r:id="rId18" w:history="1">
        <w:r w:rsidRPr="00EA55D0">
          <w:rPr>
            <w:rStyle w:val="Hyperlink"/>
            <w:rFonts w:cs="Arial"/>
          </w:rPr>
          <w:t>contacting Forms Administration</w:t>
        </w:r>
      </w:hyperlink>
      <w:r w:rsidRPr="00EA55D0">
        <w:rPr>
          <w:rFonts w:cs="Arial"/>
        </w:rPr>
        <w:t xml:space="preserve">. </w:t>
      </w:r>
    </w:p>
    <w:p w14:paraId="54DECA82" w14:textId="207C931B" w:rsidR="00E82075" w:rsidRPr="00EA55D0" w:rsidRDefault="00E82075" w:rsidP="00B64109">
      <w:pPr>
        <w:rPr>
          <w:rFonts w:cs="Arial"/>
        </w:rPr>
      </w:pPr>
      <w:r w:rsidRPr="00EA55D0">
        <w:rPr>
          <w:rFonts w:cs="Arial"/>
        </w:rPr>
        <w:t>An alternate financial year can only be approved if the Secretary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020BC3F5" w14:textId="3EE85A18" w:rsidR="00E82075" w:rsidRPr="00EA55D0" w:rsidRDefault="00E82075" w:rsidP="00B64109">
      <w:pPr>
        <w:rPr>
          <w:rFonts w:cs="Arial"/>
        </w:rPr>
      </w:pPr>
      <w:r w:rsidRPr="00EA55D0">
        <w:rPr>
          <w:rFonts w:cs="Arial"/>
        </w:rPr>
        <w:t xml:space="preserve">Please note, the department has 28 days in which to process any application for alternate arrangements. Requests for a different financial year must be made by </w:t>
      </w:r>
      <w:r w:rsidRPr="00EA55D0">
        <w:rPr>
          <w:rFonts w:cs="Arial"/>
        </w:rPr>
        <w:br/>
        <w:t>31 August each year.</w:t>
      </w:r>
    </w:p>
    <w:p w14:paraId="541E703E" w14:textId="26D84A7A" w:rsidR="00277C8D" w:rsidRPr="00EA55D0" w:rsidRDefault="00133012" w:rsidP="00ED3ABB">
      <w:pPr>
        <w:pStyle w:val="Header3"/>
      </w:pPr>
      <w:bookmarkStart w:id="7" w:name="_Toc209078244"/>
      <w:r w:rsidRPr="00EA55D0">
        <w:t xml:space="preserve">Audit </w:t>
      </w:r>
      <w:r w:rsidR="000C5B72" w:rsidRPr="00EA55D0">
        <w:t>requirements</w:t>
      </w:r>
      <w:bookmarkEnd w:id="7"/>
    </w:p>
    <w:p w14:paraId="47DC21BC" w14:textId="1DFB0A9E" w:rsidR="00552A31" w:rsidRPr="00EA55D0" w:rsidRDefault="00552A31" w:rsidP="00552A31">
      <w:pPr>
        <w:rPr>
          <w:rFonts w:cs="Arial"/>
        </w:rPr>
      </w:pPr>
      <w:r w:rsidRPr="00EA55D0">
        <w:rPr>
          <w:rFonts w:cs="Arial"/>
        </w:rPr>
        <w:t xml:space="preserve">The </w:t>
      </w:r>
      <w:r w:rsidR="00D377EC" w:rsidRPr="00EA55D0">
        <w:rPr>
          <w:rFonts w:cs="Arial"/>
        </w:rPr>
        <w:t>General-Purpose</w:t>
      </w:r>
      <w:r w:rsidRPr="00EA55D0">
        <w:rPr>
          <w:rFonts w:cs="Arial"/>
        </w:rPr>
        <w:t xml:space="preserve"> Financial Statement (GPFS) and the </w:t>
      </w:r>
      <w:r w:rsidR="007A2147" w:rsidRPr="00EA55D0">
        <w:rPr>
          <w:rFonts w:cs="Arial"/>
        </w:rPr>
        <w:t xml:space="preserve">Annual Prudential Compliance Statement (APCS) </w:t>
      </w:r>
      <w:r w:rsidRPr="00EA55D0">
        <w:rPr>
          <w:rFonts w:cs="Arial"/>
        </w:rPr>
        <w:t>sections of the ACFR are required to be audited.</w:t>
      </w:r>
      <w:r w:rsidR="000C65BF" w:rsidRPr="00EA55D0">
        <w:rPr>
          <w:rFonts w:cs="Arial"/>
        </w:rPr>
        <w:t xml:space="preserve"> </w:t>
      </w:r>
      <w:r w:rsidR="00DB3042" w:rsidRPr="00EA55D0">
        <w:rPr>
          <w:rFonts w:cs="Arial"/>
        </w:rPr>
        <w:t xml:space="preserve">Commencing in the ACFR 2025-26, all residential aged care providers must prepare and submit an externally audited </w:t>
      </w:r>
      <w:hyperlink r:id="rId19" w:history="1">
        <w:r w:rsidR="00DB3042" w:rsidRPr="00EA55D0">
          <w:rPr>
            <w:rStyle w:val="Hyperlink"/>
            <w:rFonts w:cs="Arial"/>
          </w:rPr>
          <w:t>Care Minutes Performance Statement</w:t>
        </w:r>
      </w:hyperlink>
      <w:r w:rsidR="00DB3042" w:rsidRPr="00EA55D0">
        <w:rPr>
          <w:rFonts w:cs="Arial"/>
        </w:rPr>
        <w:t xml:space="preserve"> (further information on this requirement is included in this Guidance and FAQs document). </w:t>
      </w:r>
      <w:r w:rsidRPr="00EA55D0">
        <w:rPr>
          <w:rFonts w:cs="Arial"/>
        </w:rPr>
        <w:t xml:space="preserve"> </w:t>
      </w:r>
      <w:r w:rsidRPr="00EA55D0">
        <w:rPr>
          <w:rFonts w:cs="Arial"/>
        </w:rPr>
        <w:lastRenderedPageBreak/>
        <w:t>All other sections do not need to be audited – this includes the Registered Provider Permitted Uses Reconciliation which does not form part of the APCS.</w:t>
      </w:r>
    </w:p>
    <w:p w14:paraId="5A62CE77" w14:textId="28A26AA7" w:rsidR="00277C8D" w:rsidRPr="003D7067" w:rsidRDefault="00277C8D" w:rsidP="00ED3ABB">
      <w:pPr>
        <w:pStyle w:val="Header3"/>
      </w:pPr>
      <w:bookmarkStart w:id="8" w:name="_Toc209078246"/>
      <w:r w:rsidRPr="003D7067">
        <w:t>Non-compliance with reporting obligations</w:t>
      </w:r>
      <w:bookmarkEnd w:id="8"/>
      <w:r w:rsidRPr="003D7067">
        <w:t xml:space="preserve"> </w:t>
      </w:r>
    </w:p>
    <w:p w14:paraId="5E7E6797" w14:textId="38F0BEAF" w:rsidR="00277C8D" w:rsidRPr="00EA55D0" w:rsidRDefault="00277C8D" w:rsidP="00277C8D">
      <w:pPr>
        <w:rPr>
          <w:rFonts w:cs="Arial"/>
        </w:rPr>
      </w:pPr>
      <w:r w:rsidRPr="00EA55D0">
        <w:rPr>
          <w:rFonts w:cs="Arial"/>
        </w:rPr>
        <w:t xml:space="preserve">Providers have responsibilities under the </w:t>
      </w:r>
      <w:r w:rsidR="00A36EF5" w:rsidRPr="00EA55D0">
        <w:rPr>
          <w:rFonts w:cs="Arial"/>
          <w:i/>
        </w:rPr>
        <w:t xml:space="preserve">Aged Care </w:t>
      </w:r>
      <w:r w:rsidR="00BE2525" w:rsidRPr="00EA55D0">
        <w:rPr>
          <w:rFonts w:cs="Arial"/>
          <w:i/>
        </w:rPr>
        <w:t>Act</w:t>
      </w:r>
      <w:r w:rsidR="00A36EF5" w:rsidRPr="00EA55D0">
        <w:rPr>
          <w:rFonts w:cs="Arial"/>
          <w:i/>
        </w:rPr>
        <w:t xml:space="preserve"> 2024</w:t>
      </w:r>
      <w:r w:rsidRPr="00EA55D0">
        <w:rPr>
          <w:rFonts w:cs="Arial"/>
        </w:rPr>
        <w:t xml:space="preserve"> and </w:t>
      </w:r>
      <w:r w:rsidR="00BE2525" w:rsidRPr="00EA55D0">
        <w:rPr>
          <w:rFonts w:cs="Arial"/>
        </w:rPr>
        <w:t>the</w:t>
      </w:r>
      <w:r w:rsidRPr="00EA55D0">
        <w:rPr>
          <w:rFonts w:cs="Arial"/>
        </w:rPr>
        <w:t xml:space="preserve"> </w:t>
      </w:r>
      <w:r w:rsidR="0072553C" w:rsidRPr="00EA55D0">
        <w:rPr>
          <w:rFonts w:cs="Arial"/>
        </w:rPr>
        <w:t>Rules</w:t>
      </w:r>
      <w:r w:rsidRPr="00EA55D0">
        <w:rPr>
          <w:rFonts w:cs="Arial"/>
        </w:rPr>
        <w:t xml:space="preserve"> to report certain information to the department and A</w:t>
      </w:r>
      <w:r w:rsidR="0086480D" w:rsidRPr="00EA55D0">
        <w:rPr>
          <w:rFonts w:cs="Arial"/>
        </w:rPr>
        <w:t xml:space="preserve">ged </w:t>
      </w:r>
      <w:r w:rsidRPr="00EA55D0">
        <w:rPr>
          <w:rFonts w:cs="Arial"/>
        </w:rPr>
        <w:t>C</w:t>
      </w:r>
      <w:r w:rsidR="0086480D" w:rsidRPr="00EA55D0">
        <w:rPr>
          <w:rFonts w:cs="Arial"/>
        </w:rPr>
        <w:t xml:space="preserve">are </w:t>
      </w:r>
      <w:r w:rsidRPr="00EA55D0">
        <w:rPr>
          <w:rFonts w:cs="Arial"/>
        </w:rPr>
        <w:t>Q</w:t>
      </w:r>
      <w:r w:rsidR="0086480D" w:rsidRPr="00EA55D0">
        <w:rPr>
          <w:rFonts w:cs="Arial"/>
        </w:rPr>
        <w:t xml:space="preserve">uality and </w:t>
      </w:r>
      <w:r w:rsidRPr="00EA55D0">
        <w:rPr>
          <w:rFonts w:cs="Arial"/>
        </w:rPr>
        <w:t>S</w:t>
      </w:r>
      <w:r w:rsidR="0086480D" w:rsidRPr="00EA55D0">
        <w:rPr>
          <w:rFonts w:cs="Arial"/>
        </w:rPr>
        <w:t xml:space="preserve">afety </w:t>
      </w:r>
      <w:r w:rsidRPr="00EA55D0">
        <w:rPr>
          <w:rFonts w:cs="Arial"/>
        </w:rPr>
        <w:t>C</w:t>
      </w:r>
      <w:r w:rsidR="0086480D" w:rsidRPr="00EA55D0">
        <w:rPr>
          <w:rFonts w:cs="Arial"/>
        </w:rPr>
        <w:t>ommission (</w:t>
      </w:r>
      <w:r w:rsidRPr="00EA55D0">
        <w:rPr>
          <w:rFonts w:cs="Arial"/>
        </w:rPr>
        <w:t>ACQSC</w:t>
      </w:r>
      <w:r w:rsidR="0086480D" w:rsidRPr="00EA55D0">
        <w:rPr>
          <w:rFonts w:cs="Arial"/>
        </w:rPr>
        <w:t>)</w:t>
      </w:r>
      <w:r w:rsidRPr="00EA55D0">
        <w:rPr>
          <w:rFonts w:cs="Arial"/>
        </w:rPr>
        <w:t>. This includes providing statements on financial and prudential matters. </w:t>
      </w:r>
    </w:p>
    <w:p w14:paraId="02C99F90" w14:textId="743FD85F" w:rsidR="002E334B" w:rsidRPr="00EA55D0" w:rsidRDefault="175984AD" w:rsidP="00277C8D">
      <w:pPr>
        <w:rPr>
          <w:rFonts w:cs="Arial"/>
        </w:rPr>
      </w:pPr>
      <w:r w:rsidRPr="00EA55D0">
        <w:rPr>
          <w:rFonts w:cs="Arial"/>
        </w:rPr>
        <w:t>Chapter 5, Part 2, Division 3, Subdivision E</w:t>
      </w:r>
      <w:r w:rsidR="002E334B" w:rsidRPr="00EA55D0">
        <w:rPr>
          <w:rFonts w:cs="Arial"/>
        </w:rPr>
        <w:t xml:space="preserve"> of the </w:t>
      </w:r>
      <w:r w:rsidR="00760F4C" w:rsidRPr="00EA55D0">
        <w:rPr>
          <w:rFonts w:cs="Arial"/>
        </w:rPr>
        <w:t>Rules</w:t>
      </w:r>
      <w:r w:rsidR="002E334B" w:rsidRPr="00EA55D0">
        <w:rPr>
          <w:rFonts w:cs="Arial"/>
        </w:rPr>
        <w:t xml:space="preserve"> set out the requirements for </w:t>
      </w:r>
      <w:r w:rsidR="003F43F7" w:rsidRPr="00EA55D0">
        <w:rPr>
          <w:rFonts w:cs="Arial"/>
        </w:rPr>
        <w:t>R</w:t>
      </w:r>
      <w:r w:rsidR="002E334B" w:rsidRPr="00EA55D0">
        <w:rPr>
          <w:rFonts w:cs="Arial"/>
        </w:rPr>
        <w:t xml:space="preserve">egistered </w:t>
      </w:r>
      <w:r w:rsidR="003F43F7" w:rsidRPr="00EA55D0">
        <w:rPr>
          <w:rFonts w:cs="Arial"/>
        </w:rPr>
        <w:t>P</w:t>
      </w:r>
      <w:r w:rsidR="002E334B" w:rsidRPr="00EA55D0">
        <w:rPr>
          <w:rFonts w:cs="Arial"/>
        </w:rPr>
        <w:t>roviders to prepare an ACFR for each financial year. Failure to lodge a</w:t>
      </w:r>
      <w:r w:rsidR="00AC06C9" w:rsidRPr="00EA55D0">
        <w:rPr>
          <w:rFonts w:cs="Arial"/>
        </w:rPr>
        <w:t>n</w:t>
      </w:r>
      <w:r w:rsidR="002E334B" w:rsidRPr="00EA55D0">
        <w:rPr>
          <w:rFonts w:cs="Arial"/>
        </w:rPr>
        <w:t xml:space="preserve"> ACFR is a breach of registered provider responsibilities. Any breach of these responsibilitie</w:t>
      </w:r>
      <w:r w:rsidR="001062C9" w:rsidRPr="00EA55D0">
        <w:rPr>
          <w:rFonts w:cs="Arial"/>
        </w:rPr>
        <w:t>s</w:t>
      </w:r>
      <w:r w:rsidR="002E334B" w:rsidRPr="00EA55D0">
        <w:rPr>
          <w:rFonts w:cs="Arial"/>
        </w:rPr>
        <w:t xml:space="preserve"> may result in a delegate of the Commissioner taking regulatory action including by issuing a Non-Compliance Notice or imposing one or more sanctions</w:t>
      </w:r>
      <w:r w:rsidR="005A496A" w:rsidRPr="00EA55D0">
        <w:rPr>
          <w:rFonts w:cs="Arial"/>
        </w:rPr>
        <w:t>.</w:t>
      </w:r>
    </w:p>
    <w:p w14:paraId="44E7B934" w14:textId="77777777" w:rsidR="00A971DC" w:rsidRPr="00EA55D0" w:rsidRDefault="00A971DC" w:rsidP="00ED3ABB">
      <w:pPr>
        <w:pStyle w:val="Header3"/>
      </w:pPr>
      <w:bookmarkStart w:id="9" w:name="_Toc209078245"/>
      <w:r w:rsidRPr="00EA55D0">
        <w:t>Declaration</w:t>
      </w:r>
      <w:bookmarkEnd w:id="9"/>
    </w:p>
    <w:p w14:paraId="08B8CE58" w14:textId="77777777" w:rsidR="00A971DC" w:rsidRPr="00EA55D0" w:rsidRDefault="00A971DC" w:rsidP="00A971DC">
      <w:pPr>
        <w:rPr>
          <w:rFonts w:cs="Arial"/>
        </w:rPr>
      </w:pPr>
      <w:r w:rsidRPr="00EA55D0">
        <w:rPr>
          <w:rFonts w:cs="Arial"/>
        </w:rPr>
        <w:t xml:space="preserve">The ACFR declaration will become available to download from the portal once all the required sections of the ACFR have been successfully completed. </w:t>
      </w:r>
    </w:p>
    <w:p w14:paraId="34D0C044" w14:textId="77777777" w:rsidR="00A971DC" w:rsidRPr="00EA55D0" w:rsidRDefault="00A971DC" w:rsidP="00A971DC">
      <w:pPr>
        <w:rPr>
          <w:rFonts w:cs="Arial"/>
        </w:rPr>
      </w:pPr>
      <w:r w:rsidRPr="00EA55D0">
        <w:rPr>
          <w:rFonts w:cs="Arial"/>
        </w:rPr>
        <w:t xml:space="preserve">The ACFR declaration form is required to be signed by a member, or group of members, of the governing body of the Registered Provider. For providers that are not a body corporate with a board of directors, the ACFR can be signed by a person or group of persons, responsible for making executive decisions on behalf of the provider. </w:t>
      </w:r>
    </w:p>
    <w:p w14:paraId="10FC94DE" w14:textId="476CB051" w:rsidR="00A971DC" w:rsidRPr="00EA55D0" w:rsidRDefault="00A971DC" w:rsidP="00A971DC">
      <w:pPr>
        <w:rPr>
          <w:rFonts w:cs="Arial"/>
        </w:rPr>
      </w:pPr>
      <w:r w:rsidRPr="00EA55D0">
        <w:rPr>
          <w:rFonts w:cs="Arial"/>
        </w:rPr>
        <w:t>To avoid delays in submitting the ACFR, it is recommended that providers have at least two signatories available to ensure coverage in the event the regular signatory is not available.</w:t>
      </w:r>
    </w:p>
    <w:p w14:paraId="0B7003CD" w14:textId="7A2613DB" w:rsidR="00610675" w:rsidRPr="00EA55D0" w:rsidRDefault="00610675" w:rsidP="00ED3ABB">
      <w:pPr>
        <w:pStyle w:val="Header3"/>
      </w:pPr>
      <w:r w:rsidRPr="00EA55D0">
        <w:t>Completing the ACFR</w:t>
      </w:r>
    </w:p>
    <w:p w14:paraId="47FF160D" w14:textId="45D35FCB" w:rsidR="00610675" w:rsidRPr="00EA55D0" w:rsidRDefault="00610675" w:rsidP="00E333F2">
      <w:pPr>
        <w:rPr>
          <w:rFonts w:cs="Arial"/>
        </w:rPr>
      </w:pPr>
      <w:r w:rsidRPr="00EA55D0">
        <w:rPr>
          <w:rFonts w:cs="Arial"/>
        </w:rPr>
        <w:t xml:space="preserve">The ACFR </w:t>
      </w:r>
      <w:r w:rsidR="00D52AFD" w:rsidRPr="00EA55D0">
        <w:rPr>
          <w:rFonts w:cs="Arial"/>
        </w:rPr>
        <w:t xml:space="preserve">is completed via the </w:t>
      </w:r>
      <w:hyperlink r:id="rId20" w:history="1">
        <w:r w:rsidR="00D52AFD" w:rsidRPr="00EA55D0">
          <w:rPr>
            <w:rStyle w:val="Hyperlink"/>
            <w:rFonts w:cs="Arial"/>
          </w:rPr>
          <w:t>Forms Administration portal</w:t>
        </w:r>
      </w:hyperlink>
      <w:r w:rsidR="00D52AFD" w:rsidRPr="00EA55D0">
        <w:rPr>
          <w:rFonts w:cs="Arial"/>
        </w:rPr>
        <w:t>.</w:t>
      </w:r>
    </w:p>
    <w:p w14:paraId="6E6A0E27" w14:textId="6C92D342" w:rsidR="00546DB9" w:rsidRPr="00EA55D0" w:rsidRDefault="00CD6F15" w:rsidP="00ED3ABB">
      <w:pPr>
        <w:pStyle w:val="Header3"/>
      </w:pPr>
      <w:r w:rsidRPr="00EA55D0">
        <w:t>Financial Reporting Help Desks</w:t>
      </w:r>
    </w:p>
    <w:p w14:paraId="2ADFD2AB" w14:textId="1CC29530" w:rsidR="001F351D" w:rsidRPr="00EA55D0" w:rsidRDefault="001F351D" w:rsidP="00E333F2">
      <w:pPr>
        <w:pStyle w:val="ListBullet"/>
      </w:pPr>
      <w:r w:rsidRPr="00EA55D0">
        <w:t xml:space="preserve">If you have questions about completing the QFR &amp; ACFR, contact the </w:t>
      </w:r>
      <w:r w:rsidRPr="00EA55D0">
        <w:rPr>
          <w:b/>
          <w:bCs/>
        </w:rPr>
        <w:t>Forms Administration Help Desk</w:t>
      </w:r>
      <w:r w:rsidRPr="00EA55D0">
        <w:t xml:space="preserve"> on </w:t>
      </w:r>
      <w:r w:rsidRPr="00EA55D0">
        <w:rPr>
          <w:b/>
          <w:bCs/>
        </w:rPr>
        <w:t>(02) 4403 0640</w:t>
      </w:r>
      <w:r w:rsidRPr="00EA55D0">
        <w:t xml:space="preserve"> or at</w:t>
      </w:r>
      <w:r w:rsidR="00D07FFC">
        <w:t xml:space="preserve"> </w:t>
      </w:r>
      <w:hyperlink r:id="rId21" w:history="1">
        <w:r w:rsidR="00D07FFC" w:rsidRPr="00E23D9D">
          <w:rPr>
            <w:rStyle w:val="Hyperlink"/>
          </w:rPr>
          <w:t>formsadministration@health.gov.au</w:t>
        </w:r>
      </w:hyperlink>
      <w:r w:rsidR="00D07FFC">
        <w:t xml:space="preserve">. </w:t>
      </w:r>
      <w:r w:rsidRPr="00EA55D0">
        <w:t xml:space="preserve"> </w:t>
      </w:r>
      <w:r w:rsidR="00D07FFC">
        <w:t xml:space="preserve"> </w:t>
      </w:r>
      <w:r w:rsidR="00D07FFC">
        <w:br/>
      </w:r>
      <w:r w:rsidRPr="00EA55D0">
        <w:t>They can provide support with:</w:t>
      </w:r>
    </w:p>
    <w:p w14:paraId="67A1AB3B" w14:textId="77777777" w:rsidR="001F351D" w:rsidRPr="00EA55D0" w:rsidRDefault="001F351D" w:rsidP="00E333F2">
      <w:pPr>
        <w:pStyle w:val="ListBullet2"/>
      </w:pPr>
      <w:r w:rsidRPr="00EA55D0">
        <w:t>Submission related questions</w:t>
      </w:r>
    </w:p>
    <w:p w14:paraId="4032F0B8" w14:textId="77777777" w:rsidR="001F351D" w:rsidRPr="00EA55D0" w:rsidRDefault="001F351D" w:rsidP="00E333F2">
      <w:pPr>
        <w:pStyle w:val="ListBullet2"/>
      </w:pPr>
      <w:r w:rsidRPr="00EA55D0">
        <w:t>Re-opening the portal for resubmissions</w:t>
      </w:r>
    </w:p>
    <w:p w14:paraId="08D0DC7F" w14:textId="60C71CDD" w:rsidR="001F351D" w:rsidRPr="00EA55D0" w:rsidRDefault="001F351D" w:rsidP="00E333F2">
      <w:pPr>
        <w:pStyle w:val="ListBullet2"/>
      </w:pPr>
      <w:r w:rsidRPr="00EA55D0">
        <w:t xml:space="preserve">General reporting queries </w:t>
      </w:r>
    </w:p>
    <w:p w14:paraId="4FA7A4EA" w14:textId="77777777" w:rsidR="001F351D" w:rsidRPr="00EA55D0" w:rsidRDefault="001F351D" w:rsidP="00E333F2">
      <w:pPr>
        <w:pStyle w:val="ListBullet"/>
      </w:pPr>
      <w:r w:rsidRPr="00EA55D0">
        <w:lastRenderedPageBreak/>
        <w:t xml:space="preserve">If you have questions about your specific financial reporting data, contact the </w:t>
      </w:r>
      <w:r w:rsidRPr="00EA55D0">
        <w:rPr>
          <w:b/>
          <w:bCs/>
        </w:rPr>
        <w:t>Financial Reporting Operations Team Help Desk</w:t>
      </w:r>
      <w:r w:rsidRPr="00EA55D0">
        <w:t xml:space="preserve"> at </w:t>
      </w:r>
      <w:hyperlink r:id="rId22" w:history="1">
        <w:r w:rsidRPr="00EA55D0">
          <w:rPr>
            <w:rStyle w:val="Hyperlink"/>
          </w:rPr>
          <w:t>ACFRQFRQueries@Health.gov.au</w:t>
        </w:r>
      </w:hyperlink>
      <w:r w:rsidRPr="00EA55D0">
        <w:t>. They can provide support with:</w:t>
      </w:r>
    </w:p>
    <w:p w14:paraId="6D6E885C" w14:textId="77777777" w:rsidR="001F351D" w:rsidRPr="00EA55D0" w:rsidRDefault="001F351D" w:rsidP="00E333F2">
      <w:pPr>
        <w:pStyle w:val="ListBullet2"/>
      </w:pPr>
      <w:r w:rsidRPr="00EA55D0">
        <w:t>Submission related questions</w:t>
      </w:r>
    </w:p>
    <w:p w14:paraId="44722C14" w14:textId="77777777" w:rsidR="001F351D" w:rsidRPr="00EA55D0" w:rsidRDefault="001F351D" w:rsidP="00E333F2">
      <w:pPr>
        <w:pStyle w:val="ListBullet2"/>
      </w:pPr>
      <w:r w:rsidRPr="00EA55D0">
        <w:t>Support at Home financial reporting questions</w:t>
      </w:r>
    </w:p>
    <w:p w14:paraId="2828E776" w14:textId="0D3A0017" w:rsidR="001F351D" w:rsidRPr="00EA55D0" w:rsidRDefault="001F351D" w:rsidP="00E333F2">
      <w:pPr>
        <w:pStyle w:val="ListBullet2"/>
      </w:pPr>
      <w:r w:rsidRPr="00EA55D0">
        <w:t>Changes to reporting from 1 November 2025 questions</w:t>
      </w:r>
    </w:p>
    <w:p w14:paraId="44446E9C" w14:textId="10F51021" w:rsidR="001F351D" w:rsidRPr="00EA55D0" w:rsidRDefault="001F351D" w:rsidP="00E333F2">
      <w:pPr>
        <w:pStyle w:val="ListBullet"/>
      </w:pPr>
      <w:r w:rsidRPr="00EA55D0">
        <w:t xml:space="preserve">If you have questions about residential direct care reporting and data quality checks, contact the </w:t>
      </w:r>
      <w:r w:rsidRPr="00EA55D0">
        <w:rPr>
          <w:b/>
          <w:bCs/>
        </w:rPr>
        <w:t xml:space="preserve">Residential Care </w:t>
      </w:r>
      <w:r w:rsidR="00D82AD2">
        <w:rPr>
          <w:b/>
          <w:bCs/>
        </w:rPr>
        <w:t xml:space="preserve">QFR &amp; ACFR </w:t>
      </w:r>
      <w:r w:rsidRPr="00EA55D0">
        <w:rPr>
          <w:b/>
          <w:bCs/>
        </w:rPr>
        <w:t>Help Desk</w:t>
      </w:r>
      <w:r w:rsidRPr="00EA55D0">
        <w:t xml:space="preserve"> at </w:t>
      </w:r>
      <w:hyperlink r:id="rId23" w:history="1">
        <w:r w:rsidRPr="00EA55D0">
          <w:rPr>
            <w:rStyle w:val="Hyperlink"/>
          </w:rPr>
          <w:t>QFRACFRHelp@health.gov.au</w:t>
        </w:r>
      </w:hyperlink>
      <w:r w:rsidRPr="00EA55D0">
        <w:t>. They can provide support with:</w:t>
      </w:r>
    </w:p>
    <w:p w14:paraId="10544139" w14:textId="46E5F52F" w:rsidR="001F351D" w:rsidRPr="00EA55D0" w:rsidRDefault="001F351D" w:rsidP="00E333F2">
      <w:pPr>
        <w:pStyle w:val="ListBullet2"/>
      </w:pPr>
      <w:r w:rsidRPr="00EA55D0">
        <w:t xml:space="preserve">Residential Labour Costs &amp; Hours </w:t>
      </w:r>
      <w:r w:rsidR="00B75D61">
        <w:t>data quality checks</w:t>
      </w:r>
    </w:p>
    <w:p w14:paraId="0B56E66D" w14:textId="77777777" w:rsidR="001F351D" w:rsidRPr="00EA55D0" w:rsidRDefault="001F351D" w:rsidP="00E333F2">
      <w:pPr>
        <w:pStyle w:val="ListBullet2"/>
      </w:pPr>
      <w:r w:rsidRPr="00EA55D0">
        <w:t>Care Minutes reporting questions</w:t>
      </w:r>
    </w:p>
    <w:p w14:paraId="1FD29859" w14:textId="77777777" w:rsidR="001F351D" w:rsidRPr="00EA55D0" w:rsidRDefault="001F351D" w:rsidP="00E333F2">
      <w:pPr>
        <w:pStyle w:val="ListBullet2"/>
      </w:pPr>
      <w:r w:rsidRPr="00EA55D0">
        <w:t>Residential data quality check questions</w:t>
      </w:r>
    </w:p>
    <w:p w14:paraId="590BCF1C" w14:textId="77777777" w:rsidR="00920E7A" w:rsidRPr="00EA55D0" w:rsidRDefault="00920E7A" w:rsidP="00ED3ABB">
      <w:pPr>
        <w:pStyle w:val="Header3"/>
      </w:pPr>
      <w:r w:rsidRPr="00EA55D0">
        <w:t>Other resources</w:t>
      </w:r>
    </w:p>
    <w:p w14:paraId="35154382" w14:textId="77777777" w:rsidR="00920E7A" w:rsidRPr="00ED3ABB" w:rsidRDefault="00920E7A" w:rsidP="00ED3ABB">
      <w:r w:rsidRPr="00ED3ABB">
        <w:t xml:space="preserve">There are additional resources provided on the </w:t>
      </w:r>
      <w:hyperlink r:id="rId24" w:history="1">
        <w:r w:rsidRPr="00ED3ABB">
          <w:rPr>
            <w:rStyle w:val="Hyperlink"/>
          </w:rPr>
          <w:t>department’s website</w:t>
        </w:r>
      </w:hyperlink>
      <w:r w:rsidRPr="00ED3ABB">
        <w:t xml:space="preserve"> and </w:t>
      </w:r>
      <w:hyperlink r:id="rId25" w:history="1">
        <w:r w:rsidRPr="00ED3ABB">
          <w:rPr>
            <w:rStyle w:val="Hyperlink"/>
          </w:rPr>
          <w:t>Forms Administration website</w:t>
        </w:r>
      </w:hyperlink>
      <w:r w:rsidRPr="00ED3ABB">
        <w:t xml:space="preserve"> to assist providers completing the ACFR. </w:t>
      </w:r>
    </w:p>
    <w:p w14:paraId="0BCBA001" w14:textId="77777777" w:rsidR="00920E7A" w:rsidRPr="00EA55D0" w:rsidRDefault="00920E7A" w:rsidP="00920E7A">
      <w:pPr>
        <w:rPr>
          <w:rFonts w:cs="Arial"/>
        </w:rPr>
      </w:pPr>
      <w:r w:rsidRPr="00EA55D0">
        <w:rPr>
          <w:rFonts w:cs="Arial"/>
        </w:rPr>
        <w:t>These include:</w:t>
      </w:r>
    </w:p>
    <w:p w14:paraId="522D9AD3" w14:textId="101706D5" w:rsidR="00920E7A" w:rsidRPr="00EA55D0" w:rsidRDefault="00920E7A" w:rsidP="001C1676">
      <w:pPr>
        <w:pStyle w:val="ListBullet"/>
        <w:tabs>
          <w:tab w:val="clear" w:pos="360"/>
          <w:tab w:val="num" w:pos="709"/>
        </w:tabs>
        <w:ind w:left="927" w:hanging="643"/>
        <w:rPr>
          <w:rFonts w:cs="Arial"/>
        </w:rPr>
      </w:pPr>
      <w:r w:rsidRPr="00EA55D0">
        <w:rPr>
          <w:rFonts w:cs="Arial"/>
        </w:rPr>
        <w:t xml:space="preserve">ACFR </w:t>
      </w:r>
      <w:r w:rsidR="002D6759" w:rsidRPr="00EA55D0">
        <w:rPr>
          <w:rFonts w:cs="Arial"/>
        </w:rPr>
        <w:t xml:space="preserve">non-uploadable </w:t>
      </w:r>
      <w:r w:rsidRPr="00EA55D0">
        <w:rPr>
          <w:rFonts w:cs="Arial"/>
        </w:rPr>
        <w:t xml:space="preserve">template </w:t>
      </w:r>
    </w:p>
    <w:p w14:paraId="3A996F4A" w14:textId="77777777" w:rsidR="00920E7A" w:rsidRPr="00EA55D0" w:rsidRDefault="00920E7A" w:rsidP="001C1676">
      <w:pPr>
        <w:pStyle w:val="ListBullet"/>
        <w:tabs>
          <w:tab w:val="clear" w:pos="360"/>
          <w:tab w:val="num" w:pos="709"/>
        </w:tabs>
        <w:ind w:left="927" w:hanging="643"/>
        <w:rPr>
          <w:rFonts w:cs="Arial"/>
        </w:rPr>
      </w:pPr>
      <w:r w:rsidRPr="00EA55D0">
        <w:rPr>
          <w:rFonts w:cs="Arial"/>
        </w:rPr>
        <w:t>ACFR definitions</w:t>
      </w:r>
    </w:p>
    <w:p w14:paraId="2B4F2D2C" w14:textId="77777777" w:rsidR="00920E7A" w:rsidRPr="00EA55D0" w:rsidRDefault="00920E7A" w:rsidP="001C1676">
      <w:pPr>
        <w:pStyle w:val="ListBullet"/>
        <w:tabs>
          <w:tab w:val="clear" w:pos="360"/>
          <w:tab w:val="num" w:pos="709"/>
        </w:tabs>
        <w:ind w:left="927" w:hanging="643"/>
        <w:rPr>
          <w:rFonts w:cs="Arial"/>
        </w:rPr>
      </w:pPr>
      <w:r w:rsidRPr="00EA55D0">
        <w:rPr>
          <w:rFonts w:cs="Arial"/>
        </w:rPr>
        <w:t>APCS resources</w:t>
      </w:r>
    </w:p>
    <w:p w14:paraId="46105789" w14:textId="0D32F0CD" w:rsidR="002E334B" w:rsidRPr="001F3525" w:rsidRDefault="002E334B" w:rsidP="001F3525">
      <w:r w:rsidRPr="001F3525">
        <w:br w:type="page"/>
      </w:r>
    </w:p>
    <w:p w14:paraId="764CA0D1" w14:textId="77777777" w:rsidR="00D0338A" w:rsidRPr="001F3525" w:rsidRDefault="00D0338A" w:rsidP="001F3525"/>
    <w:p w14:paraId="66017B90" w14:textId="11FC6389" w:rsidR="00D0338A" w:rsidRPr="00EA55D0" w:rsidRDefault="00D0338A" w:rsidP="00D0338A">
      <w:pPr>
        <w:pStyle w:val="SectionNumber"/>
        <w:rPr>
          <w:rFonts w:cs="Arial"/>
          <w:noProof w:val="0"/>
        </w:rPr>
      </w:pPr>
      <w:r w:rsidRPr="00EA55D0">
        <w:rPr>
          <w:rFonts w:cs="Arial"/>
        </w:rPr>
        <mc:AlternateContent>
          <mc:Choice Requires="wps">
            <w:drawing>
              <wp:anchor distT="0" distB="0" distL="114300" distR="114300" simplePos="0" relativeHeight="251666432" behindDoc="1" locked="0" layoutInCell="1" allowOverlap="1" wp14:anchorId="0724BFD8" wp14:editId="27E063DD">
                <wp:simplePos x="171450" y="400050"/>
                <wp:positionH relativeFrom="page">
                  <wp:align>left</wp:align>
                </wp:positionH>
                <wp:positionV relativeFrom="page">
                  <wp:align>top</wp:align>
                </wp:positionV>
                <wp:extent cx="7560000" cy="10692000"/>
                <wp:effectExtent l="0" t="0" r="3175" b="0"/>
                <wp:wrapNone/>
                <wp:docPr id="1336984552" name="Rectangle 1336984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FD50" id="Rectangle 1336984552" o:spid="_x0000_s1026" alt="&quot;&quot;" style="position:absolute;margin-left:0;margin-top:0;width:595.3pt;height:841.9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FA2DBB" w:rsidRPr="00EA55D0">
        <w:rPr>
          <w:rFonts w:cs="Arial"/>
          <w:noProof w:val="0"/>
        </w:rPr>
        <w:t>AC</w:t>
      </w:r>
      <w:r w:rsidRPr="00EA55D0">
        <w:rPr>
          <w:rFonts w:cs="Arial"/>
          <w:noProof w:val="0"/>
        </w:rPr>
        <w:t>FR Changes</w:t>
      </w:r>
    </w:p>
    <w:p w14:paraId="57559FEB" w14:textId="7BE05E8E" w:rsidR="00D0338A" w:rsidRPr="00EA55D0" w:rsidRDefault="00D0338A" w:rsidP="00D0338A">
      <w:pPr>
        <w:pStyle w:val="SectionTitle"/>
        <w:rPr>
          <w:rFonts w:cs="Arial"/>
        </w:rPr>
      </w:pPr>
      <w:r w:rsidRPr="00EA55D0">
        <w:rPr>
          <w:rFonts w:cs="Arial"/>
        </w:rPr>
        <w:t xml:space="preserve">Changes to the </w:t>
      </w:r>
      <w:r w:rsidR="00FA2DBB" w:rsidRPr="00EA55D0">
        <w:rPr>
          <w:rFonts w:cs="Arial"/>
        </w:rPr>
        <w:t>AC</w:t>
      </w:r>
      <w:r w:rsidRPr="00EA55D0">
        <w:rPr>
          <w:rFonts w:cs="Arial"/>
        </w:rPr>
        <w:t xml:space="preserve">FR </w:t>
      </w:r>
      <w:r w:rsidRPr="00EA55D0">
        <w:rPr>
          <w:rFonts w:cs="Arial"/>
          <w:noProof/>
        </w:rPr>
        <mc:AlternateContent>
          <mc:Choice Requires="wps">
            <w:drawing>
              <wp:anchor distT="0" distB="0" distL="114300" distR="114300" simplePos="0" relativeHeight="251652096" behindDoc="1" locked="0" layoutInCell="1" allowOverlap="1" wp14:anchorId="3914CA5D" wp14:editId="1883205D">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EC35A" id="Rectangle 350943660" o:spid="_x0000_s1026" alt="&quot;&quot;" style="position:absolute;margin-left:0;margin-top:-84.5pt;width:595.3pt;height:84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fillcolor="#1e1545 [3213]" stroked="f" strokeweight="2pt">
                <w10:wrap anchorx="page" anchory="margin"/>
              </v:rect>
            </w:pict>
          </mc:Fallback>
        </mc:AlternateContent>
      </w:r>
      <w:r w:rsidR="00E80461" w:rsidRPr="00EA55D0">
        <w:rPr>
          <w:rFonts w:cs="Arial"/>
        </w:rPr>
        <w:t>for 2025-26</w:t>
      </w:r>
    </w:p>
    <w:p w14:paraId="08C1E0E1" w14:textId="77777777" w:rsidR="00D0338A" w:rsidRPr="00E333F2" w:rsidRDefault="00D0338A" w:rsidP="00E333F2">
      <w:r w:rsidRPr="00E333F2">
        <w:br w:type="page"/>
      </w:r>
    </w:p>
    <w:p w14:paraId="30D52887" w14:textId="701E1DB3" w:rsidR="00D0338A" w:rsidRPr="00EA55D0" w:rsidRDefault="00D0338A" w:rsidP="00ED3ABB">
      <w:pPr>
        <w:pStyle w:val="Heading1"/>
      </w:pPr>
      <w:bookmarkStart w:id="10" w:name="_Toc209078249"/>
      <w:bookmarkStart w:id="11" w:name="_Toc209774711"/>
      <w:r w:rsidRPr="00EA55D0">
        <w:lastRenderedPageBreak/>
        <w:t xml:space="preserve">Changes to the </w:t>
      </w:r>
      <w:r w:rsidR="00FA2DBB" w:rsidRPr="00EA55D0">
        <w:t>AC</w:t>
      </w:r>
      <w:r w:rsidRPr="00EA55D0">
        <w:t>FR</w:t>
      </w:r>
      <w:bookmarkEnd w:id="10"/>
      <w:r w:rsidRPr="00EA55D0">
        <w:t xml:space="preserve"> </w:t>
      </w:r>
      <w:r w:rsidR="00BF3744">
        <w:t>from 1 November 2025</w:t>
      </w:r>
      <w:bookmarkEnd w:id="11"/>
    </w:p>
    <w:p w14:paraId="5A4C3CFD" w14:textId="18F1C2E5" w:rsidR="00D25108" w:rsidRPr="00EA55D0" w:rsidRDefault="00D25108" w:rsidP="00E333F2">
      <w:pPr>
        <w:pStyle w:val="Heading2"/>
      </w:pPr>
      <w:bookmarkStart w:id="12" w:name="_Toc207281685"/>
      <w:bookmarkStart w:id="13" w:name="_Toc209078250"/>
      <w:r w:rsidRPr="00EA55D0">
        <w:t xml:space="preserve">Introduction of the new </w:t>
      </w:r>
      <w:r w:rsidR="00B36E80" w:rsidRPr="00EA55D0">
        <w:t xml:space="preserve">Aged Care </w:t>
      </w:r>
      <w:r w:rsidRPr="00EA55D0">
        <w:t>Act</w:t>
      </w:r>
      <w:r w:rsidR="00B36E80" w:rsidRPr="00EA55D0">
        <w:t xml:space="preserve"> and Support at Home program</w:t>
      </w:r>
      <w:bookmarkEnd w:id="12"/>
      <w:bookmarkEnd w:id="13"/>
    </w:p>
    <w:p w14:paraId="7C809978" w14:textId="33E686FF" w:rsidR="00D0338A" w:rsidRPr="00EA55D0" w:rsidRDefault="00D0338A" w:rsidP="00D0338A">
      <w:pPr>
        <w:rPr>
          <w:rFonts w:cs="Arial"/>
        </w:rPr>
      </w:pPr>
      <w:r w:rsidRPr="00EA55D0">
        <w:rPr>
          <w:rFonts w:cs="Arial"/>
        </w:rPr>
        <w:t xml:space="preserve">From 1 November 2025 aged care providers will transition to </w:t>
      </w:r>
      <w:r w:rsidR="000A5D3E" w:rsidRPr="00EA55D0">
        <w:rPr>
          <w:rFonts w:cs="Arial"/>
        </w:rPr>
        <w:t>being a R</w:t>
      </w:r>
      <w:r w:rsidRPr="00EA55D0">
        <w:rPr>
          <w:rFonts w:cs="Arial"/>
        </w:rPr>
        <w:t xml:space="preserve">egistered </w:t>
      </w:r>
      <w:r w:rsidR="000A5D3E" w:rsidRPr="00EA55D0">
        <w:rPr>
          <w:rFonts w:cs="Arial"/>
        </w:rPr>
        <w:t>P</w:t>
      </w:r>
      <w:r w:rsidRPr="00EA55D0">
        <w:rPr>
          <w:rFonts w:cs="Arial"/>
        </w:rPr>
        <w:t xml:space="preserve">rovider under the </w:t>
      </w:r>
      <w:r w:rsidR="00B36E80" w:rsidRPr="00EA55D0">
        <w:rPr>
          <w:rFonts w:cs="Arial"/>
        </w:rPr>
        <w:t>new Act</w:t>
      </w:r>
      <w:r w:rsidR="004154B9" w:rsidRPr="00EA55D0">
        <w:rPr>
          <w:rFonts w:cs="Arial"/>
        </w:rPr>
        <w:t xml:space="preserve">. </w:t>
      </w:r>
      <w:r w:rsidRPr="00EA55D0">
        <w:rPr>
          <w:rFonts w:cs="Arial"/>
        </w:rPr>
        <w:t xml:space="preserve">Providers delivering the Home Care Packages Program and </w:t>
      </w:r>
      <w:r w:rsidR="00887FD2">
        <w:rPr>
          <w:rFonts w:cs="Arial"/>
        </w:rPr>
        <w:t>Short-Term Restorative Care</w:t>
      </w:r>
      <w:r w:rsidRPr="00EA55D0">
        <w:rPr>
          <w:rFonts w:cs="Arial"/>
        </w:rPr>
        <w:t xml:space="preserve"> Program</w:t>
      </w:r>
      <w:r w:rsidR="00863AF4" w:rsidRPr="00EA55D0">
        <w:rPr>
          <w:rFonts w:cs="Arial"/>
        </w:rPr>
        <w:t>me</w:t>
      </w:r>
      <w:r w:rsidRPr="00EA55D0">
        <w:rPr>
          <w:rFonts w:cs="Arial"/>
        </w:rPr>
        <w:t xml:space="preserve"> will transition to the new Support at Home </w:t>
      </w:r>
      <w:r w:rsidR="009077D2" w:rsidRPr="00EA55D0">
        <w:rPr>
          <w:rFonts w:cs="Arial"/>
        </w:rPr>
        <w:t>p</w:t>
      </w:r>
      <w:r w:rsidRPr="00EA55D0">
        <w:rPr>
          <w:rFonts w:cs="Arial"/>
        </w:rPr>
        <w:t>rogram. </w:t>
      </w:r>
    </w:p>
    <w:p w14:paraId="39733B41" w14:textId="00215DAE" w:rsidR="002625F2" w:rsidRPr="00EA55D0" w:rsidRDefault="00E039DE" w:rsidP="00E039DE">
      <w:pPr>
        <w:rPr>
          <w:rFonts w:cs="Arial"/>
        </w:rPr>
      </w:pPr>
      <w:r w:rsidRPr="00EA55D0">
        <w:rPr>
          <w:rFonts w:cs="Arial"/>
        </w:rPr>
        <w:t xml:space="preserve">Even though the </w:t>
      </w:r>
      <w:r w:rsidRPr="00EA55D0">
        <w:rPr>
          <w:rFonts w:cs="Arial"/>
          <w:i/>
          <w:iCs/>
        </w:rPr>
        <w:t>Aged Care Act 1997</w:t>
      </w:r>
      <w:r w:rsidRPr="00EA55D0">
        <w:rPr>
          <w:rFonts w:cs="Arial"/>
        </w:rPr>
        <w:t xml:space="preserve"> and the new Act are both relevant legislation within the 2025-26 financial year, providers will be required to complete only one ACFR for the period. </w:t>
      </w:r>
      <w:r w:rsidR="002625F2" w:rsidRPr="00EA55D0">
        <w:rPr>
          <w:rFonts w:cs="Arial"/>
        </w:rPr>
        <w:t xml:space="preserve">Providers will be required to complete the reporting under their Registered Provider structure. </w:t>
      </w:r>
    </w:p>
    <w:p w14:paraId="79590108" w14:textId="6ABA522D" w:rsidR="00CF0A21" w:rsidRPr="00EA55D0" w:rsidRDefault="00CF0A21" w:rsidP="00E039DE">
      <w:pPr>
        <w:rPr>
          <w:rFonts w:cs="Arial"/>
        </w:rPr>
      </w:pPr>
      <w:r w:rsidRPr="00EA55D0">
        <w:rPr>
          <w:rFonts w:cs="Arial"/>
        </w:rPr>
        <w:t xml:space="preserve">If your organisational structure changes when you become a Registered Provider, we encourage you to consider how this will impact your financial reporting. </w:t>
      </w:r>
    </w:p>
    <w:p w14:paraId="027E4266" w14:textId="54577012" w:rsidR="00BA640D" w:rsidRPr="00EA55D0" w:rsidRDefault="00011B0F" w:rsidP="00E039DE">
      <w:pPr>
        <w:rPr>
          <w:rFonts w:cs="Arial"/>
        </w:rPr>
      </w:pPr>
      <w:r w:rsidRPr="00EA55D0">
        <w:rPr>
          <w:rFonts w:cs="Arial"/>
        </w:rPr>
        <w:t>The department has made several changes to the</w:t>
      </w:r>
      <w:r w:rsidR="00D04B7F" w:rsidRPr="00EA55D0">
        <w:rPr>
          <w:rFonts w:cs="Arial"/>
        </w:rPr>
        <w:t xml:space="preserve"> </w:t>
      </w:r>
      <w:r w:rsidR="00A47A4A" w:rsidRPr="00EA55D0">
        <w:rPr>
          <w:rFonts w:cs="Arial"/>
        </w:rPr>
        <w:t>ACFR</w:t>
      </w:r>
      <w:r w:rsidR="0019066F" w:rsidRPr="00EA55D0">
        <w:rPr>
          <w:rFonts w:cs="Arial"/>
        </w:rPr>
        <w:t xml:space="preserve"> </w:t>
      </w:r>
      <w:r w:rsidR="003B7365" w:rsidRPr="00EA55D0">
        <w:rPr>
          <w:rFonts w:cs="Arial"/>
        </w:rPr>
        <w:t>2025-26,</w:t>
      </w:r>
      <w:r w:rsidR="0019066F" w:rsidRPr="00EA55D0">
        <w:rPr>
          <w:rFonts w:cs="Arial"/>
        </w:rPr>
        <w:t xml:space="preserve"> </w:t>
      </w:r>
      <w:r w:rsidR="00D04B7F" w:rsidRPr="00EA55D0">
        <w:rPr>
          <w:rFonts w:cs="Arial"/>
        </w:rPr>
        <w:t xml:space="preserve">to reflect </w:t>
      </w:r>
      <w:r w:rsidR="003B7365" w:rsidRPr="00EA55D0">
        <w:rPr>
          <w:rFonts w:cs="Arial"/>
        </w:rPr>
        <w:t xml:space="preserve">the changes from 1 November 2025, </w:t>
      </w:r>
      <w:r w:rsidR="0019066F" w:rsidRPr="00EA55D0">
        <w:rPr>
          <w:rFonts w:cs="Arial"/>
        </w:rPr>
        <w:t xml:space="preserve">which are detailed </w:t>
      </w:r>
      <w:r w:rsidR="003B7365" w:rsidRPr="00EA55D0">
        <w:rPr>
          <w:rFonts w:cs="Arial"/>
        </w:rPr>
        <w:t>below</w:t>
      </w:r>
      <w:r w:rsidR="0019066F" w:rsidRPr="00EA55D0">
        <w:rPr>
          <w:rFonts w:cs="Arial"/>
        </w:rPr>
        <w:t xml:space="preserve">. </w:t>
      </w:r>
    </w:p>
    <w:p w14:paraId="3F860798" w14:textId="30150624" w:rsidR="00A3355E" w:rsidRPr="00EA55D0" w:rsidRDefault="00DD3EB2" w:rsidP="00E039DE">
      <w:pPr>
        <w:rPr>
          <w:rFonts w:cs="Arial"/>
        </w:rPr>
      </w:pPr>
      <w:r w:rsidRPr="00EA55D0">
        <w:rPr>
          <w:rFonts w:eastAsiaTheme="minorHAnsi"/>
          <w:lang w:eastAsia="en-AU"/>
        </w:rPr>
        <w:t xml:space="preserve">There are changes to the financial reporting for providers who deliver residential aged care, the Home Care Packages Program, and the new Support at Home program. </w:t>
      </w:r>
      <w:r w:rsidR="00A3355E" w:rsidRPr="00EA55D0">
        <w:rPr>
          <w:rFonts w:cs="Arial"/>
        </w:rPr>
        <w:t xml:space="preserve">Providers delivering </w:t>
      </w:r>
      <w:r w:rsidR="00E843B7">
        <w:rPr>
          <w:rFonts w:cs="Arial"/>
        </w:rPr>
        <w:t xml:space="preserve">services under the </w:t>
      </w:r>
      <w:r w:rsidR="00A3355E" w:rsidRPr="00EA55D0">
        <w:rPr>
          <w:rFonts w:cs="Arial"/>
        </w:rPr>
        <w:t xml:space="preserve">Multi-Purpose Services </w:t>
      </w:r>
      <w:r w:rsidR="00E843B7">
        <w:rPr>
          <w:rFonts w:cs="Arial"/>
        </w:rPr>
        <w:t xml:space="preserve">Program </w:t>
      </w:r>
      <w:r w:rsidR="00A3355E" w:rsidRPr="00EA55D0">
        <w:rPr>
          <w:rFonts w:cs="Arial"/>
        </w:rPr>
        <w:t>will continue to complete the Annual Prudential Compliance Statement</w:t>
      </w:r>
      <w:r w:rsidR="00043D9D">
        <w:rPr>
          <w:rFonts w:cs="Arial"/>
        </w:rPr>
        <w:t xml:space="preserve"> (APCS)</w:t>
      </w:r>
      <w:r w:rsidR="00A3355E" w:rsidRPr="00EA55D0">
        <w:rPr>
          <w:rFonts w:cs="Arial"/>
        </w:rPr>
        <w:t xml:space="preserve"> </w:t>
      </w:r>
      <w:r w:rsidR="000F3F6F" w:rsidRPr="00EA55D0">
        <w:rPr>
          <w:rFonts w:cs="Arial"/>
        </w:rPr>
        <w:t xml:space="preserve">only. </w:t>
      </w:r>
    </w:p>
    <w:p w14:paraId="12815033" w14:textId="1C59A11B" w:rsidR="00491A59" w:rsidRPr="00EA55D0" w:rsidRDefault="00491A59" w:rsidP="00491A59">
      <w:pPr>
        <w:rPr>
          <w:rFonts w:cs="Arial"/>
        </w:rPr>
      </w:pPr>
      <w:r w:rsidRPr="00EA55D0">
        <w:rPr>
          <w:rFonts w:cs="Arial"/>
        </w:rPr>
        <w:t xml:space="preserve">The department will continue to communicate further changes to financial reporting in the 2025-26 financial year. </w:t>
      </w:r>
    </w:p>
    <w:p w14:paraId="3196139C" w14:textId="09F6AA4B" w:rsidR="001E78DE" w:rsidRPr="004A5A2E" w:rsidRDefault="009E1DEB" w:rsidP="00E333F2">
      <w:pPr>
        <w:pStyle w:val="Heading2"/>
      </w:pPr>
      <w:r w:rsidRPr="004A5A2E">
        <w:t>T</w:t>
      </w:r>
      <w:r w:rsidR="00B330A1" w:rsidRPr="004A5A2E">
        <w:t>ermin</w:t>
      </w:r>
      <w:r w:rsidR="001E78DE" w:rsidRPr="004A5A2E">
        <w:t xml:space="preserve">ology and Legislative References </w:t>
      </w:r>
    </w:p>
    <w:p w14:paraId="180635DE" w14:textId="1D439B7D" w:rsidR="00A239B3" w:rsidRPr="001F3525" w:rsidRDefault="001E78DE" w:rsidP="00ED3ABB">
      <w:r w:rsidRPr="001F3525">
        <w:t>You will notice u</w:t>
      </w:r>
      <w:r w:rsidR="00D0338A" w:rsidRPr="001F3525">
        <w:t xml:space="preserve">pdated terminology and legislative references throughout the </w:t>
      </w:r>
      <w:r w:rsidR="009615AB" w:rsidRPr="001F3525">
        <w:t>AC</w:t>
      </w:r>
      <w:r w:rsidRPr="001F3525">
        <w:t>FR</w:t>
      </w:r>
      <w:r w:rsidR="004F389D" w:rsidRPr="001F3525">
        <w:t xml:space="preserve">, </w:t>
      </w:r>
      <w:r w:rsidR="00B9522B" w:rsidRPr="001F3525">
        <w:t>APCS</w:t>
      </w:r>
      <w:r w:rsidR="004F389D" w:rsidRPr="001F3525">
        <w:t xml:space="preserve"> </w:t>
      </w:r>
      <w:r w:rsidR="00B9522B" w:rsidRPr="001F3525">
        <w:t xml:space="preserve">and </w:t>
      </w:r>
      <w:r w:rsidR="004F389D" w:rsidRPr="001F3525">
        <w:t>Declaration Form</w:t>
      </w:r>
      <w:r w:rsidR="00D0338A" w:rsidRPr="001F3525">
        <w:t xml:space="preserve"> to align with the new Act and Rules</w:t>
      </w:r>
      <w:r w:rsidR="00B4284E" w:rsidRPr="001F3525">
        <w:t>,</w:t>
      </w:r>
      <w:r w:rsidR="00D0338A" w:rsidRPr="001F3525">
        <w:t xml:space="preserve"> </w:t>
      </w:r>
      <w:r w:rsidR="00DA0F45" w:rsidRPr="001F3525">
        <w:t>R</w:t>
      </w:r>
      <w:r w:rsidR="00D0338A" w:rsidRPr="001F3525">
        <w:t xml:space="preserve">egistered </w:t>
      </w:r>
      <w:r w:rsidR="00DA0F45" w:rsidRPr="001F3525">
        <w:t>P</w:t>
      </w:r>
      <w:r w:rsidR="00D0338A" w:rsidRPr="001F3525">
        <w:t xml:space="preserve">rovider </w:t>
      </w:r>
      <w:r w:rsidR="002F41AA" w:rsidRPr="001F3525">
        <w:t xml:space="preserve">and Support at Home program, which commence on 1 November 2025. </w:t>
      </w:r>
    </w:p>
    <w:p w14:paraId="1DFA049B" w14:textId="588280B0" w:rsidR="00A239B3" w:rsidRPr="00D934A4" w:rsidRDefault="00A239B3" w:rsidP="00A239B3">
      <w:pPr>
        <w:pStyle w:val="SubjectHeading"/>
      </w:pPr>
      <w:r>
        <w:t>Residential aged care</w:t>
      </w:r>
      <w:r w:rsidRPr="00D934A4">
        <w:t xml:space="preserve"> changes</w:t>
      </w:r>
    </w:p>
    <w:p w14:paraId="2518EA2B" w14:textId="46181889" w:rsidR="003F2646" w:rsidRPr="002841B4" w:rsidRDefault="003F2646" w:rsidP="00E333F2">
      <w:pPr>
        <w:pStyle w:val="Heading2"/>
      </w:pPr>
      <w:r w:rsidRPr="002841B4">
        <w:t>Removal of Amortisation and Impairment of Bed Licen</w:t>
      </w:r>
      <w:r w:rsidR="00E64E89" w:rsidRPr="002841B4">
        <w:t>c</w:t>
      </w:r>
      <w:r w:rsidRPr="002841B4">
        <w:t xml:space="preserve">es </w:t>
      </w:r>
    </w:p>
    <w:p w14:paraId="27B84A63" w14:textId="77777777" w:rsidR="000B5AF1" w:rsidRPr="001F3525" w:rsidRDefault="003F2646" w:rsidP="001F3525">
      <w:r w:rsidRPr="001F3525">
        <w:t>With the move to allocating residential aged care places directly to older people from 1 November 2025 bed licences no longer have any value, therefore</w:t>
      </w:r>
      <w:r w:rsidR="00FA4C79" w:rsidRPr="001F3525">
        <w:t xml:space="preserve"> the</w:t>
      </w:r>
      <w:r w:rsidR="003C25A5" w:rsidRPr="001F3525">
        <w:t>:</w:t>
      </w:r>
    </w:p>
    <w:p w14:paraId="5AC5DBCF" w14:textId="180CF835" w:rsidR="000B5AF1" w:rsidRPr="00EA55D0" w:rsidRDefault="0024674B" w:rsidP="00E333F2">
      <w:pPr>
        <w:pStyle w:val="ListBullet"/>
      </w:pPr>
      <w:r w:rsidRPr="00EA55D0">
        <w:t>“</w:t>
      </w:r>
      <w:r w:rsidR="003F2646" w:rsidRPr="00EA55D0">
        <w:t>Amortisation and Impairment of Bed Licen</w:t>
      </w:r>
      <w:r w:rsidR="004D0787" w:rsidRPr="00EA55D0">
        <w:t>c</w:t>
      </w:r>
      <w:r w:rsidR="003F2646" w:rsidRPr="00EA55D0">
        <w:t>es</w:t>
      </w:r>
      <w:r w:rsidR="00FA4C79" w:rsidRPr="00EA55D0">
        <w:t>” expense item</w:t>
      </w:r>
      <w:r w:rsidR="003F2646" w:rsidRPr="00EA55D0">
        <w:t xml:space="preserve"> has been removed from </w:t>
      </w:r>
      <w:r w:rsidR="003E235C" w:rsidRPr="00EA55D0">
        <w:t xml:space="preserve">the </w:t>
      </w:r>
      <w:r w:rsidR="00FA4C79" w:rsidRPr="00EA55D0">
        <w:t>“</w:t>
      </w:r>
      <w:r w:rsidR="003E235C" w:rsidRPr="00EA55D0">
        <w:t xml:space="preserve">Consolidated </w:t>
      </w:r>
      <w:r w:rsidR="001751C7" w:rsidRPr="00EA55D0">
        <w:t>Segment Report</w:t>
      </w:r>
      <w:r w:rsidR="00FA4C79" w:rsidRPr="00EA55D0">
        <w:t>”</w:t>
      </w:r>
      <w:r w:rsidR="001751C7" w:rsidRPr="00EA55D0">
        <w:t xml:space="preserve"> </w:t>
      </w:r>
      <w:r w:rsidR="003F2646" w:rsidRPr="00EA55D0">
        <w:t xml:space="preserve">and </w:t>
      </w:r>
      <w:r w:rsidR="00AB6E4D" w:rsidRPr="00EA55D0">
        <w:t>the “Registered Provider Income and Expenditure Statement”</w:t>
      </w:r>
    </w:p>
    <w:p w14:paraId="6473BD7D" w14:textId="7F610270" w:rsidR="000B5AF1" w:rsidRPr="00EA55D0" w:rsidRDefault="003F2646" w:rsidP="00E333F2">
      <w:pPr>
        <w:pStyle w:val="ListBullet"/>
      </w:pPr>
      <w:r w:rsidRPr="00EA55D0">
        <w:t>Intangible Assets definition has been updated to remove Bed Licen</w:t>
      </w:r>
      <w:r w:rsidR="004D0787" w:rsidRPr="00EA55D0">
        <w:t>c</w:t>
      </w:r>
      <w:r w:rsidRPr="00EA55D0">
        <w:t>es</w:t>
      </w:r>
      <w:r w:rsidR="00AF47C2" w:rsidRPr="00EA55D0">
        <w:t xml:space="preserve"> throughout the ACFR</w:t>
      </w:r>
    </w:p>
    <w:p w14:paraId="3CCF78AF" w14:textId="4D4956C3" w:rsidR="00E00AE0" w:rsidRPr="002841B4" w:rsidRDefault="00E00AE0" w:rsidP="00E333F2">
      <w:pPr>
        <w:pStyle w:val="Heading2"/>
      </w:pPr>
      <w:r w:rsidRPr="002841B4">
        <w:lastRenderedPageBreak/>
        <w:t>Renaming Available bed days to Operational bed days</w:t>
      </w:r>
    </w:p>
    <w:p w14:paraId="77EF5EB7" w14:textId="0B9432EA" w:rsidR="00D0338A" w:rsidRPr="001F3525" w:rsidRDefault="00D0338A" w:rsidP="001F3525">
      <w:r w:rsidRPr="001F3525">
        <w:t>The allocation of places to older people has also resulted in the renaming of Available bed days to Operational bed days</w:t>
      </w:r>
      <w:r w:rsidR="00E2136B" w:rsidRPr="001F3525">
        <w:t xml:space="preserve"> throughout</w:t>
      </w:r>
      <w:r w:rsidR="00B2798B" w:rsidRPr="001F3525">
        <w:t xml:space="preserve"> the ACFR</w:t>
      </w:r>
      <w:r w:rsidR="006F0355" w:rsidRPr="001F3525">
        <w:t xml:space="preserve">. </w:t>
      </w:r>
    </w:p>
    <w:p w14:paraId="493F342C" w14:textId="38E4D820" w:rsidR="008539D4" w:rsidRPr="002841B4" w:rsidRDefault="008539D4" w:rsidP="00E333F2">
      <w:pPr>
        <w:pStyle w:val="Heading2"/>
      </w:pPr>
      <w:r w:rsidRPr="002841B4">
        <w:t>New, removed or amended data items in the “Residential Aged Care Home Income” and “Residential Aged Care Home Expenditure” forms</w:t>
      </w:r>
    </w:p>
    <w:p w14:paraId="4377ADB9" w14:textId="6E71B4BC" w:rsidR="00BF3607" w:rsidRPr="00EA55D0" w:rsidRDefault="003B4BA4" w:rsidP="00E83FBE">
      <w:pPr>
        <w:rPr>
          <w:rFonts w:cs="Arial"/>
        </w:rPr>
      </w:pPr>
      <w:r w:rsidRPr="00EA55D0">
        <w:rPr>
          <w:rFonts w:cs="Arial"/>
        </w:rPr>
        <w:t>D</w:t>
      </w:r>
      <w:r w:rsidR="00715EEB" w:rsidRPr="00EA55D0">
        <w:rPr>
          <w:rFonts w:cs="Arial"/>
        </w:rPr>
        <w:t xml:space="preserve">ata items have been </w:t>
      </w:r>
      <w:r w:rsidR="0010647E" w:rsidRPr="00EA55D0">
        <w:rPr>
          <w:rFonts w:cs="Arial"/>
        </w:rPr>
        <w:t>added</w:t>
      </w:r>
      <w:r w:rsidRPr="00EA55D0">
        <w:rPr>
          <w:rFonts w:cs="Arial"/>
        </w:rPr>
        <w:t xml:space="preserve"> to, removed from or changed in</w:t>
      </w:r>
      <w:r w:rsidR="0010647E" w:rsidRPr="00EA55D0">
        <w:rPr>
          <w:rFonts w:cs="Arial"/>
        </w:rPr>
        <w:t xml:space="preserve"> the Residential Aged Care Home Income and Residential Aged Care Home Expenditure forms </w:t>
      </w:r>
      <w:r w:rsidR="002E1EE2" w:rsidRPr="00EA55D0">
        <w:rPr>
          <w:rFonts w:cs="Arial"/>
        </w:rPr>
        <w:t xml:space="preserve">in line with recommendations 3,9 and 11 of the Aged Care Taskforce. </w:t>
      </w:r>
    </w:p>
    <w:p w14:paraId="14F8C231" w14:textId="07945BF4" w:rsidR="00E83FBE" w:rsidRPr="00EA55D0" w:rsidRDefault="00BF3607" w:rsidP="00E83FBE">
      <w:pPr>
        <w:rPr>
          <w:rFonts w:cs="Arial"/>
        </w:rPr>
      </w:pPr>
      <w:r w:rsidRPr="00EA55D0">
        <w:rPr>
          <w:rFonts w:cs="Arial"/>
        </w:rPr>
        <w:t>On the Residential Aged Care Home Income form, t</w:t>
      </w:r>
      <w:r w:rsidR="002E1EE2" w:rsidRPr="00EA55D0">
        <w:rPr>
          <w:rFonts w:cs="Arial"/>
        </w:rPr>
        <w:t xml:space="preserve">hese </w:t>
      </w:r>
      <w:r w:rsidR="003B4CD4" w:rsidRPr="00EA55D0">
        <w:rPr>
          <w:rFonts w:cs="Arial"/>
        </w:rPr>
        <w:t>changes</w:t>
      </w:r>
      <w:r w:rsidR="002E1EE2" w:rsidRPr="00EA55D0">
        <w:rPr>
          <w:rFonts w:cs="Arial"/>
        </w:rPr>
        <w:t xml:space="preserve"> include:</w:t>
      </w:r>
    </w:p>
    <w:p w14:paraId="7B91425A" w14:textId="674BB99F" w:rsidR="002E1EE2" w:rsidRPr="00EA55D0" w:rsidRDefault="003B4CD4" w:rsidP="002E1EE2">
      <w:pPr>
        <w:pStyle w:val="ListBullet"/>
      </w:pPr>
      <w:r w:rsidRPr="00EA55D0">
        <w:t>Addition of “</w:t>
      </w:r>
      <w:r w:rsidR="009936C4" w:rsidRPr="00EA55D0">
        <w:t>Contribution to Hotelling Supplement</w:t>
      </w:r>
      <w:r w:rsidRPr="00EA55D0">
        <w:t>”</w:t>
      </w:r>
      <w:r w:rsidR="00162E34" w:rsidRPr="00EA55D0">
        <w:t xml:space="preserve"> under Hotel Services Income</w:t>
      </w:r>
    </w:p>
    <w:p w14:paraId="22F2767C" w14:textId="5DBEFEE6" w:rsidR="009936C4" w:rsidRPr="00EA55D0" w:rsidRDefault="003B4CD4" w:rsidP="002E1EE2">
      <w:pPr>
        <w:pStyle w:val="ListBullet"/>
      </w:pPr>
      <w:r w:rsidRPr="00EA55D0">
        <w:t>Addition of “</w:t>
      </w:r>
      <w:r w:rsidR="009936C4" w:rsidRPr="00EA55D0">
        <w:t xml:space="preserve">Higher </w:t>
      </w:r>
      <w:r w:rsidR="00997B0B" w:rsidRPr="00EA55D0">
        <w:t>Everyday</w:t>
      </w:r>
      <w:r w:rsidR="009936C4" w:rsidRPr="00EA55D0">
        <w:t xml:space="preserve"> Living Fee</w:t>
      </w:r>
      <w:r w:rsidRPr="00EA55D0">
        <w:t>”</w:t>
      </w:r>
      <w:r w:rsidR="00162E34" w:rsidRPr="00EA55D0">
        <w:t xml:space="preserve"> under Hotel Services Income</w:t>
      </w:r>
      <w:r w:rsidR="43E3F833" w:rsidRPr="00EA55D0">
        <w:t xml:space="preserve"> – with the introduction of this new fee arrangement from 1 November 2025.</w:t>
      </w:r>
    </w:p>
    <w:p w14:paraId="36AA8CF4" w14:textId="08F7702B" w:rsidR="009936C4" w:rsidRPr="00EA55D0" w:rsidRDefault="003B4CD4" w:rsidP="002E1EE2">
      <w:pPr>
        <w:pStyle w:val="ListBullet"/>
      </w:pPr>
      <w:r w:rsidRPr="00EA55D0">
        <w:t>Addition of “</w:t>
      </w:r>
      <w:r w:rsidR="009936C4" w:rsidRPr="00EA55D0">
        <w:t>RAD Retention Reduction</w:t>
      </w:r>
      <w:r w:rsidRPr="00EA55D0">
        <w:t>”</w:t>
      </w:r>
      <w:r w:rsidR="00ED0A13" w:rsidRPr="00EA55D0">
        <w:t xml:space="preserve"> under Accommodation Income</w:t>
      </w:r>
    </w:p>
    <w:p w14:paraId="7E7BB920" w14:textId="4F2AEBBF" w:rsidR="003B4CD4" w:rsidRPr="00EA55D0" w:rsidRDefault="00530961" w:rsidP="000F6939">
      <w:pPr>
        <w:pStyle w:val="ListBullet"/>
        <w:rPr>
          <w:rFonts w:cs="Arial"/>
        </w:rPr>
      </w:pPr>
      <w:r w:rsidRPr="00EA55D0">
        <w:t>A</w:t>
      </w:r>
      <w:r w:rsidR="00EB21DC" w:rsidRPr="00EA55D0">
        <w:t>ddition of a</w:t>
      </w:r>
      <w:r w:rsidRPr="00EA55D0">
        <w:t xml:space="preserve"> question on how many residents were paying Higher Everyday Living Fees/Additional Services Fees/Extra Service Fees as at the end of the financial year. </w:t>
      </w:r>
    </w:p>
    <w:p w14:paraId="69508C81" w14:textId="49633882" w:rsidR="00E83FBE" w:rsidRPr="00EA55D0" w:rsidRDefault="00224109" w:rsidP="000F6939">
      <w:pPr>
        <w:pStyle w:val="ListBullet"/>
        <w:rPr>
          <w:rFonts w:cs="Arial"/>
        </w:rPr>
      </w:pPr>
      <w:r w:rsidRPr="00EA55D0">
        <w:rPr>
          <w:rFonts w:cs="Arial"/>
        </w:rPr>
        <w:t xml:space="preserve">“Resident Fees: Means Tested Care Fees” has also been renamed to remove the “Means Tested” words. </w:t>
      </w:r>
    </w:p>
    <w:p w14:paraId="69144195" w14:textId="3CBD6818" w:rsidR="00D43806" w:rsidRPr="00EA55D0" w:rsidRDefault="00D43806" w:rsidP="008C4CF6">
      <w:pPr>
        <w:rPr>
          <w:rFonts w:cs="Arial"/>
        </w:rPr>
      </w:pPr>
      <w:r w:rsidRPr="00EA55D0">
        <w:rPr>
          <w:rFonts w:cs="Arial"/>
        </w:rPr>
        <w:t>On the Residential Aged Care Home Expenditure form, these changes include:</w:t>
      </w:r>
    </w:p>
    <w:p w14:paraId="4E1BD663" w14:textId="1D5E52E0" w:rsidR="004E2FAB" w:rsidRPr="00EA55D0" w:rsidRDefault="004E2FAB" w:rsidP="000455BF">
      <w:pPr>
        <w:pStyle w:val="ListBullet"/>
      </w:pPr>
      <w:r w:rsidRPr="00EA55D0">
        <w:t>Renaming of</w:t>
      </w:r>
      <w:r w:rsidR="00BD4A98" w:rsidRPr="00EA55D0">
        <w:t xml:space="preserve"> </w:t>
      </w:r>
      <w:r w:rsidR="00B837F7" w:rsidRPr="00EA55D0">
        <w:t>“</w:t>
      </w:r>
      <w:r w:rsidR="00C575E1" w:rsidRPr="00EA55D0">
        <w:t>O</w:t>
      </w:r>
      <w:r w:rsidR="00B837F7" w:rsidRPr="00EA55D0">
        <w:t>ther Hotel Expenses” data items</w:t>
      </w:r>
      <w:r w:rsidRPr="00EA55D0">
        <w:t>:</w:t>
      </w:r>
    </w:p>
    <w:p w14:paraId="0566965F" w14:textId="066D1E86" w:rsidR="004E2FAB" w:rsidRPr="00EA55D0" w:rsidRDefault="004E2FAB" w:rsidP="00D1424D">
      <w:pPr>
        <w:pStyle w:val="ListBullet"/>
        <w:numPr>
          <w:ilvl w:val="0"/>
          <w:numId w:val="15"/>
        </w:numPr>
        <w:ind w:left="851"/>
      </w:pPr>
      <w:r w:rsidRPr="00EA55D0">
        <w:t>“Extra and additional service fee charges (non-agency)</w:t>
      </w:r>
      <w:r w:rsidR="004347A5" w:rsidRPr="00EA55D0">
        <w:t>”</w:t>
      </w:r>
      <w:r w:rsidRPr="00EA55D0">
        <w:t xml:space="preserve"> to</w:t>
      </w:r>
      <w:r w:rsidR="000455BF" w:rsidRPr="00EA55D0">
        <w:t xml:space="preserve"> “Higher Everyday Living/Additional Service</w:t>
      </w:r>
      <w:r w:rsidR="00537B89" w:rsidRPr="00EA55D0">
        <w:t>/Extra Service – staffing costs (non-agency)”</w:t>
      </w:r>
    </w:p>
    <w:p w14:paraId="2C03BA18" w14:textId="37843C3A" w:rsidR="00537B89" w:rsidRPr="00EA55D0" w:rsidRDefault="004E2FAB" w:rsidP="00D1424D">
      <w:pPr>
        <w:pStyle w:val="ListBullet"/>
        <w:numPr>
          <w:ilvl w:val="0"/>
          <w:numId w:val="15"/>
        </w:numPr>
        <w:ind w:left="851"/>
      </w:pPr>
      <w:r w:rsidRPr="00EA55D0">
        <w:t>“Extra and additional service fee charges (agency)</w:t>
      </w:r>
      <w:r w:rsidR="007070C7" w:rsidRPr="00EA55D0">
        <w:t>”</w:t>
      </w:r>
      <w:r w:rsidRPr="00EA55D0">
        <w:t xml:space="preserve"> to </w:t>
      </w:r>
      <w:r w:rsidR="00537B89" w:rsidRPr="00EA55D0">
        <w:t>“</w:t>
      </w:r>
      <w:r w:rsidRPr="00EA55D0">
        <w:t xml:space="preserve">Higher Everyday Living/Additional Service/Extra Service </w:t>
      </w:r>
      <w:r w:rsidR="00F5440A" w:rsidRPr="00EA55D0">
        <w:t xml:space="preserve">- </w:t>
      </w:r>
      <w:r w:rsidR="00537B89" w:rsidRPr="00EA55D0">
        <w:t>consumables and contracting”.</w:t>
      </w:r>
    </w:p>
    <w:p w14:paraId="7A45AD01" w14:textId="674E587C" w:rsidR="00F802EF" w:rsidRPr="00EA55D0" w:rsidRDefault="004B7136" w:rsidP="004F64B0">
      <w:pPr>
        <w:pStyle w:val="ListBullet"/>
      </w:pPr>
      <w:r w:rsidRPr="00EA55D0">
        <w:t xml:space="preserve">Two data items have also been added to </w:t>
      </w:r>
      <w:r w:rsidR="008848A0" w:rsidRPr="00EA55D0">
        <w:t>“other direct care expenses” for</w:t>
      </w:r>
      <w:r w:rsidRPr="00EA55D0">
        <w:t xml:space="preserve"> “staff</w:t>
      </w:r>
      <w:r w:rsidR="00546AAB" w:rsidRPr="00EA55D0">
        <w:t>ing</w:t>
      </w:r>
      <w:r w:rsidRPr="00EA55D0">
        <w:t xml:space="preserve"> </w:t>
      </w:r>
      <w:r w:rsidR="00546AAB" w:rsidRPr="00EA55D0">
        <w:t>rete</w:t>
      </w:r>
      <w:r w:rsidR="00DB2FDB" w:rsidRPr="00EA55D0">
        <w:t>n</w:t>
      </w:r>
      <w:r w:rsidR="00546AAB" w:rsidRPr="00EA55D0">
        <w:t>tion</w:t>
      </w:r>
      <w:r w:rsidRPr="00EA55D0">
        <w:t xml:space="preserve"> – travel costs” for both agency and non-agency</w:t>
      </w:r>
      <w:r w:rsidR="00E55EBA" w:rsidRPr="00EA55D0">
        <w:t>, to capture travel related</w:t>
      </w:r>
      <w:r w:rsidR="00DC15A3" w:rsidRPr="00EA55D0">
        <w:t xml:space="preserve"> expenses for direct care staff </w:t>
      </w:r>
      <w:r w:rsidR="00DB2FDB" w:rsidRPr="00EA55D0">
        <w:t>that are paid for by the provider</w:t>
      </w:r>
      <w:r w:rsidR="00DC15A3" w:rsidRPr="00EA55D0">
        <w:t xml:space="preserve"> such as transport to and from the provider’s accommodation and </w:t>
      </w:r>
      <w:r w:rsidR="00977DEB" w:rsidRPr="00EA55D0">
        <w:t xml:space="preserve">a </w:t>
      </w:r>
      <w:r w:rsidR="009D7E53" w:rsidRPr="00EA55D0">
        <w:t>residential aged care home</w:t>
      </w:r>
      <w:r w:rsidR="00DC15A3" w:rsidRPr="00EA55D0">
        <w:t xml:space="preserve">. </w:t>
      </w:r>
    </w:p>
    <w:p w14:paraId="1EDD019D" w14:textId="77777777" w:rsidR="00B26248" w:rsidRPr="00EA55D0" w:rsidRDefault="00B26248" w:rsidP="00B26248">
      <w:pPr>
        <w:pStyle w:val="ListBullet"/>
        <w:rPr>
          <w:rFonts w:eastAsiaTheme="minorEastAsia"/>
        </w:rPr>
      </w:pPr>
      <w:r w:rsidRPr="00EA55D0">
        <w:rPr>
          <w:rFonts w:eastAsiaTheme="minorEastAsia"/>
        </w:rPr>
        <w:t xml:space="preserve">Staff training costs are to be included as labour costs, which you will see in the updated definitions in </w:t>
      </w:r>
      <w:proofErr w:type="gramStart"/>
      <w:r w:rsidRPr="00EA55D0">
        <w:rPr>
          <w:rFonts w:eastAsiaTheme="minorEastAsia"/>
        </w:rPr>
        <w:t>a number of</w:t>
      </w:r>
      <w:proofErr w:type="gramEnd"/>
      <w:r w:rsidRPr="00EA55D0">
        <w:rPr>
          <w:rFonts w:eastAsiaTheme="minorEastAsia"/>
        </w:rPr>
        <w:t xml:space="preserve"> areas, including the Consolidated Segment Report and Residential Expenses form.</w:t>
      </w:r>
    </w:p>
    <w:p w14:paraId="23FEB7D6" w14:textId="5897E338" w:rsidR="00813259" w:rsidRPr="002841B4" w:rsidRDefault="00813259" w:rsidP="00E333F2">
      <w:pPr>
        <w:pStyle w:val="Heading2"/>
      </w:pPr>
      <w:r w:rsidRPr="002841B4">
        <w:t>A new form labelled “Care Minute</w:t>
      </w:r>
      <w:r w:rsidR="00F51623" w:rsidRPr="002841B4">
        <w:t>s</w:t>
      </w:r>
      <w:r w:rsidRPr="002841B4">
        <w:t xml:space="preserve"> Performance Statement”</w:t>
      </w:r>
    </w:p>
    <w:p w14:paraId="431AE557" w14:textId="7971982A" w:rsidR="00813259" w:rsidRPr="00EA55D0" w:rsidRDefault="00813259" w:rsidP="00813259">
      <w:r w:rsidRPr="00EA55D0">
        <w:t>The Care Minute</w:t>
      </w:r>
      <w:r w:rsidR="00F51623" w:rsidRPr="00EA55D0">
        <w:t>s</w:t>
      </w:r>
      <w:r w:rsidRPr="00EA55D0">
        <w:t xml:space="preserve"> Performance Statement has been added to the 2025-26 ACFR</w:t>
      </w:r>
      <w:r w:rsidR="000D322A" w:rsidRPr="00EA55D0">
        <w:t xml:space="preserve"> to allow external audit of care expenses, care minutes and 24/7 Registered Nurse reporting. More information about the new Statement can be f</w:t>
      </w:r>
      <w:r w:rsidR="00640FD8" w:rsidRPr="00EA55D0">
        <w:t>o</w:t>
      </w:r>
      <w:r w:rsidR="000D322A" w:rsidRPr="00EA55D0">
        <w:t xml:space="preserve">und here </w:t>
      </w:r>
      <w:hyperlink r:id="rId26" w:history="1">
        <w:r w:rsidR="00640FD8" w:rsidRPr="00EA55D0">
          <w:rPr>
            <w:rStyle w:val="Hyperlink"/>
          </w:rPr>
          <w:t>Care Minutes Performance Statement | Australian Government Department of Health, Disability and Ageing</w:t>
        </w:r>
      </w:hyperlink>
    </w:p>
    <w:p w14:paraId="5CBF50D1" w14:textId="03CD61FC" w:rsidR="00961666" w:rsidRPr="002841B4" w:rsidRDefault="002625EB" w:rsidP="00E333F2">
      <w:pPr>
        <w:pStyle w:val="Heading2"/>
      </w:pPr>
      <w:r w:rsidRPr="002841B4">
        <w:lastRenderedPageBreak/>
        <w:t xml:space="preserve">Amended Annual Prudential Compliance Statement </w:t>
      </w:r>
      <w:r w:rsidR="00632306" w:rsidRPr="002841B4">
        <w:t xml:space="preserve">(APCS) and </w:t>
      </w:r>
      <w:r w:rsidRPr="002841B4">
        <w:t xml:space="preserve">Permitted Uses Reconciliation in line with the new Act and Rules </w:t>
      </w:r>
    </w:p>
    <w:p w14:paraId="43A19941" w14:textId="67540D66" w:rsidR="002625EB" w:rsidRPr="00EA55D0" w:rsidRDefault="002625EB" w:rsidP="002625EB">
      <w:r w:rsidRPr="00EA55D0">
        <w:t>The APCS</w:t>
      </w:r>
      <w:r w:rsidR="00EA47CE" w:rsidRPr="00EA55D0">
        <w:t xml:space="preserve"> and Permitted Uses Reconciliation </w:t>
      </w:r>
      <w:r w:rsidR="000F6939" w:rsidRPr="00EA55D0">
        <w:t>are being updated and will be published in due course.</w:t>
      </w:r>
      <w:r w:rsidR="00F9163B" w:rsidRPr="00EA55D0">
        <w:t xml:space="preserve"> </w:t>
      </w:r>
    </w:p>
    <w:p w14:paraId="4A02D653" w14:textId="7CC567A4" w:rsidR="005D7AB4" w:rsidRPr="002841B4" w:rsidRDefault="00F143F9" w:rsidP="00E333F2">
      <w:pPr>
        <w:pStyle w:val="Heading2"/>
      </w:pPr>
      <w:r w:rsidRPr="002841B4">
        <w:t>A</w:t>
      </w:r>
      <w:r w:rsidR="005D7AB4" w:rsidRPr="002841B4">
        <w:t>mended data items in the “Survey of Aged Care Homes” form</w:t>
      </w:r>
    </w:p>
    <w:p w14:paraId="6F09DA85" w14:textId="40A29640" w:rsidR="00161451" w:rsidRPr="00EA55D0" w:rsidRDefault="00A82750" w:rsidP="001F3525">
      <w:pPr>
        <w:rPr>
          <w:rFonts w:cs="Arial"/>
        </w:rPr>
      </w:pPr>
      <w:r w:rsidRPr="00EA55D0">
        <w:rPr>
          <w:rFonts w:cs="Arial"/>
        </w:rPr>
        <w:t>Q</w:t>
      </w:r>
      <w:r w:rsidR="00F143F9" w:rsidRPr="00EA55D0">
        <w:rPr>
          <w:rFonts w:cs="Arial"/>
        </w:rPr>
        <w:t>uestions in the Survey of Aged Care Homes have been amended</w:t>
      </w:r>
      <w:r w:rsidR="00C6648D" w:rsidRPr="00EA55D0">
        <w:rPr>
          <w:rFonts w:cs="Arial"/>
        </w:rPr>
        <w:t>.</w:t>
      </w:r>
    </w:p>
    <w:p w14:paraId="290D4067" w14:textId="42D3342D" w:rsidR="00CD7276" w:rsidRPr="00D934A4" w:rsidRDefault="00CD7276" w:rsidP="00CD7276">
      <w:pPr>
        <w:pStyle w:val="SubjectHeading"/>
      </w:pPr>
      <w:r w:rsidRPr="00D934A4">
        <w:t>Home Care Packages Program changes</w:t>
      </w:r>
    </w:p>
    <w:p w14:paraId="4B71D491" w14:textId="5CDEB846" w:rsidR="001221F0" w:rsidRPr="002841B4" w:rsidRDefault="00F56E08" w:rsidP="00E333F2">
      <w:pPr>
        <w:pStyle w:val="Heading2"/>
      </w:pPr>
      <w:r w:rsidRPr="002841B4">
        <w:t>Removal of Aged Care Planning Regions</w:t>
      </w:r>
    </w:p>
    <w:p w14:paraId="6E089948" w14:textId="7D0E07FB" w:rsidR="00932507" w:rsidRPr="001F3525" w:rsidRDefault="00582F9A" w:rsidP="001F3525">
      <w:r w:rsidRPr="001F3525">
        <w:t xml:space="preserve">As aged care planning regions (ACPR) are no longer applicable under the new Act, the requirement to report financial information by ACPR has been removed. Instead, providers will report financial information at the total </w:t>
      </w:r>
      <w:r w:rsidR="00E72196" w:rsidRPr="001F3525">
        <w:t xml:space="preserve">Home Care Packages </w:t>
      </w:r>
      <w:r w:rsidRPr="001F3525">
        <w:t>program level</w:t>
      </w:r>
    </w:p>
    <w:p w14:paraId="1FE7622A" w14:textId="23ACBD69" w:rsidR="006C7764" w:rsidRPr="00EA55D0" w:rsidRDefault="006C7764" w:rsidP="00932507">
      <w:pPr>
        <w:pStyle w:val="SubjectHeading"/>
      </w:pPr>
      <w:r w:rsidRPr="00EA55D0">
        <w:t xml:space="preserve">Support at Home </w:t>
      </w:r>
      <w:r w:rsidR="002D1D52" w:rsidRPr="00EA55D0">
        <w:t>program</w:t>
      </w:r>
      <w:r w:rsidRPr="00EA55D0">
        <w:t xml:space="preserve"> changes</w:t>
      </w:r>
    </w:p>
    <w:p w14:paraId="0AADB9DB" w14:textId="3F60746F" w:rsidR="006C7764" w:rsidRPr="002841B4" w:rsidRDefault="00185177" w:rsidP="00E333F2">
      <w:pPr>
        <w:pStyle w:val="Heading2"/>
      </w:pPr>
      <w:r w:rsidRPr="002841B4">
        <w:t xml:space="preserve">New </w:t>
      </w:r>
      <w:r w:rsidR="005B67A8" w:rsidRPr="002841B4">
        <w:t>Support at Home Income and Expenditure Statement</w:t>
      </w:r>
    </w:p>
    <w:p w14:paraId="74571847" w14:textId="386AF60F" w:rsidR="004F19E4" w:rsidRPr="00EA55D0" w:rsidRDefault="00487680" w:rsidP="001F3525">
      <w:pPr>
        <w:rPr>
          <w:rFonts w:cs="Arial"/>
        </w:rPr>
      </w:pPr>
      <w:r w:rsidRPr="00EA55D0">
        <w:rPr>
          <w:rFonts w:eastAsiaTheme="minorHAnsi" w:cs="Arial"/>
        </w:rPr>
        <w:t xml:space="preserve">There is a new “Support at Home Income and Expenditure Statement” that aligns income and expense reporting to the Support at Home Service List. </w:t>
      </w:r>
    </w:p>
    <w:p w14:paraId="4ADF1ED2" w14:textId="21371CFB" w:rsidR="00695334" w:rsidRPr="00EA55D0" w:rsidRDefault="00AA723B" w:rsidP="00225F45">
      <w:pPr>
        <w:rPr>
          <w:rFonts w:cs="Arial"/>
        </w:rPr>
      </w:pPr>
      <w:r w:rsidRPr="00EA55D0">
        <w:rPr>
          <w:rFonts w:cs="Arial"/>
        </w:rPr>
        <w:br w:type="page"/>
      </w:r>
    </w:p>
    <w:p w14:paraId="33E1FE22" w14:textId="1FF89E1A" w:rsidR="00566E8C" w:rsidRPr="001F3525" w:rsidRDefault="00566E8C" w:rsidP="001F3525"/>
    <w:p w14:paraId="53E85A3B" w14:textId="5C91242A" w:rsidR="00566E8C" w:rsidRPr="001F3525" w:rsidRDefault="00566E8C" w:rsidP="001F3525"/>
    <w:p w14:paraId="34862FCE" w14:textId="46BFD7E2" w:rsidR="00B96007" w:rsidRPr="00EA55D0" w:rsidRDefault="00B96007" w:rsidP="00934368">
      <w:pPr>
        <w:rPr>
          <w:rFonts w:cs="Arial"/>
        </w:rPr>
      </w:pPr>
    </w:p>
    <w:p w14:paraId="3D953522" w14:textId="2E893357" w:rsidR="00A86D0E" w:rsidRPr="00EA55D0" w:rsidRDefault="00101599" w:rsidP="009B5601">
      <w:pPr>
        <w:pStyle w:val="SectionNumber"/>
        <w:rPr>
          <w:rFonts w:cs="Arial"/>
          <w:noProof w:val="0"/>
        </w:rPr>
      </w:pPr>
      <w:r w:rsidRPr="00EA55D0">
        <w:rPr>
          <w:rFonts w:cs="Arial"/>
        </w:rPr>
        <mc:AlternateContent>
          <mc:Choice Requires="wps">
            <w:drawing>
              <wp:anchor distT="0" distB="0" distL="114300" distR="114300" simplePos="0" relativeHeight="251656192" behindDoc="1" locked="0" layoutInCell="1" allowOverlap="1" wp14:anchorId="60511531" wp14:editId="00DF428A">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B326" id="Rectangle 50" o:spid="_x0000_s1026" alt="&quot;&quot;" style="position:absolute;margin-left:0;margin-top:0;width:595.3pt;height:841.9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202423AF" w14:textId="608352D7" w:rsidR="009432BF" w:rsidRPr="00EA55D0" w:rsidRDefault="000065A7" w:rsidP="00A86D0E">
      <w:pPr>
        <w:pStyle w:val="SectionTitle"/>
        <w:rPr>
          <w:rFonts w:cs="Arial"/>
        </w:rPr>
      </w:pPr>
      <w:r w:rsidRPr="00EA55D0">
        <w:rPr>
          <w:rFonts w:cs="Arial"/>
        </w:rPr>
        <w:t>Guidance and FAQs</w:t>
      </w:r>
    </w:p>
    <w:p w14:paraId="71653543" w14:textId="77777777" w:rsidR="009432BF" w:rsidRPr="00E333F2" w:rsidRDefault="009432BF" w:rsidP="00E333F2">
      <w:r w:rsidRPr="00E333F2">
        <w:br w:type="page"/>
      </w:r>
    </w:p>
    <w:p w14:paraId="17AE9B58" w14:textId="77EF54AF" w:rsidR="00F212B6" w:rsidRPr="00A247D7" w:rsidRDefault="00F61513" w:rsidP="00A247D7">
      <w:pPr>
        <w:pStyle w:val="Heading1"/>
      </w:pPr>
      <w:bookmarkStart w:id="14" w:name="_Toc209078251"/>
      <w:bookmarkStart w:id="15" w:name="_Toc209774712"/>
      <w:r w:rsidRPr="00A247D7">
        <w:lastRenderedPageBreak/>
        <w:t>Guidance &amp; FAQs</w:t>
      </w:r>
      <w:bookmarkEnd w:id="14"/>
      <w:bookmarkEnd w:id="15"/>
    </w:p>
    <w:p w14:paraId="639BBCC1" w14:textId="4394374A" w:rsidR="009504DF" w:rsidRPr="00EA55D0" w:rsidRDefault="00F212B6" w:rsidP="00E61D43">
      <w:pPr>
        <w:pStyle w:val="FigureTitle"/>
        <w:rPr>
          <w:rFonts w:cs="Arial"/>
        </w:rPr>
      </w:pPr>
      <w:r w:rsidRPr="00EA55D0">
        <w:rPr>
          <w:rFonts w:cs="Arial"/>
        </w:rPr>
        <w:t>General FAQs</w:t>
      </w:r>
      <w:r w:rsidR="009504DF" w:rsidRPr="00EA55D0">
        <w:rPr>
          <w:rFonts w:cs="Arial"/>
        </w:rPr>
        <w:t xml:space="preserve"> </w:t>
      </w:r>
    </w:p>
    <w:p w14:paraId="2B965DA0" w14:textId="409715DD" w:rsidR="00BA29E1" w:rsidRPr="003B54D8" w:rsidRDefault="00BA29E1" w:rsidP="00E333F2">
      <w:pPr>
        <w:pStyle w:val="Heading2"/>
      </w:pPr>
      <w:r w:rsidRPr="003B54D8">
        <w:t>Do I have to complete multiple ACFR</w:t>
      </w:r>
      <w:r w:rsidR="00B06359" w:rsidRPr="003B54D8">
        <w:t>s</w:t>
      </w:r>
      <w:r w:rsidRPr="003B54D8">
        <w:t xml:space="preserve"> for 2025-26, given the new Act commences on 1 </w:t>
      </w:r>
      <w:r w:rsidR="00A21D77" w:rsidRPr="003B54D8">
        <w:t>November 2025?</w:t>
      </w:r>
    </w:p>
    <w:p w14:paraId="67ADAD0A" w14:textId="3B133DE9" w:rsidR="00A21D77" w:rsidRPr="00EA55D0" w:rsidRDefault="00A21D77" w:rsidP="00A21D77">
      <w:r w:rsidRPr="00EA55D0">
        <w:t xml:space="preserve">No. </w:t>
      </w:r>
      <w:r w:rsidR="0047124A" w:rsidRPr="00EA55D0">
        <w:rPr>
          <w:rFonts w:cs="Arial"/>
        </w:rPr>
        <w:t xml:space="preserve">Even though the </w:t>
      </w:r>
      <w:r w:rsidR="0047124A" w:rsidRPr="00EA55D0">
        <w:rPr>
          <w:rFonts w:cs="Arial"/>
          <w:i/>
          <w:iCs/>
        </w:rPr>
        <w:t>Aged Care Act 1997</w:t>
      </w:r>
      <w:r w:rsidR="0047124A" w:rsidRPr="00EA55D0">
        <w:rPr>
          <w:rFonts w:cs="Arial"/>
        </w:rPr>
        <w:t xml:space="preserve"> and the new Act are both relevant legislation within the 2025-26 financial year, providers will be required to complete only one ACFR for the reporting period.</w:t>
      </w:r>
    </w:p>
    <w:p w14:paraId="5F2A6C72" w14:textId="6C80EEA2" w:rsidR="00760F78" w:rsidRPr="00C72F5C" w:rsidRDefault="00760F78" w:rsidP="00E333F2">
      <w:pPr>
        <w:pStyle w:val="Heading2"/>
      </w:pPr>
      <w:r w:rsidRPr="00C72F5C">
        <w:t>Is the ACFR and quarter 1 (July to September) Quarterly Financial Report (QFR) due at a similar time?</w:t>
      </w:r>
    </w:p>
    <w:p w14:paraId="798F415B" w14:textId="6BCE250B" w:rsidR="00760F78" w:rsidRPr="00EA55D0" w:rsidRDefault="00760F78" w:rsidP="00760F78">
      <w:pPr>
        <w:pStyle w:val="BodyText"/>
        <w:rPr>
          <w:rFonts w:cs="Arial"/>
        </w:rPr>
      </w:pPr>
      <w:r w:rsidRPr="00EA55D0">
        <w:rPr>
          <w:rFonts w:cs="Arial"/>
        </w:rPr>
        <w:t>Yes. The ACFR is due by 31 October</w:t>
      </w:r>
      <w:r w:rsidR="00866DC0" w:rsidRPr="00EA55D0">
        <w:rPr>
          <w:rFonts w:cs="Arial"/>
        </w:rPr>
        <w:t xml:space="preserve"> each year</w:t>
      </w:r>
      <w:r w:rsidRPr="00EA55D0">
        <w:rPr>
          <w:rFonts w:cs="Arial"/>
        </w:rPr>
        <w:t xml:space="preserve">. The </w:t>
      </w:r>
      <w:r w:rsidR="0083468E" w:rsidRPr="00EA55D0">
        <w:rPr>
          <w:rFonts w:cs="Arial"/>
        </w:rPr>
        <w:t>Q</w:t>
      </w:r>
      <w:r w:rsidRPr="00EA55D0">
        <w:rPr>
          <w:rFonts w:cs="Arial"/>
        </w:rPr>
        <w:t>uarter 1 (July to September) QFR is due by 4 November</w:t>
      </w:r>
      <w:r w:rsidR="00866DC0" w:rsidRPr="00EA55D0">
        <w:rPr>
          <w:rFonts w:cs="Arial"/>
        </w:rPr>
        <w:t xml:space="preserve"> each year</w:t>
      </w:r>
      <w:r w:rsidRPr="00EA55D0">
        <w:rPr>
          <w:rFonts w:cs="Arial"/>
        </w:rPr>
        <w:t>.</w:t>
      </w:r>
    </w:p>
    <w:p w14:paraId="22E7199C" w14:textId="08A7AEDA" w:rsidR="009D2D3D" w:rsidRPr="00C72F5C" w:rsidRDefault="009D2D3D" w:rsidP="00E333F2">
      <w:pPr>
        <w:pStyle w:val="Heading2"/>
      </w:pPr>
      <w:r w:rsidRPr="00C72F5C">
        <w:t>Does the ACFR need to match the QFR? </w:t>
      </w:r>
    </w:p>
    <w:p w14:paraId="16CE3DC1" w14:textId="77777777" w:rsidR="009D2D3D" w:rsidRPr="00EA55D0" w:rsidRDefault="009D2D3D" w:rsidP="009D2D3D">
      <w:pPr>
        <w:pStyle w:val="BodyText"/>
        <w:rPr>
          <w:color w:val="auto"/>
        </w:rPr>
      </w:pPr>
      <w:r w:rsidRPr="00EA55D0">
        <w:rPr>
          <w:color w:val="auto"/>
        </w:rPr>
        <w:t>The ACFR does not need to match the QFR. The four quarters of data in the QFR do not need to add up to the ACFR. The year-to-date values reported in quarter 4 QFR financial statement can differ to the ACFR where providers have not had the opportunity to input end of year adjustment journals in their quarter 4 QFR. Although items need to be categorised correctly in the QFR, the department does not expect the QFR to perfectly match the data reported in the ACFR.</w:t>
      </w:r>
    </w:p>
    <w:p w14:paraId="306C969F" w14:textId="4EA0C49A" w:rsidR="009504DF" w:rsidRPr="00226045" w:rsidRDefault="00D4493A" w:rsidP="00E333F2">
      <w:pPr>
        <w:pStyle w:val="Heading2"/>
      </w:pPr>
      <w:r w:rsidRPr="00226045">
        <w:t>Do I submit ACFR and QFR in the same place?</w:t>
      </w:r>
    </w:p>
    <w:p w14:paraId="21E7F88B" w14:textId="38E02E53" w:rsidR="005E3FB7" w:rsidRPr="00EA55D0" w:rsidRDefault="005E3FB7" w:rsidP="005E3FB7">
      <w:pPr>
        <w:pStyle w:val="BodyText"/>
        <w:rPr>
          <w:b/>
          <w:bCs/>
          <w:color w:val="auto"/>
        </w:rPr>
      </w:pPr>
      <w:r w:rsidRPr="00EA55D0">
        <w:rPr>
          <w:color w:val="auto"/>
        </w:rPr>
        <w:t xml:space="preserve">No, the ACFR is completed on the </w:t>
      </w:r>
      <w:hyperlink r:id="rId27" w:history="1">
        <w:r w:rsidR="002D510A" w:rsidRPr="00EA55D0">
          <w:rPr>
            <w:rStyle w:val="Hyperlink"/>
          </w:rPr>
          <w:t>Forms Administration portal</w:t>
        </w:r>
      </w:hyperlink>
      <w:r w:rsidRPr="00EA55D0">
        <w:t xml:space="preserve"> </w:t>
      </w:r>
      <w:r w:rsidRPr="00EA55D0">
        <w:rPr>
          <w:color w:val="auto"/>
        </w:rPr>
        <w:t xml:space="preserve">and the QFR is submitted via the </w:t>
      </w:r>
      <w:hyperlink r:id="rId28" w:history="1">
        <w:r w:rsidRPr="00931907">
          <w:rPr>
            <w:rStyle w:val="Hyperlink"/>
          </w:rPr>
          <w:t>Government Provider Management System</w:t>
        </w:r>
      </w:hyperlink>
      <w:r w:rsidRPr="00EA55D0">
        <w:rPr>
          <w:color w:val="auto"/>
        </w:rPr>
        <w:t xml:space="preserve"> (GPMS).</w:t>
      </w:r>
    </w:p>
    <w:p w14:paraId="4BD8E640" w14:textId="637837D3" w:rsidR="00D16137" w:rsidRPr="00931907" w:rsidRDefault="003C455A" w:rsidP="00E333F2">
      <w:pPr>
        <w:pStyle w:val="Heading2"/>
      </w:pPr>
      <w:bookmarkStart w:id="16" w:name="_Hlk173749894"/>
      <w:r w:rsidRPr="00931907">
        <w:t xml:space="preserve">Do I have </w:t>
      </w:r>
      <w:r w:rsidR="008F529C" w:rsidRPr="00931907">
        <w:t xml:space="preserve">to </w:t>
      </w:r>
      <w:r w:rsidRPr="00931907">
        <w:t xml:space="preserve">enter </w:t>
      </w:r>
      <w:proofErr w:type="gramStart"/>
      <w:r w:rsidRPr="00931907">
        <w:t>all of</w:t>
      </w:r>
      <w:proofErr w:type="gramEnd"/>
      <w:r w:rsidRPr="00931907">
        <w:t xml:space="preserve"> the</w:t>
      </w:r>
      <w:r w:rsidR="00D16137" w:rsidRPr="00931907">
        <w:t xml:space="preserve"> ACFR</w:t>
      </w:r>
      <w:r w:rsidRPr="00931907">
        <w:t xml:space="preserve"> data manually</w:t>
      </w:r>
      <w:r w:rsidR="00D16137" w:rsidRPr="00931907">
        <w:t xml:space="preserve">? </w:t>
      </w:r>
    </w:p>
    <w:bookmarkEnd w:id="16"/>
    <w:p w14:paraId="5B05F619" w14:textId="77777777" w:rsidR="00D16137" w:rsidRPr="00EA55D0" w:rsidRDefault="00D16137" w:rsidP="00D16137">
      <w:pPr>
        <w:rPr>
          <w:color w:val="auto"/>
        </w:rPr>
      </w:pPr>
      <w:r w:rsidRPr="00EA55D0">
        <w:rPr>
          <w:color w:val="auto"/>
        </w:rPr>
        <w:t>In addition to entering data directly into the ACFR portal, the following sections of the ACFR can be imported digitally via an uploaded template:</w:t>
      </w:r>
    </w:p>
    <w:p w14:paraId="7FC8E08E" w14:textId="585BA8FC" w:rsidR="00842B90" w:rsidRPr="00E333F2" w:rsidRDefault="00842B90" w:rsidP="00E333F2">
      <w:pPr>
        <w:pStyle w:val="ListBullet"/>
      </w:pPr>
      <w:r w:rsidRPr="00EA55D0">
        <w:t>Con</w:t>
      </w:r>
      <w:r w:rsidRPr="00E333F2">
        <w:t>solidated Segment Report</w:t>
      </w:r>
    </w:p>
    <w:p w14:paraId="0EBEF68D" w14:textId="74F1EAC8" w:rsidR="00D16137" w:rsidRPr="00E333F2" w:rsidRDefault="00D16137" w:rsidP="00E333F2">
      <w:pPr>
        <w:pStyle w:val="ListBullet"/>
      </w:pPr>
      <w:r w:rsidRPr="00E333F2">
        <w:t>Residential aged care home income statement and hours</w:t>
      </w:r>
    </w:p>
    <w:p w14:paraId="14C496B8" w14:textId="77777777" w:rsidR="00D16137" w:rsidRPr="00EA55D0" w:rsidRDefault="00D16137" w:rsidP="00E333F2">
      <w:pPr>
        <w:pStyle w:val="ListBullet"/>
      </w:pPr>
      <w:r w:rsidRPr="00E333F2">
        <w:t>Survey</w:t>
      </w:r>
      <w:r w:rsidRPr="00EA55D0">
        <w:t xml:space="preserve"> of Aged Care Homes (SACH)</w:t>
      </w:r>
    </w:p>
    <w:p w14:paraId="54D6DD32" w14:textId="77777777" w:rsidR="00D16137" w:rsidRPr="00EA55D0" w:rsidRDefault="00D16137" w:rsidP="00D16137">
      <w:pPr>
        <w:rPr>
          <w:color w:val="auto"/>
        </w:rPr>
      </w:pPr>
      <w:r w:rsidRPr="00EA55D0">
        <w:rPr>
          <w:color w:val="auto"/>
        </w:rPr>
        <w:t xml:space="preserve">All other sections of the ACFR need to be completed by entering data directly into the ACFR portal. </w:t>
      </w:r>
    </w:p>
    <w:p w14:paraId="51F0A486" w14:textId="3391DCB5" w:rsidR="00D16137" w:rsidRPr="00EA55D0" w:rsidRDefault="00D16137" w:rsidP="00D16137">
      <w:pPr>
        <w:rPr>
          <w:rStyle w:val="Hyperlink"/>
          <w:color w:val="auto"/>
        </w:rPr>
      </w:pPr>
      <w:r w:rsidRPr="00EA55D0">
        <w:rPr>
          <w:color w:val="auto"/>
        </w:rPr>
        <w:t xml:space="preserve">To assist providers with the </w:t>
      </w:r>
      <w:r w:rsidR="007E7A4F">
        <w:rPr>
          <w:color w:val="auto"/>
        </w:rPr>
        <w:t>R</w:t>
      </w:r>
      <w:r w:rsidRPr="00EA55D0">
        <w:rPr>
          <w:color w:val="auto"/>
        </w:rPr>
        <w:t xml:space="preserve">egistered </w:t>
      </w:r>
      <w:r w:rsidR="007E7A4F">
        <w:rPr>
          <w:color w:val="auto"/>
        </w:rPr>
        <w:t>P</w:t>
      </w:r>
      <w:r w:rsidRPr="00EA55D0">
        <w:rPr>
          <w:color w:val="auto"/>
        </w:rPr>
        <w:t xml:space="preserve">rovider movement schedules, each movement schedule has an introductory ‘Yes/No’ question that will auto-populate zero values in all fields if ‘No’ is selected. Data entered in the movement schedules will also auto-populate corresponding data items in the </w:t>
      </w:r>
      <w:r w:rsidR="005E686F">
        <w:rPr>
          <w:color w:val="auto"/>
        </w:rPr>
        <w:t>R</w:t>
      </w:r>
      <w:r w:rsidRPr="00EA55D0">
        <w:rPr>
          <w:color w:val="auto"/>
        </w:rPr>
        <w:t xml:space="preserve">egistered </w:t>
      </w:r>
      <w:r w:rsidR="005E686F">
        <w:rPr>
          <w:color w:val="auto"/>
        </w:rPr>
        <w:t>P</w:t>
      </w:r>
      <w:r w:rsidRPr="00EA55D0">
        <w:rPr>
          <w:color w:val="auto"/>
        </w:rPr>
        <w:t xml:space="preserve">rovider and </w:t>
      </w:r>
      <w:r w:rsidRPr="00EA55D0">
        <w:rPr>
          <w:color w:val="auto"/>
        </w:rPr>
        <w:lastRenderedPageBreak/>
        <w:t>residential balance sheet sections of the ACFR. If further guidance is required on the upload process, please contact Forms Administration</w:t>
      </w:r>
      <w:r w:rsidRPr="00EA55D0">
        <w:rPr>
          <w:rStyle w:val="Hyperlink"/>
          <w:color w:val="auto"/>
          <w:u w:val="none"/>
        </w:rPr>
        <w:t>.</w:t>
      </w:r>
    </w:p>
    <w:p w14:paraId="17E48EF6" w14:textId="6A29B6CF" w:rsidR="00D16137" w:rsidRPr="003B54D8" w:rsidRDefault="00D16137" w:rsidP="00E333F2">
      <w:pPr>
        <w:pStyle w:val="Heading2"/>
      </w:pPr>
      <w:bookmarkStart w:id="17" w:name="_Hlk173750123"/>
      <w:r w:rsidRPr="003B54D8">
        <w:t>What sections of the ACFR am I required to complete?</w:t>
      </w:r>
    </w:p>
    <w:bookmarkEnd w:id="17"/>
    <w:p w14:paraId="364D2485" w14:textId="3C74FA61" w:rsidR="00D16137" w:rsidRPr="00EA55D0" w:rsidRDefault="00173E26" w:rsidP="00D16137">
      <w:pPr>
        <w:pStyle w:val="BodyText"/>
        <w:rPr>
          <w:color w:val="auto"/>
        </w:rPr>
      </w:pPr>
      <w:r w:rsidRPr="00EA55D0">
        <w:rPr>
          <w:color w:val="auto"/>
        </w:rPr>
        <w:t xml:space="preserve">Refer to the </w:t>
      </w:r>
      <w:r w:rsidR="009223EE" w:rsidRPr="00EA55D0">
        <w:rPr>
          <w:color w:val="auto"/>
        </w:rPr>
        <w:t>‘Reporting Requirements’ in the ‘Overview’ section of this guide</w:t>
      </w:r>
      <w:r w:rsidRPr="00EA55D0">
        <w:rPr>
          <w:color w:val="auto"/>
        </w:rPr>
        <w:t xml:space="preserve">. </w:t>
      </w:r>
      <w:r w:rsidR="00A87F08" w:rsidRPr="00EA55D0">
        <w:rPr>
          <w:color w:val="auto"/>
        </w:rPr>
        <w:t>Each</w:t>
      </w:r>
      <w:r w:rsidR="00470C7F" w:rsidRPr="00EA55D0">
        <w:rPr>
          <w:color w:val="auto"/>
        </w:rPr>
        <w:t xml:space="preserve"> ACFR</w:t>
      </w:r>
      <w:r w:rsidR="00592C2C" w:rsidRPr="00EA55D0">
        <w:rPr>
          <w:color w:val="auto"/>
        </w:rPr>
        <w:t xml:space="preserve"> </w:t>
      </w:r>
      <w:r w:rsidR="00470C7F" w:rsidRPr="00EA55D0">
        <w:rPr>
          <w:color w:val="auto"/>
        </w:rPr>
        <w:t xml:space="preserve">is </w:t>
      </w:r>
      <w:r w:rsidR="00592C2C" w:rsidRPr="00EA55D0">
        <w:rPr>
          <w:color w:val="auto"/>
        </w:rPr>
        <w:t>customised</w:t>
      </w:r>
      <w:r w:rsidR="0065021B" w:rsidRPr="00EA55D0">
        <w:rPr>
          <w:color w:val="auto"/>
        </w:rPr>
        <w:t>, so that a</w:t>
      </w:r>
      <w:r w:rsidR="00D16137" w:rsidRPr="00EA55D0">
        <w:rPr>
          <w:color w:val="auto"/>
        </w:rPr>
        <w:t xml:space="preserve"> provider should only see the sections they are required to complete based on their aged care operations. If the sections displayed are incorrect, please contact Forms Administration.</w:t>
      </w:r>
    </w:p>
    <w:p w14:paraId="7C06D8AF" w14:textId="138E51FB" w:rsidR="004F0515" w:rsidRPr="00704620" w:rsidRDefault="004F0515" w:rsidP="00E333F2">
      <w:pPr>
        <w:pStyle w:val="Heading2"/>
      </w:pPr>
      <w:r w:rsidRPr="00704620">
        <w:t>Does the ACFR need to be completed in a certain order?</w:t>
      </w:r>
    </w:p>
    <w:p w14:paraId="2DB3B5C0" w14:textId="77777777" w:rsidR="004F0515" w:rsidRPr="00EA55D0" w:rsidRDefault="004F0515" w:rsidP="004F0515">
      <w:pPr>
        <w:pStyle w:val="BodyText"/>
        <w:rPr>
          <w:color w:val="auto"/>
        </w:rPr>
      </w:pPr>
      <w:r w:rsidRPr="00EA55D0">
        <w:rPr>
          <w:color w:val="auto"/>
        </w:rPr>
        <w:t xml:space="preserve">Whilst providers can complete the ACFR sections in any order they choose, several sections contain links that auto-populate other sections of the ACFR and therefore should be completed earlier in the process. </w:t>
      </w:r>
    </w:p>
    <w:p w14:paraId="62504A1C" w14:textId="77777777" w:rsidR="004F0515" w:rsidRPr="00EA55D0" w:rsidRDefault="004F0515" w:rsidP="004F0515">
      <w:pPr>
        <w:rPr>
          <w:color w:val="auto"/>
        </w:rPr>
      </w:pPr>
      <w:r w:rsidRPr="00EA55D0">
        <w:rPr>
          <w:color w:val="auto"/>
        </w:rPr>
        <w:t xml:space="preserve">All Registered Provider movement schedules auto-populate information into both the registered provider and residential Balance Sheet. Likewise, the ‘Compliance with Permitted Uses for Accommodation Payments’ section of the Annual Prudential Compliance Statement (APCS) and the Registered Provider cash flow statement auto-populate data into the ‘Registered Provider Permitted Uses Reconciliation’. </w:t>
      </w:r>
    </w:p>
    <w:p w14:paraId="20B2F8FF" w14:textId="48B715DB" w:rsidR="00EF0D9E" w:rsidRPr="00704620" w:rsidRDefault="00EF0D9E" w:rsidP="00E333F2">
      <w:pPr>
        <w:pStyle w:val="Heading2"/>
      </w:pPr>
      <w:r w:rsidRPr="00704620">
        <w:t xml:space="preserve">Could the reporting template be populated with zeros by default? Then we would add data </w:t>
      </w:r>
      <w:r w:rsidR="005B7E9E">
        <w:t xml:space="preserve">only </w:t>
      </w:r>
      <w:r w:rsidRPr="00704620">
        <w:t>where necessary.</w:t>
      </w:r>
    </w:p>
    <w:p w14:paraId="7B4EFFA9" w14:textId="62EF5F16" w:rsidR="00EF0D9E" w:rsidRPr="00EA55D0" w:rsidRDefault="00EF0D9E" w:rsidP="00EF0D9E">
      <w:pPr>
        <w:rPr>
          <w:color w:val="auto"/>
        </w:rPr>
      </w:pPr>
      <w:r w:rsidRPr="00EA55D0">
        <w:rPr>
          <w:rFonts w:eastAsia="Arial" w:cs="Arial"/>
        </w:rPr>
        <w:t>The template is designed so that providers need to input a value in each field that is applicable to their care type. This ensures completeness of data and reduces the risk of data oversight</w:t>
      </w:r>
      <w:r w:rsidR="00B933B8" w:rsidRPr="00EA55D0">
        <w:rPr>
          <w:rFonts w:eastAsia="Arial" w:cs="Arial"/>
        </w:rPr>
        <w:t>.</w:t>
      </w:r>
    </w:p>
    <w:p w14:paraId="487EE226" w14:textId="72DAC51C" w:rsidR="00D16137" w:rsidRPr="00704620" w:rsidRDefault="00D16137" w:rsidP="00E333F2">
      <w:pPr>
        <w:pStyle w:val="Heading2"/>
      </w:pPr>
      <w:r w:rsidRPr="00704620">
        <w:t xml:space="preserve">If the Registered </w:t>
      </w:r>
      <w:r w:rsidR="0035793D">
        <w:t>P</w:t>
      </w:r>
      <w:r w:rsidRPr="00704620">
        <w:t xml:space="preserve">rovider is a franchisor that supports business processes to the franchise group but does not provide services directly, whose accounts are reported at the </w:t>
      </w:r>
      <w:r w:rsidR="0035793D">
        <w:t>R</w:t>
      </w:r>
      <w:r w:rsidRPr="00704620">
        <w:t xml:space="preserve">egistered </w:t>
      </w:r>
      <w:r w:rsidR="0035793D">
        <w:t>P</w:t>
      </w:r>
      <w:r w:rsidRPr="00704620">
        <w:t>rovider level?</w:t>
      </w:r>
    </w:p>
    <w:p w14:paraId="46B6B1DB" w14:textId="30E8EDED" w:rsidR="00D16137" w:rsidRPr="00EA55D0" w:rsidRDefault="00D16137" w:rsidP="00D16137">
      <w:pPr>
        <w:pStyle w:val="BodyText"/>
        <w:rPr>
          <w:color w:val="00B050"/>
        </w:rPr>
      </w:pPr>
      <w:r w:rsidRPr="00EA55D0">
        <w:rPr>
          <w:color w:val="auto"/>
        </w:rPr>
        <w:t xml:space="preserve">The </w:t>
      </w:r>
      <w:r w:rsidR="007B12C5" w:rsidRPr="00EA55D0">
        <w:rPr>
          <w:color w:val="auto"/>
        </w:rPr>
        <w:t>R</w:t>
      </w:r>
      <w:r w:rsidRPr="00EA55D0">
        <w:rPr>
          <w:color w:val="auto"/>
        </w:rPr>
        <w:t xml:space="preserve">egistered </w:t>
      </w:r>
      <w:r w:rsidR="007B12C5" w:rsidRPr="00EA55D0">
        <w:rPr>
          <w:color w:val="auto"/>
        </w:rPr>
        <w:t>P</w:t>
      </w:r>
      <w:r w:rsidRPr="00EA55D0">
        <w:rPr>
          <w:color w:val="auto"/>
        </w:rPr>
        <w:t xml:space="preserve">rovider is responsible for the operations of all its services. If a franchisor is the </w:t>
      </w:r>
      <w:r w:rsidR="007B12C5" w:rsidRPr="00EA55D0">
        <w:rPr>
          <w:color w:val="auto"/>
        </w:rPr>
        <w:t>R</w:t>
      </w:r>
      <w:r w:rsidRPr="00EA55D0">
        <w:rPr>
          <w:color w:val="auto"/>
        </w:rPr>
        <w:t xml:space="preserve">egistered </w:t>
      </w:r>
      <w:r w:rsidR="007B12C5" w:rsidRPr="00EA55D0">
        <w:rPr>
          <w:color w:val="auto"/>
        </w:rPr>
        <w:t>P</w:t>
      </w:r>
      <w:r w:rsidRPr="00EA55D0">
        <w:rPr>
          <w:color w:val="auto"/>
        </w:rPr>
        <w:t>rovider, they are responsible for all services operating under their GPMS number. They are required to report the total income, expenses, assets, liabilities, and equity of all franchisees in its registered provider income statement and balance sheet</w:t>
      </w:r>
      <w:r w:rsidRPr="00EA55D0">
        <w:rPr>
          <w:color w:val="00B050"/>
        </w:rPr>
        <w:t xml:space="preserve">. </w:t>
      </w:r>
    </w:p>
    <w:p w14:paraId="0FA00E8E" w14:textId="45A6D766" w:rsidR="00D16137" w:rsidRPr="00704620" w:rsidRDefault="00D16137" w:rsidP="00E333F2">
      <w:pPr>
        <w:pStyle w:val="Heading2"/>
      </w:pPr>
      <w:r w:rsidRPr="00704620">
        <w:t>If a provider has exited or entered the market in the relevant financ</w:t>
      </w:r>
      <w:r w:rsidR="005F63B6" w:rsidRPr="00704620">
        <w:t>i</w:t>
      </w:r>
      <w:r w:rsidRPr="00704620">
        <w:t>al reporting period, do they need to submit an ACFR?</w:t>
      </w:r>
    </w:p>
    <w:p w14:paraId="0A5B1483" w14:textId="4615F3D1" w:rsidR="00D16137" w:rsidRPr="00EA55D0" w:rsidRDefault="00D16137" w:rsidP="00D16137">
      <w:pPr>
        <w:pStyle w:val="BodyText"/>
        <w:rPr>
          <w:color w:val="auto"/>
        </w:rPr>
      </w:pPr>
      <w:r w:rsidRPr="00EA55D0">
        <w:rPr>
          <w:color w:val="auto"/>
        </w:rPr>
        <w:t xml:space="preserve">Yes. </w:t>
      </w:r>
      <w:r w:rsidR="00406D39" w:rsidRPr="00EA55D0">
        <w:rPr>
          <w:color w:val="auto"/>
        </w:rPr>
        <w:t>If a provider has exited the mar</w:t>
      </w:r>
      <w:r w:rsidR="006E3DB5" w:rsidRPr="00EA55D0">
        <w:rPr>
          <w:color w:val="auto"/>
        </w:rPr>
        <w:t>ket during the year, they must still report</w:t>
      </w:r>
      <w:r w:rsidR="00163457" w:rsidRPr="00EA55D0">
        <w:rPr>
          <w:color w:val="auto"/>
        </w:rPr>
        <w:t xml:space="preserve"> in the ACFR for the relevant year. If a new provider has entered the market during the year, they must report in the ACFR for the relevant year. </w:t>
      </w:r>
    </w:p>
    <w:p w14:paraId="7F728683" w14:textId="7DEE62D9" w:rsidR="00D16137" w:rsidRPr="000B0A7A" w:rsidRDefault="00D16137" w:rsidP="00E333F2">
      <w:pPr>
        <w:pStyle w:val="Heading2"/>
      </w:pPr>
      <w:r w:rsidRPr="000B0A7A">
        <w:lastRenderedPageBreak/>
        <w:t>Would the department be open to a condensed QFR for Q4? This would reduce provider workloads during a busy time of the year. Could we integrate the fourth quarter QFR into the ACFR?</w:t>
      </w:r>
    </w:p>
    <w:p w14:paraId="679F39E9" w14:textId="77777777" w:rsidR="00D16137" w:rsidRPr="00F32566" w:rsidRDefault="00D16137" w:rsidP="00F32566">
      <w:pPr>
        <w:rPr>
          <w:rFonts w:eastAsia="Arial"/>
        </w:rPr>
      </w:pPr>
      <w:r w:rsidRPr="00F32566">
        <w:rPr>
          <w:rFonts w:eastAsia="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w:t>
      </w:r>
    </w:p>
    <w:p w14:paraId="627D9641" w14:textId="77777777" w:rsidR="00D16137" w:rsidRPr="00F32566" w:rsidRDefault="00D16137" w:rsidP="00F32566">
      <w:pPr>
        <w:rPr>
          <w:rFonts w:eastAsia="Arial"/>
        </w:rPr>
      </w:pPr>
      <w:r w:rsidRPr="00F32566">
        <w:rPr>
          <w:rFonts w:eastAsia="Arial"/>
        </w:rPr>
        <w:t>Integrating the fourth quarter QFR into the ACFR would mean that this data is not submitted until 31 October, which would delay the data’s availability for these purposes.</w:t>
      </w:r>
    </w:p>
    <w:p w14:paraId="06FA2A10" w14:textId="72DA22D8" w:rsidR="00D16137" w:rsidRPr="00F32566" w:rsidRDefault="00D16137" w:rsidP="00F32566">
      <w:pPr>
        <w:rPr>
          <w:rFonts w:eastAsia="Arial"/>
        </w:rPr>
      </w:pPr>
      <w:r w:rsidRPr="00F32566">
        <w:rPr>
          <w:rFonts w:eastAsia="Arial"/>
        </w:rPr>
        <w:t>The Department appreciates that the due date for Quarter 4 QFR occurs during a busy time of year, and we will raise this feedback with relevant teams in the Department.</w:t>
      </w:r>
    </w:p>
    <w:p w14:paraId="462C513F" w14:textId="26AD7EC1" w:rsidR="00D16137" w:rsidRPr="00580E2D" w:rsidRDefault="00D16137" w:rsidP="00E333F2">
      <w:pPr>
        <w:pStyle w:val="Heading2"/>
      </w:pPr>
      <w:r w:rsidRPr="00580E2D">
        <w:t>Most of the information has been reported through the quarterly report. Why do we need to submit an annual one?</w:t>
      </w:r>
    </w:p>
    <w:p w14:paraId="5C1C1AE6" w14:textId="6C111A48" w:rsidR="00E82CE6" w:rsidRPr="001F3525" w:rsidRDefault="00E82CE6" w:rsidP="001F3525">
      <w:pPr>
        <w:rPr>
          <w:rFonts w:eastAsia="Arial"/>
        </w:rPr>
      </w:pPr>
      <w:r w:rsidRPr="001F3525">
        <w:rPr>
          <w:rFonts w:eastAsia="Arial"/>
        </w:rPr>
        <w:t>While the data submitted in the QFR should be consistent with the ACFR submission, the reports are different. There are certain circumstances where the data submitted will not match perfectly. This can be due to:</w:t>
      </w:r>
    </w:p>
    <w:p w14:paraId="3D40C6EA" w14:textId="2A918CB0" w:rsidR="00E82CE6" w:rsidRPr="00E333F2" w:rsidRDefault="00E82CE6" w:rsidP="00E333F2">
      <w:pPr>
        <w:pStyle w:val="ListBullet"/>
        <w:rPr>
          <w:rFonts w:eastAsia="Arial"/>
        </w:rPr>
      </w:pPr>
      <w:r w:rsidRPr="00EA55D0">
        <w:rPr>
          <w:rFonts w:eastAsia="Arial"/>
        </w:rPr>
        <w:t>adjustme</w:t>
      </w:r>
      <w:r w:rsidRPr="00E333F2">
        <w:rPr>
          <w:rFonts w:eastAsia="Arial"/>
        </w:rPr>
        <w:t xml:space="preserve">nts made in quarterly or annual reports </w:t>
      </w:r>
    </w:p>
    <w:p w14:paraId="791BE548" w14:textId="77777777" w:rsidR="00E82CE6" w:rsidRPr="00EA55D0" w:rsidRDefault="00E82CE6" w:rsidP="00E333F2">
      <w:pPr>
        <w:pStyle w:val="ListBullet"/>
        <w:rPr>
          <w:rFonts w:eastAsia="Arial"/>
        </w:rPr>
      </w:pPr>
      <w:r w:rsidRPr="00E333F2">
        <w:rPr>
          <w:rFonts w:eastAsia="Arial"/>
        </w:rPr>
        <w:t xml:space="preserve">accruals </w:t>
      </w:r>
      <w:r w:rsidRPr="00EA55D0">
        <w:rPr>
          <w:rFonts w:eastAsia="Arial"/>
        </w:rPr>
        <w:t>which may affect when expenses are recognised.</w:t>
      </w:r>
    </w:p>
    <w:p w14:paraId="2D35C8E3" w14:textId="0459AE1B" w:rsidR="00D16137" w:rsidRPr="001F3525" w:rsidRDefault="00E82CE6" w:rsidP="001F3525">
      <w:pPr>
        <w:rPr>
          <w:rFonts w:eastAsia="Arial"/>
        </w:rPr>
      </w:pPr>
      <w:r w:rsidRPr="001F3525">
        <w:rPr>
          <w:rFonts w:eastAsia="Arial"/>
        </w:rPr>
        <w:t xml:space="preserve">In addition, not all sections of the QFR replicate the ACFR and some information is only collected in the ACFR. The ACFR is more comprehensive than the QFR in terms of reporting coverage – this includes collecting information relating to compliance with prudential requirements, Refundable Accommodation permitted uses and residential building activity. </w:t>
      </w:r>
    </w:p>
    <w:p w14:paraId="3C32682C" w14:textId="381875E1" w:rsidR="006E5380" w:rsidRPr="00B9028F" w:rsidRDefault="006E5380" w:rsidP="00E333F2">
      <w:pPr>
        <w:pStyle w:val="Heading2"/>
      </w:pPr>
      <w:r w:rsidRPr="00B9028F">
        <w:t xml:space="preserve">Can you combine the data collection with </w:t>
      </w:r>
      <w:proofErr w:type="spellStart"/>
      <w:r w:rsidRPr="00B9028F">
        <w:t>StewartBrown</w:t>
      </w:r>
      <w:proofErr w:type="spellEnd"/>
      <w:r w:rsidRPr="00B9028F">
        <w:t xml:space="preserve"> Survey data?</w:t>
      </w:r>
    </w:p>
    <w:p w14:paraId="74D3449C" w14:textId="58BC75D8" w:rsidR="006E5380" w:rsidRPr="00EA55D0" w:rsidRDefault="006E5380" w:rsidP="006E5380">
      <w:pPr>
        <w:rPr>
          <w:rFonts w:eastAsia="Arial" w:cs="Arial"/>
          <w:b/>
          <w:bCs/>
          <w:color w:val="auto"/>
        </w:rPr>
      </w:pPr>
      <w:r w:rsidRPr="00EA55D0">
        <w:rPr>
          <w:rFonts w:eastAsia="Arial" w:cs="Arial"/>
          <w:color w:val="auto"/>
        </w:rPr>
        <w:t xml:space="preserve">The </w:t>
      </w:r>
      <w:proofErr w:type="spellStart"/>
      <w:r w:rsidRPr="00EA55D0">
        <w:rPr>
          <w:rFonts w:eastAsia="Arial" w:cs="Arial"/>
          <w:color w:val="auto"/>
        </w:rPr>
        <w:t>StewartBrown</w:t>
      </w:r>
      <w:proofErr w:type="spellEnd"/>
      <w:r w:rsidRPr="00EA55D0">
        <w:rPr>
          <w:rFonts w:eastAsia="Arial" w:cs="Arial"/>
          <w:color w:val="auto"/>
        </w:rPr>
        <w:t xml:space="preserve"> survey data is an optional (pay to use) benchmarking service that </w:t>
      </w:r>
      <w:proofErr w:type="spellStart"/>
      <w:r w:rsidRPr="00EA55D0">
        <w:rPr>
          <w:rFonts w:eastAsia="Arial" w:cs="Arial"/>
          <w:color w:val="auto"/>
        </w:rPr>
        <w:t>StewartBrown</w:t>
      </w:r>
      <w:proofErr w:type="spellEnd"/>
      <w:r w:rsidRPr="00EA55D0">
        <w:rPr>
          <w:rFonts w:eastAsia="Arial" w:cs="Arial"/>
          <w:color w:val="auto"/>
        </w:rPr>
        <w:t xml:space="preserve"> (a private company) operates for providers who wish to participate in their survey, whereas the QFR and ACFR are legislative requirements that all aged care providers must complete as part of their responsibilities of being a </w:t>
      </w:r>
      <w:r w:rsidR="004C184D" w:rsidRPr="00EA55D0">
        <w:rPr>
          <w:rFonts w:eastAsia="Arial" w:cs="Arial"/>
          <w:color w:val="auto"/>
        </w:rPr>
        <w:t>Registered</w:t>
      </w:r>
      <w:r w:rsidRPr="00EA55D0">
        <w:rPr>
          <w:rFonts w:eastAsia="Arial" w:cs="Arial"/>
          <w:color w:val="auto"/>
        </w:rPr>
        <w:t xml:space="preserve"> </w:t>
      </w:r>
      <w:r w:rsidR="004C184D" w:rsidRPr="00EA55D0">
        <w:rPr>
          <w:rFonts w:eastAsia="Arial" w:cs="Arial"/>
          <w:color w:val="auto"/>
        </w:rPr>
        <w:t>P</w:t>
      </w:r>
      <w:r w:rsidRPr="00EA55D0">
        <w:rPr>
          <w:rFonts w:eastAsia="Arial" w:cs="Arial"/>
          <w:color w:val="auto"/>
        </w:rPr>
        <w:t xml:space="preserve">rovider. For these reasons, these datasets cannot be combined. </w:t>
      </w:r>
    </w:p>
    <w:p w14:paraId="4C664AF2" w14:textId="6D6F5F03" w:rsidR="006E5380" w:rsidRPr="00B7303C" w:rsidRDefault="006E5380" w:rsidP="00E333F2">
      <w:pPr>
        <w:pStyle w:val="Heading2"/>
      </w:pPr>
      <w:r w:rsidRPr="00B7303C">
        <w:t xml:space="preserve">Why is the sector being advised of changes to reporting requirements after the </w:t>
      </w:r>
      <w:r w:rsidR="00A57D68" w:rsidRPr="00B7303C">
        <w:t xml:space="preserve">2025-26 </w:t>
      </w:r>
      <w:r w:rsidRPr="00B7303C">
        <w:t>reporting period has commenced?</w:t>
      </w:r>
    </w:p>
    <w:p w14:paraId="7FA89601" w14:textId="267BB417" w:rsidR="00FE2ED8" w:rsidRPr="00EA55D0" w:rsidRDefault="006E5380" w:rsidP="00FE2ED8">
      <w:pPr>
        <w:rPr>
          <w:rFonts w:eastAsia="Arial" w:cs="Arial"/>
        </w:rPr>
      </w:pPr>
      <w:r w:rsidRPr="00EA55D0">
        <w:rPr>
          <w:rFonts w:eastAsia="Arial" w:cs="Arial"/>
        </w:rPr>
        <w:t>While we aim to advise the sector of changes to the reporting in advance,</w:t>
      </w:r>
      <w:r w:rsidR="00A57D68" w:rsidRPr="00EA55D0">
        <w:rPr>
          <w:rFonts w:eastAsia="Arial" w:cs="Arial"/>
        </w:rPr>
        <w:t xml:space="preserve"> f</w:t>
      </w:r>
      <w:r w:rsidR="008F7B03" w:rsidRPr="00EA55D0">
        <w:rPr>
          <w:rFonts w:eastAsia="Arial" w:cs="Arial"/>
        </w:rPr>
        <w:t>inancial reporting in the 2025-26 financial</w:t>
      </w:r>
      <w:r w:rsidRPr="00EA55D0">
        <w:rPr>
          <w:rFonts w:eastAsia="Arial" w:cs="Arial"/>
        </w:rPr>
        <w:t xml:space="preserve"> </w:t>
      </w:r>
      <w:r w:rsidR="00D37F63" w:rsidRPr="00EA55D0">
        <w:rPr>
          <w:rFonts w:eastAsia="Arial" w:cs="Arial"/>
        </w:rPr>
        <w:t xml:space="preserve">year is unique given the commencement of major </w:t>
      </w:r>
      <w:r w:rsidR="00D37F63" w:rsidRPr="00EA55D0">
        <w:rPr>
          <w:rFonts w:eastAsia="Arial" w:cs="Arial"/>
        </w:rPr>
        <w:lastRenderedPageBreak/>
        <w:t xml:space="preserve">aged care reforms </w:t>
      </w:r>
      <w:r w:rsidR="00A442FE">
        <w:rPr>
          <w:rFonts w:eastAsia="Arial" w:cs="Arial"/>
        </w:rPr>
        <w:t xml:space="preserve">commencing </w:t>
      </w:r>
      <w:r w:rsidR="00D37F63" w:rsidRPr="00EA55D0">
        <w:rPr>
          <w:rFonts w:eastAsia="Arial" w:cs="Arial"/>
        </w:rPr>
        <w:t>on 1 November 2025</w:t>
      </w:r>
      <w:r w:rsidR="00D85BCB" w:rsidRPr="00EA55D0">
        <w:rPr>
          <w:rFonts w:eastAsia="Arial" w:cs="Arial"/>
        </w:rPr>
        <w:t>, which has delayed</w:t>
      </w:r>
      <w:r w:rsidR="00D73D49" w:rsidRPr="00EA55D0">
        <w:rPr>
          <w:rFonts w:eastAsia="Arial" w:cs="Arial"/>
        </w:rPr>
        <w:t xml:space="preserve"> the communication of reporting requirements.</w:t>
      </w:r>
      <w:r w:rsidR="00D85BCB" w:rsidRPr="00EA55D0">
        <w:rPr>
          <w:rFonts w:eastAsia="Arial" w:cs="Arial"/>
        </w:rPr>
        <w:t xml:space="preserve"> </w:t>
      </w:r>
      <w:r w:rsidR="00D37F63" w:rsidRPr="00EA55D0">
        <w:rPr>
          <w:rFonts w:eastAsia="Arial" w:cs="Arial"/>
        </w:rPr>
        <w:t xml:space="preserve">The department </w:t>
      </w:r>
      <w:r w:rsidR="008F7B03" w:rsidRPr="00EA55D0">
        <w:rPr>
          <w:rFonts w:eastAsia="Arial" w:cs="Arial"/>
        </w:rPr>
        <w:t>will continue to update the sector on any further changes throughout the year.</w:t>
      </w:r>
      <w:r w:rsidRPr="00EA55D0">
        <w:rPr>
          <w:rFonts w:eastAsia="Arial" w:cs="Arial"/>
        </w:rPr>
        <w:t xml:space="preserve">  </w:t>
      </w:r>
    </w:p>
    <w:p w14:paraId="5C882023" w14:textId="6BC9F614" w:rsidR="00FE2ED8" w:rsidRPr="00B7303C" w:rsidRDefault="00FE2ED8" w:rsidP="00E333F2">
      <w:pPr>
        <w:pStyle w:val="Heading2"/>
      </w:pPr>
      <w:r w:rsidRPr="00B7303C">
        <w:t>Are not-for-profits required to complete the payroll tax data items in the ACFR? </w:t>
      </w:r>
      <w:r w:rsidRPr="00B7303C" w:rsidDel="00366ADE">
        <w:t xml:space="preserve"> </w:t>
      </w:r>
    </w:p>
    <w:p w14:paraId="5DBE4595" w14:textId="70AD157B" w:rsidR="007F7A3F" w:rsidRPr="00EA55D0" w:rsidRDefault="00FE2ED8" w:rsidP="00FE2ED8">
      <w:pPr>
        <w:rPr>
          <w:rFonts w:cs="Arial"/>
        </w:rPr>
      </w:pPr>
      <w:r w:rsidRPr="00EA55D0">
        <w:rPr>
          <w:rFonts w:cs="Arial"/>
          <w:color w:val="auto"/>
        </w:rPr>
        <w:t>As payroll tax is not applicable for not-for-profit providers, these providers should input zero for this data item. </w:t>
      </w:r>
      <w:r w:rsidR="007F7A3F" w:rsidRPr="00EA55D0">
        <w:rPr>
          <w:rFonts w:cs="Arial"/>
        </w:rPr>
        <w:br w:type="page"/>
      </w:r>
    </w:p>
    <w:p w14:paraId="3F37D029" w14:textId="36186817" w:rsidR="00520EED" w:rsidRPr="00EA55D0" w:rsidRDefault="008737FF" w:rsidP="00A247D7">
      <w:pPr>
        <w:pStyle w:val="Heading1"/>
      </w:pPr>
      <w:bookmarkStart w:id="18" w:name="_Toc209078252"/>
      <w:bookmarkStart w:id="19" w:name="_Toc209774713"/>
      <w:bookmarkStart w:id="20" w:name="_Hlk132793393"/>
      <w:r w:rsidRPr="00EA55D0">
        <w:lastRenderedPageBreak/>
        <w:t>Consolidated Segment Report</w:t>
      </w:r>
      <w:bookmarkEnd w:id="18"/>
      <w:bookmarkEnd w:id="19"/>
    </w:p>
    <w:p w14:paraId="5B8E249E" w14:textId="77777777" w:rsidR="0037790D" w:rsidRPr="00ED3ABB" w:rsidRDefault="00C75DBF" w:rsidP="00ED3ABB">
      <w:r w:rsidRPr="00ED3ABB">
        <w:t xml:space="preserve">The Consolidated Segment Report </w:t>
      </w:r>
      <w:r w:rsidR="000B2E29" w:rsidRPr="00ED3ABB">
        <w:t xml:space="preserve">(CSR) </w:t>
      </w:r>
      <w:r w:rsidR="002F403E" w:rsidRPr="00ED3ABB">
        <w:t xml:space="preserve">includes </w:t>
      </w:r>
      <w:r w:rsidR="005D5A61" w:rsidRPr="00ED3ABB">
        <w:t xml:space="preserve">a Balance Sheet and Income and Expenditure Statement </w:t>
      </w:r>
      <w:r w:rsidR="000B2E29" w:rsidRPr="00ED3ABB">
        <w:t xml:space="preserve">that </w:t>
      </w:r>
      <w:r w:rsidR="0037790D" w:rsidRPr="00ED3ABB">
        <w:t>are segmented by:</w:t>
      </w:r>
    </w:p>
    <w:p w14:paraId="087D89F5" w14:textId="6686ABEE" w:rsidR="00A1469A" w:rsidRPr="00EA55D0" w:rsidRDefault="0037790D" w:rsidP="00E333F2">
      <w:pPr>
        <w:pStyle w:val="ListBullet"/>
      </w:pPr>
      <w:r w:rsidRPr="00EA55D0">
        <w:t>Centrally held</w:t>
      </w:r>
    </w:p>
    <w:p w14:paraId="3187C46B" w14:textId="1E50F607" w:rsidR="0037790D" w:rsidRPr="00EA55D0" w:rsidRDefault="0037790D" w:rsidP="00E333F2">
      <w:pPr>
        <w:pStyle w:val="ListBullet"/>
      </w:pPr>
      <w:r w:rsidRPr="00EA55D0">
        <w:t>Residential</w:t>
      </w:r>
    </w:p>
    <w:p w14:paraId="19A9B5BD" w14:textId="72BACA42" w:rsidR="0037790D" w:rsidRPr="00EA55D0" w:rsidRDefault="0037790D" w:rsidP="00E333F2">
      <w:pPr>
        <w:pStyle w:val="ListBullet"/>
      </w:pPr>
      <w:r w:rsidRPr="00EA55D0">
        <w:t>Support at Home</w:t>
      </w:r>
    </w:p>
    <w:p w14:paraId="08E7B165" w14:textId="479D1606" w:rsidR="0037790D" w:rsidRPr="00EA55D0" w:rsidRDefault="0037790D" w:rsidP="00E333F2">
      <w:pPr>
        <w:pStyle w:val="ListBullet"/>
      </w:pPr>
      <w:r w:rsidRPr="00EA55D0">
        <w:t>Community</w:t>
      </w:r>
    </w:p>
    <w:p w14:paraId="158B49BA" w14:textId="0A88D842" w:rsidR="0037790D" w:rsidRPr="00EA55D0" w:rsidRDefault="0037790D" w:rsidP="00E333F2">
      <w:pPr>
        <w:pStyle w:val="ListBullet"/>
      </w:pPr>
      <w:r w:rsidRPr="00EA55D0">
        <w:t>Retirement</w:t>
      </w:r>
    </w:p>
    <w:p w14:paraId="4255FEEC" w14:textId="2573FDE4" w:rsidR="0037790D" w:rsidRPr="00EA55D0" w:rsidRDefault="0037790D" w:rsidP="00E333F2">
      <w:pPr>
        <w:pStyle w:val="ListBullet"/>
      </w:pPr>
      <w:r w:rsidRPr="00EA55D0">
        <w:t>Other</w:t>
      </w:r>
    </w:p>
    <w:p w14:paraId="29AB737C" w14:textId="6B8F95CF" w:rsidR="00DE59BC" w:rsidRPr="00EA55D0" w:rsidRDefault="0051537D" w:rsidP="00E333F2">
      <w:pPr>
        <w:rPr>
          <w:rFonts w:cs="Arial"/>
        </w:rPr>
      </w:pPr>
      <w:r w:rsidRPr="00EA55D0">
        <w:rPr>
          <w:rFonts w:cs="Arial"/>
        </w:rPr>
        <w:t>Cash, financial assets and equity are only collected as a total and are not required to be segmented. Financial information is used by the department and the ACQSC to understand sector performance.</w:t>
      </w:r>
    </w:p>
    <w:p w14:paraId="6EBE9383" w14:textId="00B2CA60" w:rsidR="00F52AA2" w:rsidRPr="00EA55D0" w:rsidRDefault="008345CE" w:rsidP="00DE59BC">
      <w:pPr>
        <w:pStyle w:val="SubjectHeading"/>
      </w:pPr>
      <w:bookmarkStart w:id="21" w:name="_Toc209078253"/>
      <w:r w:rsidRPr="00EA55D0">
        <w:t>Ultimate Parent Entity or Registered Provider</w:t>
      </w:r>
      <w:bookmarkEnd w:id="21"/>
      <w:r w:rsidRPr="00EA55D0">
        <w:t xml:space="preserve"> </w:t>
      </w:r>
    </w:p>
    <w:p w14:paraId="2102CC7A" w14:textId="26310788" w:rsidR="00DE6F26" w:rsidRPr="00EA55D0" w:rsidRDefault="00DE6F26" w:rsidP="003D3585">
      <w:r w:rsidRPr="00EA55D0">
        <w:t>If the Registered Provider is part of a group and is not the parent entity of that group, the CSR needs to be completed at the ultimate parent entity level</w:t>
      </w:r>
      <w:r w:rsidR="00DE54AD" w:rsidRPr="00EA55D0">
        <w:t>.</w:t>
      </w:r>
    </w:p>
    <w:p w14:paraId="4293A21C" w14:textId="34458F1A" w:rsidR="00C73954" w:rsidRPr="00EA55D0" w:rsidRDefault="003D3585" w:rsidP="00E333F2">
      <w:r w:rsidRPr="00EA55D0">
        <w:t xml:space="preserve">If the Registered Provider does not have a parent entity or group structure, the CSR is to be completed at the </w:t>
      </w:r>
      <w:r w:rsidR="005C1873" w:rsidRPr="00EA55D0">
        <w:t>R</w:t>
      </w:r>
      <w:r w:rsidRPr="00EA55D0">
        <w:t xml:space="preserve">egistered </w:t>
      </w:r>
      <w:r w:rsidR="005C1873" w:rsidRPr="00EA55D0">
        <w:t>P</w:t>
      </w:r>
      <w:r w:rsidRPr="00EA55D0">
        <w:t xml:space="preserve">rovider level with the total segment result and total segment net assets needing to agree to the respective totals in the </w:t>
      </w:r>
      <w:r w:rsidR="002166A8" w:rsidRPr="00EA55D0">
        <w:t>R</w:t>
      </w:r>
      <w:r w:rsidRPr="00EA55D0">
        <w:t xml:space="preserve">egistered </w:t>
      </w:r>
      <w:r w:rsidR="002166A8" w:rsidRPr="00EA55D0">
        <w:t>P</w:t>
      </w:r>
      <w:r w:rsidRPr="00EA55D0">
        <w:t>rovider ‘Income &amp; Expenditure Statement’ and ‘Registered Provider Balance Sheet’.</w:t>
      </w:r>
    </w:p>
    <w:p w14:paraId="2E5CAC57" w14:textId="3139A3D4" w:rsidR="00BD27D5" w:rsidRPr="00EA55D0" w:rsidRDefault="00BD27D5" w:rsidP="00C73954">
      <w:pPr>
        <w:pStyle w:val="SubjectHeading"/>
      </w:pPr>
      <w:bookmarkStart w:id="22" w:name="_Toc209078254"/>
      <w:r w:rsidRPr="00EA55D0">
        <w:t>Segments</w:t>
      </w:r>
      <w:bookmarkEnd w:id="22"/>
    </w:p>
    <w:p w14:paraId="3E8D268F" w14:textId="38CECCAE" w:rsidR="003D3585" w:rsidRPr="00EA55D0" w:rsidRDefault="003D3585" w:rsidP="003D3585">
      <w:r w:rsidRPr="00EA55D0">
        <w:t xml:space="preserve">The CSR must be prepared in accordance with the recognition and measurement requirements as specified in </w:t>
      </w:r>
      <w:hyperlink r:id="rId29" w:history="1">
        <w:r w:rsidRPr="00EA55D0">
          <w:rPr>
            <w:rStyle w:val="Hyperlink"/>
            <w:rFonts w:cs="Arial"/>
            <w:color w:val="1E1545" w:themeColor="text1"/>
          </w:rPr>
          <w:t>AASB 8 Operating Segments</w:t>
        </w:r>
      </w:hyperlink>
      <w:r w:rsidRPr="00EA55D0">
        <w:t>.</w:t>
      </w:r>
    </w:p>
    <w:p w14:paraId="480D1A5C" w14:textId="52C90F39" w:rsidR="003D3585" w:rsidRPr="00EA55D0" w:rsidRDefault="003D3585" w:rsidP="003D3585">
      <w:r w:rsidRPr="00EA55D0">
        <w:t xml:space="preserve">Where the </w:t>
      </w:r>
      <w:r w:rsidR="00006BC4" w:rsidRPr="00EA55D0">
        <w:t>R</w:t>
      </w:r>
      <w:r w:rsidRPr="00EA55D0">
        <w:t xml:space="preserve">egistered </w:t>
      </w:r>
      <w:r w:rsidR="00006BC4" w:rsidRPr="00EA55D0">
        <w:t>P</w:t>
      </w:r>
      <w:r w:rsidRPr="00EA55D0">
        <w:t xml:space="preserve">rovider does not have a parent entity and only delivers residential aged care, data </w:t>
      </w:r>
      <w:proofErr w:type="gramStart"/>
      <w:r w:rsidRPr="00EA55D0">
        <w:t>entered into</w:t>
      </w:r>
      <w:proofErr w:type="gramEnd"/>
      <w:r w:rsidRPr="00EA55D0">
        <w:t xml:space="preserve"> the CSR must agree with data </w:t>
      </w:r>
      <w:proofErr w:type="gramStart"/>
      <w:r w:rsidRPr="00EA55D0">
        <w:t>entered into</w:t>
      </w:r>
      <w:proofErr w:type="gramEnd"/>
      <w:r w:rsidRPr="00EA55D0">
        <w:t xml:space="preserve"> the residential aged care income, expense and balance sheet sections of the ACFR.</w:t>
      </w:r>
    </w:p>
    <w:p w14:paraId="7F556ED2" w14:textId="68F67681" w:rsidR="00316761" w:rsidRPr="00EA55D0" w:rsidRDefault="00316761" w:rsidP="003D3585">
      <w:r w:rsidRPr="00EA55D0">
        <w:t>The ‘Support at Home’ segment should include:</w:t>
      </w:r>
    </w:p>
    <w:p w14:paraId="75696D2C" w14:textId="7F15D527" w:rsidR="00316761" w:rsidRPr="00EA55D0" w:rsidRDefault="00316761" w:rsidP="00E333F2">
      <w:pPr>
        <w:pStyle w:val="ListBullet"/>
      </w:pPr>
      <w:r w:rsidRPr="00EA55D0">
        <w:t xml:space="preserve">Support </w:t>
      </w:r>
      <w:r w:rsidR="001A681A" w:rsidRPr="00EA55D0">
        <w:t>at Home program from 1 November 2025</w:t>
      </w:r>
    </w:p>
    <w:p w14:paraId="4AEB3A66" w14:textId="447746FB" w:rsidR="001A681A" w:rsidRPr="00EA55D0" w:rsidRDefault="001A681A" w:rsidP="00E333F2">
      <w:pPr>
        <w:pStyle w:val="ListBullet"/>
      </w:pPr>
      <w:r w:rsidRPr="00EA55D0">
        <w:t>Home Care Packages Program</w:t>
      </w:r>
    </w:p>
    <w:p w14:paraId="0E23E251" w14:textId="306522C7" w:rsidR="001A681A" w:rsidRPr="00EA55D0" w:rsidRDefault="001A681A" w:rsidP="00E333F2">
      <w:pPr>
        <w:pStyle w:val="ListBullet"/>
      </w:pPr>
      <w:r w:rsidRPr="00EA55D0">
        <w:t xml:space="preserve">STRC Progamme </w:t>
      </w:r>
    </w:p>
    <w:p w14:paraId="602A9E58" w14:textId="53F8C6C6" w:rsidR="00D96BEF" w:rsidRPr="00ED3ABB" w:rsidRDefault="003D3585" w:rsidP="00ED3ABB">
      <w:r w:rsidRPr="00ED3ABB">
        <w:t>The ‘Community’</w:t>
      </w:r>
      <w:r w:rsidRPr="00ED3ABB" w:rsidDel="00B15F0A">
        <w:t xml:space="preserve"> </w:t>
      </w:r>
      <w:r w:rsidRPr="00ED3ABB">
        <w:t xml:space="preserve">segment </w:t>
      </w:r>
      <w:r w:rsidR="0046555D" w:rsidRPr="00ED3ABB">
        <w:t xml:space="preserve">should </w:t>
      </w:r>
      <w:r w:rsidRPr="00ED3ABB">
        <w:t>include</w:t>
      </w:r>
      <w:r w:rsidR="00D96BEF" w:rsidRPr="00ED3ABB">
        <w:t>:</w:t>
      </w:r>
    </w:p>
    <w:p w14:paraId="0B76FB0C" w14:textId="77777777" w:rsidR="00D96BEF" w:rsidRPr="00EA55D0" w:rsidRDefault="003D3585" w:rsidP="00E333F2">
      <w:pPr>
        <w:pStyle w:val="ListBullet"/>
      </w:pPr>
      <w:r w:rsidRPr="00EA55D0">
        <w:t xml:space="preserve">Commonwealth Home Support Programme (CHSP) </w:t>
      </w:r>
    </w:p>
    <w:p w14:paraId="40E144EF" w14:textId="3F435ED9" w:rsidR="002F0124" w:rsidRPr="00EA55D0" w:rsidRDefault="002F0124" w:rsidP="00E333F2">
      <w:pPr>
        <w:pStyle w:val="ListBullet"/>
      </w:pPr>
      <w:r w:rsidRPr="00EA55D0">
        <w:t>National Aboriginal and Torres Strait Islander Flexible Aged Care Program (NATSIFACP)</w:t>
      </w:r>
    </w:p>
    <w:p w14:paraId="41B54296" w14:textId="040F9C15" w:rsidR="002F0124" w:rsidRPr="00EA55D0" w:rsidRDefault="00B012D3" w:rsidP="00E333F2">
      <w:pPr>
        <w:pStyle w:val="ListBullet"/>
      </w:pPr>
      <w:r w:rsidRPr="00EA55D0">
        <w:t>Transition Care Program (TCP)</w:t>
      </w:r>
    </w:p>
    <w:p w14:paraId="4E98992A" w14:textId="387A8B00" w:rsidR="00363C09" w:rsidRPr="00EA55D0" w:rsidRDefault="00D377EC" w:rsidP="00E333F2">
      <w:pPr>
        <w:pStyle w:val="ListBullet"/>
      </w:pPr>
      <w:r w:rsidRPr="00EA55D0">
        <w:lastRenderedPageBreak/>
        <w:t>Multi-Purpose</w:t>
      </w:r>
      <w:r w:rsidR="00363C09" w:rsidRPr="00EA55D0">
        <w:t xml:space="preserve"> Services Program (MPSP)</w:t>
      </w:r>
    </w:p>
    <w:p w14:paraId="071F155F" w14:textId="77777777" w:rsidR="007A1ECA" w:rsidRPr="00EA55D0" w:rsidRDefault="003D3585" w:rsidP="00E333F2">
      <w:pPr>
        <w:pStyle w:val="ListBullet"/>
      </w:pPr>
      <w:r w:rsidRPr="00EA55D0">
        <w:t>Department of Veterans’ Affairs (DVA) program</w:t>
      </w:r>
    </w:p>
    <w:p w14:paraId="39B9102B" w14:textId="4B0E541A" w:rsidR="003D3585" w:rsidRPr="00EA55D0" w:rsidRDefault="003D3585" w:rsidP="00E333F2">
      <w:pPr>
        <w:pStyle w:val="ListBullet"/>
      </w:pPr>
      <w:r w:rsidRPr="00EA55D0">
        <w:t>other non-aged care community services including National Disability Insurance Scheme (NDIS), children services and other community services.</w:t>
      </w:r>
    </w:p>
    <w:p w14:paraId="70144982" w14:textId="75A008DC" w:rsidR="00B87517" w:rsidRDefault="00952FCA" w:rsidP="00520EED">
      <w:pPr>
        <w:rPr>
          <w:rFonts w:cs="Arial"/>
        </w:rPr>
      </w:pPr>
      <w:r w:rsidRPr="00EA55D0">
        <w:rPr>
          <w:rFonts w:cs="Arial"/>
        </w:rPr>
        <w:t>The ‘Retirement’ segment should include assets, liabilities, income and expenses for retirement villages and Independent Living Units (ILUs).</w:t>
      </w:r>
    </w:p>
    <w:p w14:paraId="75C54993" w14:textId="2414448B" w:rsidR="007153B4" w:rsidRPr="00EA55D0" w:rsidRDefault="007153B4" w:rsidP="00E333F2">
      <w:pPr>
        <w:pStyle w:val="Heading2"/>
      </w:pPr>
      <w:bookmarkStart w:id="23" w:name="_Toc209078255"/>
      <w:r w:rsidRPr="00EA55D0">
        <w:t>Government providers</w:t>
      </w:r>
      <w:bookmarkEnd w:id="23"/>
    </w:p>
    <w:p w14:paraId="3F212640" w14:textId="7BB4467E" w:rsidR="007153B4" w:rsidRPr="00E333F2" w:rsidRDefault="00D43576" w:rsidP="00E333F2">
      <w:r w:rsidRPr="00EA55D0">
        <w:t>If an organisation is a Registered Provider of residential aged care and/or the Support at Home program and is also a state or territory government, an authority of a state or territory or a local government authority then they are not required to complete the CSR.</w:t>
      </w:r>
    </w:p>
    <w:p w14:paraId="45118CBD" w14:textId="14630CC1" w:rsidR="00520EED" w:rsidRPr="00DC25B1" w:rsidRDefault="00776A4A" w:rsidP="00DC25B1">
      <w:pPr>
        <w:pStyle w:val="FigureTitle"/>
      </w:pPr>
      <w:bookmarkStart w:id="24" w:name="_Toc205804586"/>
      <w:bookmarkStart w:id="25" w:name="_Toc207281688"/>
      <w:r w:rsidRPr="00DC25B1">
        <w:t>Consolidated Segment Report</w:t>
      </w:r>
      <w:r w:rsidR="00520EED" w:rsidRPr="00DC25B1">
        <w:t xml:space="preserve"> FAQs</w:t>
      </w:r>
      <w:bookmarkEnd w:id="24"/>
      <w:bookmarkEnd w:id="25"/>
    </w:p>
    <w:p w14:paraId="4D5110AA" w14:textId="3E297E67" w:rsidR="00520EED" w:rsidRPr="00EA55D0" w:rsidRDefault="005C1873" w:rsidP="00E333F2">
      <w:pPr>
        <w:pStyle w:val="Heading2"/>
        <w:rPr>
          <w:rFonts w:eastAsia="Calibri Light"/>
        </w:rPr>
      </w:pPr>
      <w:r w:rsidRPr="00EA55D0">
        <w:rPr>
          <w:rFonts w:eastAsia="Calibri Light"/>
        </w:rPr>
        <w:t xml:space="preserve">Our business records the Balance Sheet at the </w:t>
      </w:r>
      <w:r w:rsidR="00167A75" w:rsidRPr="00EA55D0">
        <w:rPr>
          <w:rFonts w:eastAsia="Calibri Light"/>
        </w:rPr>
        <w:t>R</w:t>
      </w:r>
      <w:r w:rsidRPr="00EA55D0">
        <w:rPr>
          <w:rFonts w:eastAsia="Calibri Light"/>
        </w:rPr>
        <w:t xml:space="preserve">egistered </w:t>
      </w:r>
      <w:r w:rsidR="00167A75" w:rsidRPr="00EA55D0">
        <w:rPr>
          <w:rFonts w:eastAsia="Calibri Light"/>
        </w:rPr>
        <w:t>P</w:t>
      </w:r>
      <w:r w:rsidRPr="00EA55D0">
        <w:rPr>
          <w:rFonts w:eastAsia="Calibri Light"/>
        </w:rPr>
        <w:t xml:space="preserve">rovider level and not by segments. Is it acceptable to report on each segment using our own methodology?  </w:t>
      </w:r>
    </w:p>
    <w:p w14:paraId="5B334E6D" w14:textId="31900015" w:rsidR="004F0721" w:rsidRPr="00EA55D0" w:rsidRDefault="004F0721" w:rsidP="004F0721">
      <w:r w:rsidRPr="00EA55D0">
        <w:t xml:space="preserve">The Balance Sheet needs to be segmented in the CSR (at the Ultimate Parent Entity Level) and a separate residential segment balance sheet also needs to be completed to cover the services operated by the provider. The department requires that the principles of </w:t>
      </w:r>
      <w:hyperlink r:id="rId30" w:history="1">
        <w:r w:rsidRPr="00EA55D0">
          <w:rPr>
            <w:rStyle w:val="Hyperlink"/>
            <w:rFonts w:cs="Arial"/>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 </w:t>
      </w:r>
    </w:p>
    <w:p w14:paraId="7C63726A" w14:textId="636F5CB3" w:rsidR="00520EED" w:rsidRPr="00EA55D0" w:rsidRDefault="00A9525B" w:rsidP="00E333F2">
      <w:pPr>
        <w:pStyle w:val="Heading2"/>
        <w:rPr>
          <w:rFonts w:eastAsia="Calibri Light"/>
        </w:rPr>
      </w:pPr>
      <w:r w:rsidRPr="00EA55D0">
        <w:rPr>
          <w:rFonts w:eastAsia="Calibri Light"/>
        </w:rPr>
        <w:t>When splitting the CSR by segments (‘Residential’, ‘Support at Home, ‘Community’, ‘Retirement’ and ‘Other’), should corporate costs that relate to supporting the segments be allocated to 'Other' or re-distributed into the segments?</w:t>
      </w:r>
    </w:p>
    <w:p w14:paraId="474706AE" w14:textId="12E64278" w:rsidR="00EF63DB" w:rsidRPr="00EA55D0" w:rsidRDefault="00EF63DB" w:rsidP="00EF63DB">
      <w:r w:rsidRPr="00EA55D0">
        <w:t>Corporate/supporting cost</w:t>
      </w:r>
      <w:r w:rsidR="003A2236" w:rsidRPr="00EA55D0">
        <w:t>s</w:t>
      </w:r>
      <w:r w:rsidRPr="00EA55D0">
        <w:t xml:space="preserve"> must be fully re-distributed into segments (‘Residential’, ‘Support at Home, ‘Community’, ‘Retirement’ and ‘Other’). The department requires that the principles of </w:t>
      </w:r>
      <w:hyperlink r:id="rId31">
        <w:r w:rsidRPr="00EA55D0">
          <w:rPr>
            <w:rStyle w:val="Hyperlink"/>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w:t>
      </w:r>
      <w:r w:rsidR="00E118A5" w:rsidRPr="00EA55D0">
        <w:t>.</w:t>
      </w:r>
      <w:r w:rsidRPr="00EA55D0">
        <w:t xml:space="preserve"> </w:t>
      </w:r>
    </w:p>
    <w:p w14:paraId="0AD81103" w14:textId="77777777" w:rsidR="00EF63DB" w:rsidRPr="00EA55D0" w:rsidRDefault="00EF63DB" w:rsidP="00D73DCB">
      <w:pPr>
        <w:keepNext/>
        <w:keepLines/>
      </w:pPr>
      <w:r w:rsidRPr="00EA55D0">
        <w:t xml:space="preserve">The following steps can be used as an indicative guide: </w:t>
      </w:r>
    </w:p>
    <w:p w14:paraId="1E1164BA" w14:textId="77777777" w:rsidR="00EF63DB" w:rsidRPr="00EA55D0" w:rsidRDefault="00EF63DB" w:rsidP="00E333F2">
      <w:pPr>
        <w:pStyle w:val="ListBullet"/>
      </w:pPr>
      <w:r w:rsidRPr="00EA55D0">
        <w:t xml:space="preserve">Determine the percentage of corporate costs that apply to each segment taking into consideration the nature of the segment – examples being that the property </w:t>
      </w:r>
      <w:r w:rsidRPr="00EA55D0">
        <w:lastRenderedPageBreak/>
        <w:t xml:space="preserve">division would likely be predominantly relating to residential and retirement segments, whereas clinical would be residential and community with little allocation to retirement. </w:t>
      </w:r>
    </w:p>
    <w:p w14:paraId="1C51F5BC" w14:textId="77777777" w:rsidR="00EF63DB" w:rsidRPr="00EA55D0" w:rsidRDefault="00EF63DB" w:rsidP="00E333F2">
      <w:pPr>
        <w:pStyle w:val="ListBullet"/>
      </w:pPr>
      <w:r w:rsidRPr="00EA55D0">
        <w:t>Once the allocation percentage for each segment is determined, the allocation within the segment (to each operating unit) can be based on a formula – For example:</w:t>
      </w:r>
    </w:p>
    <w:p w14:paraId="0F4CEFB0" w14:textId="77777777" w:rsidR="00EF63DB" w:rsidRPr="00EA55D0" w:rsidRDefault="00EF63DB" w:rsidP="00E333F2">
      <w:pPr>
        <w:pStyle w:val="ListBullet2"/>
      </w:pPr>
      <w:r w:rsidRPr="00EA55D0">
        <w:t>residential by number of operating beds for each home</w:t>
      </w:r>
    </w:p>
    <w:p w14:paraId="1593E3DE" w14:textId="77777777" w:rsidR="00EF63DB" w:rsidRPr="00EA55D0" w:rsidRDefault="00EF63DB" w:rsidP="00E333F2">
      <w:pPr>
        <w:pStyle w:val="ListBullet2"/>
      </w:pPr>
      <w:r w:rsidRPr="00EA55D0">
        <w:t>community based on revenue for each program</w:t>
      </w:r>
    </w:p>
    <w:p w14:paraId="65998693" w14:textId="77777777" w:rsidR="00EF63DB" w:rsidRPr="00EA55D0" w:rsidRDefault="00EF63DB" w:rsidP="00E333F2">
      <w:pPr>
        <w:pStyle w:val="ListBullet2"/>
      </w:pPr>
      <w:r w:rsidRPr="00EA55D0">
        <w:t xml:space="preserve">retirement based on number of units for each village, and </w:t>
      </w:r>
    </w:p>
    <w:p w14:paraId="4DCCA7D1" w14:textId="77777777" w:rsidR="00EF63DB" w:rsidRPr="00EA55D0" w:rsidRDefault="00EF63DB" w:rsidP="00E333F2">
      <w:pPr>
        <w:pStyle w:val="ListBullet2"/>
      </w:pPr>
      <w:r w:rsidRPr="00EA55D0">
        <w:t xml:space="preserve">the “Other” segment should only include corporate costs relating to treasury, governance and areas that are not directly related to one of the operating segments. </w:t>
      </w:r>
    </w:p>
    <w:p w14:paraId="0E29504F" w14:textId="753AEB32" w:rsidR="00520EED" w:rsidRPr="00EA55D0" w:rsidRDefault="0058080C" w:rsidP="00E333F2">
      <w:pPr>
        <w:pStyle w:val="Heading2"/>
        <w:rPr>
          <w:rFonts w:eastAsia="Calibri Light"/>
        </w:rPr>
      </w:pPr>
      <w:r w:rsidRPr="00EA55D0">
        <w:rPr>
          <w:rFonts w:eastAsia="Calibri Light"/>
        </w:rPr>
        <w:t>The ‘Balance Sheet’ in the CSR does not require segmentation for cash, financial assets or equity. Are these ‘Balance Sheet’ items (cash, financial assets and equity) excluded from the separate residential balance sheet reporting requirements?</w:t>
      </w:r>
    </w:p>
    <w:p w14:paraId="385686D0" w14:textId="77777777" w:rsidR="00697E20" w:rsidRPr="00EA55D0" w:rsidRDefault="00697E20" w:rsidP="00697E20">
      <w:r w:rsidRPr="00EA55D0">
        <w:t xml:space="preserve">No. The ‘Balance Sheet’ items are included in residential balance sheet reporting requirements. The residential allocation for cash, financial assets, and the allocation of all other residual current assets should be included in the residential segment balance sheet under ‘Other Assets’. </w:t>
      </w:r>
    </w:p>
    <w:p w14:paraId="6A7EAFCD" w14:textId="77777777" w:rsidR="00697E20" w:rsidRPr="00EA55D0" w:rsidRDefault="00697E20" w:rsidP="00697E20">
      <w:r w:rsidRPr="00EA55D0">
        <w:t>The CSR</w:t>
      </w:r>
      <w:r w:rsidRPr="00EA55D0" w:rsidDel="00E32822">
        <w:t xml:space="preserve"> </w:t>
      </w:r>
      <w:r w:rsidRPr="00EA55D0">
        <w:t>is to be completed at the ultimate parent entity level and does not require cash and financial assets to be allocated to the individual segments. It can be reported as a total for the parent entity.</w:t>
      </w:r>
    </w:p>
    <w:p w14:paraId="60A234C4" w14:textId="16997F47" w:rsidR="000E720D" w:rsidRPr="00EA55D0" w:rsidRDefault="000E720D" w:rsidP="00E333F2">
      <w:pPr>
        <w:pStyle w:val="Heading2"/>
        <w:rPr>
          <w:rFonts w:eastAsia="Calibri Light"/>
        </w:rPr>
      </w:pPr>
      <w:r w:rsidRPr="00EA55D0">
        <w:rPr>
          <w:rFonts w:eastAsia="Calibri Light"/>
        </w:rPr>
        <w:t xml:space="preserve">If a provider runs </w:t>
      </w:r>
      <w:r w:rsidR="00ED05C8" w:rsidRPr="00EA55D0">
        <w:rPr>
          <w:rFonts w:eastAsia="Calibri Light"/>
        </w:rPr>
        <w:t xml:space="preserve">a </w:t>
      </w:r>
      <w:r w:rsidRPr="00EA55D0">
        <w:rPr>
          <w:rFonts w:eastAsia="Calibri Light"/>
        </w:rPr>
        <w:t xml:space="preserve">central catering division which services both internal residential </w:t>
      </w:r>
      <w:r w:rsidR="00F039C4" w:rsidRPr="00EA55D0">
        <w:rPr>
          <w:rFonts w:eastAsia="Calibri Light"/>
        </w:rPr>
        <w:t xml:space="preserve">aged care </w:t>
      </w:r>
      <w:r w:rsidR="007F6D57" w:rsidRPr="00EA55D0">
        <w:rPr>
          <w:rFonts w:eastAsia="Calibri Light"/>
        </w:rPr>
        <w:t xml:space="preserve">homes </w:t>
      </w:r>
      <w:r w:rsidRPr="00EA55D0">
        <w:rPr>
          <w:rFonts w:eastAsia="Calibri Light"/>
        </w:rPr>
        <w:t>as well as external customers, is it classified as ‘Other’ in the CSR</w:t>
      </w:r>
      <w:r w:rsidRPr="00EA55D0" w:rsidDel="00E32822">
        <w:rPr>
          <w:rFonts w:eastAsia="Calibri Light"/>
        </w:rPr>
        <w:t>?</w:t>
      </w:r>
    </w:p>
    <w:p w14:paraId="49CF1E9E" w14:textId="38BD2A2C" w:rsidR="000E720D" w:rsidRPr="00EA55D0" w:rsidRDefault="000E720D" w:rsidP="000E720D">
      <w:pPr>
        <w:rPr>
          <w:rFonts w:cs="Arial"/>
        </w:rPr>
      </w:pPr>
      <w:r w:rsidRPr="00EA55D0">
        <w:rPr>
          <w:rFonts w:cs="Arial"/>
        </w:rPr>
        <w:t xml:space="preserve">Catering </w:t>
      </w:r>
      <w:r w:rsidR="00032922" w:rsidRPr="00EA55D0">
        <w:rPr>
          <w:rFonts w:cs="Arial"/>
        </w:rPr>
        <w:t xml:space="preserve">operations </w:t>
      </w:r>
      <w:r w:rsidR="00E94147" w:rsidRPr="00EA55D0">
        <w:rPr>
          <w:rFonts w:cs="Arial"/>
        </w:rPr>
        <w:t xml:space="preserve">that service both internal residential </w:t>
      </w:r>
      <w:r w:rsidR="007F6D57" w:rsidRPr="00EA55D0">
        <w:rPr>
          <w:rFonts w:cs="Arial"/>
        </w:rPr>
        <w:t xml:space="preserve">aged care homes </w:t>
      </w:r>
      <w:r w:rsidR="00015825" w:rsidRPr="00EA55D0">
        <w:rPr>
          <w:rFonts w:cs="Arial"/>
        </w:rPr>
        <w:t xml:space="preserve">and external customers will need to be apportioned to the relevant segments in the CSR. </w:t>
      </w:r>
      <w:r w:rsidR="00590E05" w:rsidRPr="00EA55D0">
        <w:rPr>
          <w:rFonts w:cs="Arial"/>
        </w:rPr>
        <w:t>The catering operations that relate to meals provided in residential aged care should be apportioned to the ‘</w:t>
      </w:r>
      <w:r w:rsidRPr="00EA55D0">
        <w:rPr>
          <w:rFonts w:cs="Arial"/>
        </w:rPr>
        <w:t>Residential’ segment</w:t>
      </w:r>
      <w:r w:rsidR="00D84690" w:rsidRPr="00EA55D0">
        <w:rPr>
          <w:rFonts w:cs="Arial"/>
        </w:rPr>
        <w:t xml:space="preserve"> </w:t>
      </w:r>
      <w:proofErr w:type="gramStart"/>
      <w:r w:rsidR="00D84690" w:rsidRPr="00EA55D0">
        <w:rPr>
          <w:rFonts w:cs="Arial"/>
        </w:rPr>
        <w:t>and also</w:t>
      </w:r>
      <w:proofErr w:type="gramEnd"/>
      <w:r w:rsidR="00D84690" w:rsidRPr="00EA55D0">
        <w:rPr>
          <w:rFonts w:cs="Arial"/>
        </w:rPr>
        <w:t xml:space="preserve"> be included </w:t>
      </w:r>
      <w:r w:rsidR="00351FBA" w:rsidRPr="00EA55D0">
        <w:rPr>
          <w:rFonts w:cs="Arial"/>
        </w:rPr>
        <w:t xml:space="preserve">in the residential </w:t>
      </w:r>
      <w:r w:rsidR="00772180" w:rsidRPr="00EA55D0">
        <w:rPr>
          <w:rFonts w:cs="Arial"/>
        </w:rPr>
        <w:t>catering expenses</w:t>
      </w:r>
      <w:r w:rsidR="00A933E5" w:rsidRPr="00EA55D0">
        <w:rPr>
          <w:rFonts w:cs="Arial"/>
        </w:rPr>
        <w:t xml:space="preserve"> </w:t>
      </w:r>
      <w:r w:rsidR="007C74CB" w:rsidRPr="00EA55D0">
        <w:rPr>
          <w:rFonts w:cs="Arial"/>
        </w:rPr>
        <w:t>contract (internal)</w:t>
      </w:r>
      <w:r w:rsidR="00351FBA" w:rsidRPr="00EA55D0">
        <w:rPr>
          <w:rFonts w:cs="Arial"/>
        </w:rPr>
        <w:t xml:space="preserve">. </w:t>
      </w:r>
      <w:r w:rsidRPr="00EA55D0">
        <w:rPr>
          <w:rFonts w:cs="Arial"/>
        </w:rPr>
        <w:t xml:space="preserve">The remainder of catering operations will be included in </w:t>
      </w:r>
      <w:r w:rsidR="009128AB" w:rsidRPr="00EA55D0">
        <w:rPr>
          <w:rFonts w:cs="Arial"/>
        </w:rPr>
        <w:t xml:space="preserve">the </w:t>
      </w:r>
      <w:r w:rsidRPr="00EA55D0">
        <w:rPr>
          <w:rFonts w:cs="Arial"/>
        </w:rPr>
        <w:t>‘Other’ segment of the CSR.</w:t>
      </w:r>
    </w:p>
    <w:p w14:paraId="07CB91E9" w14:textId="59478607" w:rsidR="00FC11FD" w:rsidRPr="00EA55D0" w:rsidRDefault="00FF4E84" w:rsidP="00825E1E">
      <w:pPr>
        <w:pStyle w:val="Heading1"/>
      </w:pPr>
      <w:bookmarkStart w:id="26" w:name="_Toc184198006"/>
      <w:bookmarkStart w:id="27" w:name="_Toc205730278"/>
      <w:bookmarkStart w:id="28" w:name="_Toc209078256"/>
      <w:bookmarkStart w:id="29" w:name="_Toc209774714"/>
      <w:r w:rsidRPr="00EA55D0">
        <w:t>Registered</w:t>
      </w:r>
      <w:r w:rsidR="00FC11FD" w:rsidRPr="00EA55D0">
        <w:t xml:space="preserve"> Provider </w:t>
      </w:r>
      <w:r w:rsidR="000E74E7" w:rsidRPr="00EA55D0">
        <w:t>r</w:t>
      </w:r>
      <w:r w:rsidR="00FC11FD" w:rsidRPr="00EA55D0">
        <w:t>eporting</w:t>
      </w:r>
      <w:bookmarkEnd w:id="26"/>
      <w:bookmarkEnd w:id="27"/>
      <w:bookmarkEnd w:id="28"/>
      <w:bookmarkEnd w:id="29"/>
    </w:p>
    <w:p w14:paraId="50B844B4" w14:textId="38FC3810" w:rsidR="000E74E7" w:rsidRPr="00EA55D0" w:rsidRDefault="000E74E7" w:rsidP="000E74E7">
      <w:pPr>
        <w:rPr>
          <w:rFonts w:cs="Arial"/>
        </w:rPr>
      </w:pPr>
      <w:r w:rsidRPr="00EA55D0">
        <w:rPr>
          <w:rFonts w:cs="Arial"/>
        </w:rPr>
        <w:t xml:space="preserve">Registered Provider reporting comprises the:  </w:t>
      </w:r>
    </w:p>
    <w:p w14:paraId="6B8F9430" w14:textId="37FB8635" w:rsidR="000E74E7" w:rsidRPr="00EA55D0" w:rsidRDefault="00FB3025" w:rsidP="00E333F2">
      <w:pPr>
        <w:pStyle w:val="ListBullet"/>
      </w:pPr>
      <w:r w:rsidRPr="00EA55D0">
        <w:t>Registered Provider Income and Expenditure Statement</w:t>
      </w:r>
    </w:p>
    <w:p w14:paraId="252DC1CB" w14:textId="4ED0491C" w:rsidR="00FB3025" w:rsidRPr="00EA55D0" w:rsidRDefault="00FB3025" w:rsidP="00E333F2">
      <w:pPr>
        <w:pStyle w:val="ListBullet"/>
      </w:pPr>
      <w:r w:rsidRPr="00EA55D0">
        <w:t>Registered Provider Balance Sheet</w:t>
      </w:r>
    </w:p>
    <w:p w14:paraId="19746F3C" w14:textId="59E1FC97" w:rsidR="00FB3025" w:rsidRPr="00EA55D0" w:rsidRDefault="002149EC" w:rsidP="00E333F2">
      <w:pPr>
        <w:pStyle w:val="ListBullet"/>
      </w:pPr>
      <w:r w:rsidRPr="00EA55D0">
        <w:lastRenderedPageBreak/>
        <w:t>Registered Provider Cash Flow Statement</w:t>
      </w:r>
    </w:p>
    <w:p w14:paraId="68FBDCF7" w14:textId="1F6AE312" w:rsidR="004E6D8C" w:rsidRPr="00EA55D0" w:rsidRDefault="004E6D8C" w:rsidP="00E333F2">
      <w:pPr>
        <w:pStyle w:val="ListBullet"/>
      </w:pPr>
      <w:r w:rsidRPr="00EA55D0">
        <w:t>Movement schedules</w:t>
      </w:r>
    </w:p>
    <w:p w14:paraId="2ADF4D88" w14:textId="0194E9C6" w:rsidR="004E6D8C" w:rsidRPr="00EA55D0" w:rsidRDefault="00A606FB" w:rsidP="00E333F2">
      <w:pPr>
        <w:pStyle w:val="ListBullet2"/>
      </w:pPr>
      <w:r w:rsidRPr="00EA55D0">
        <w:t>Registered Provider Financial Assets</w:t>
      </w:r>
    </w:p>
    <w:p w14:paraId="47D2E3BB" w14:textId="2F1BC31C" w:rsidR="00A606FB" w:rsidRPr="00EA55D0" w:rsidRDefault="00433FE3" w:rsidP="00E333F2">
      <w:pPr>
        <w:pStyle w:val="ListBullet2"/>
      </w:pPr>
      <w:r w:rsidRPr="00EA55D0">
        <w:t xml:space="preserve">Registered Provider Loans </w:t>
      </w:r>
      <w:r w:rsidR="00942444" w:rsidRPr="00EA55D0">
        <w:t>Receivable</w:t>
      </w:r>
    </w:p>
    <w:p w14:paraId="6C26912C" w14:textId="019330F3" w:rsidR="00942444" w:rsidRPr="00EA55D0" w:rsidRDefault="00B15190" w:rsidP="00E333F2">
      <w:pPr>
        <w:pStyle w:val="ListBullet2"/>
      </w:pPr>
      <w:r w:rsidRPr="00EA55D0">
        <w:t>Registered Pro</w:t>
      </w:r>
      <w:r w:rsidR="00E21702" w:rsidRPr="00EA55D0">
        <w:t xml:space="preserve">vider </w:t>
      </w:r>
      <w:r w:rsidR="00B7628A" w:rsidRPr="00EA55D0">
        <w:t>Non-</w:t>
      </w:r>
      <w:r w:rsidR="00E236AA" w:rsidRPr="00EA55D0">
        <w:t>C</w:t>
      </w:r>
      <w:r w:rsidR="00B7628A" w:rsidRPr="00EA55D0">
        <w:t>urrent Assets</w:t>
      </w:r>
    </w:p>
    <w:p w14:paraId="5E60EB81" w14:textId="134D19A2" w:rsidR="00E21702" w:rsidRPr="00EA55D0" w:rsidRDefault="00E236AA" w:rsidP="00E333F2">
      <w:pPr>
        <w:pStyle w:val="ListBullet2"/>
      </w:pPr>
      <w:r w:rsidRPr="00EA55D0">
        <w:t>Registered Provider Borrowings</w:t>
      </w:r>
    </w:p>
    <w:p w14:paraId="381F98B0" w14:textId="50831AB2" w:rsidR="002356DF" w:rsidRPr="00EA55D0" w:rsidRDefault="002356DF" w:rsidP="00E333F2">
      <w:pPr>
        <w:pStyle w:val="ListBullet2"/>
      </w:pPr>
      <w:r w:rsidRPr="00EA55D0">
        <w:t>Registered Provider Refundable Loans</w:t>
      </w:r>
    </w:p>
    <w:p w14:paraId="47107189" w14:textId="77AC525B" w:rsidR="006616C2" w:rsidRPr="00EA55D0" w:rsidRDefault="006616C2" w:rsidP="00E333F2">
      <w:pPr>
        <w:pStyle w:val="ListBullet2"/>
      </w:pPr>
      <w:r w:rsidRPr="00EA55D0">
        <w:t xml:space="preserve">Registered Provider </w:t>
      </w:r>
      <w:r w:rsidR="00B57FEB" w:rsidRPr="00EA55D0">
        <w:t>Related Party Loans</w:t>
      </w:r>
    </w:p>
    <w:p w14:paraId="553BC510" w14:textId="2AB304E1" w:rsidR="000E74E7" w:rsidRPr="00984611" w:rsidRDefault="00B57FEB" w:rsidP="00E333F2">
      <w:pPr>
        <w:pStyle w:val="ListBullet2"/>
      </w:pPr>
      <w:r w:rsidRPr="00EA55D0">
        <w:t>Registered Provider Note 1</w:t>
      </w:r>
    </w:p>
    <w:p w14:paraId="49434319" w14:textId="7C5E15BA" w:rsidR="00A33121" w:rsidRPr="00984611" w:rsidRDefault="00D46836" w:rsidP="00E333F2">
      <w:pPr>
        <w:pStyle w:val="Heading2"/>
      </w:pPr>
      <w:bookmarkStart w:id="30" w:name="_Toc209078257"/>
      <w:r w:rsidRPr="00984611">
        <w:t>Registered Provider reporting requirements</w:t>
      </w:r>
      <w:bookmarkEnd w:id="30"/>
    </w:p>
    <w:p w14:paraId="4C0540DF" w14:textId="6D75464B" w:rsidR="00634B67" w:rsidRPr="00EA55D0" w:rsidRDefault="00271095" w:rsidP="00E333F2">
      <w:bookmarkStart w:id="31" w:name="_Toc209078258"/>
      <w:r w:rsidRPr="00EA55D0">
        <w:t xml:space="preserve">Registered Providers of residential aged care and </w:t>
      </w:r>
      <w:r w:rsidR="0002750D" w:rsidRPr="00EA55D0">
        <w:t xml:space="preserve">the </w:t>
      </w:r>
      <w:r w:rsidRPr="00EA55D0">
        <w:t>Support at Home program are required to complete the Registered Provider Income and Expenditure Statement, Balance Sheet and Cash Flow Statement.</w:t>
      </w:r>
      <w:bookmarkEnd w:id="31"/>
    </w:p>
    <w:p w14:paraId="1668E45D" w14:textId="77777777" w:rsidR="00A23962" w:rsidRPr="00E333F2" w:rsidRDefault="00634B67" w:rsidP="00E333F2">
      <w:bookmarkStart w:id="32" w:name="_Toc209078259"/>
      <w:r w:rsidRPr="00EA55D0">
        <w:t xml:space="preserve">Only Registered Providers of residential aged care are required to complete the </w:t>
      </w:r>
      <w:r w:rsidR="00954513" w:rsidRPr="00EA55D0">
        <w:t>movement schedules.</w:t>
      </w:r>
      <w:bookmarkEnd w:id="32"/>
    </w:p>
    <w:p w14:paraId="0510AC14" w14:textId="77777777" w:rsidR="00BE2F5D" w:rsidRPr="00EA55D0" w:rsidRDefault="00BE2F5D" w:rsidP="00E333F2">
      <w:pPr>
        <w:pStyle w:val="Heading2"/>
      </w:pPr>
      <w:r w:rsidRPr="00EA55D0">
        <w:t>Reconciling the Registered Provider sections to the GPFS</w:t>
      </w:r>
    </w:p>
    <w:p w14:paraId="6BA61F3B" w14:textId="77777777" w:rsidR="00BE2F5D" w:rsidRDefault="00BE2F5D" w:rsidP="00BE2F5D">
      <w:r w:rsidRPr="00EA55D0">
        <w:t xml:space="preserve">When completing the Registered Provider sections within the ACFR, the data entered should include information for both the provider’s residential aged care and non-residential aged care operations and the information </w:t>
      </w:r>
      <w:proofErr w:type="gramStart"/>
      <w:r w:rsidRPr="00EA55D0">
        <w:t>entered into</w:t>
      </w:r>
      <w:proofErr w:type="gramEnd"/>
      <w:r w:rsidRPr="00EA55D0">
        <w:t xml:space="preserve"> the ACFR must reconcile to the GPFS.</w:t>
      </w:r>
    </w:p>
    <w:p w14:paraId="6840B1CF" w14:textId="13F1C7B2" w:rsidR="00804D2F" w:rsidRPr="00EA55D0" w:rsidRDefault="00804D2F" w:rsidP="00E333F2">
      <w:pPr>
        <w:pStyle w:val="Heading2"/>
      </w:pPr>
      <w:bookmarkStart w:id="33" w:name="_Toc209078260"/>
      <w:r w:rsidRPr="00EA55D0">
        <w:t>Government P</w:t>
      </w:r>
      <w:r w:rsidR="0002750D" w:rsidRPr="00EA55D0">
        <w:t>r</w:t>
      </w:r>
      <w:r w:rsidRPr="00EA55D0">
        <w:t>oviders</w:t>
      </w:r>
      <w:bookmarkEnd w:id="33"/>
    </w:p>
    <w:p w14:paraId="653CFD60" w14:textId="65156EFD" w:rsidR="00E91E17" w:rsidRPr="00EA55D0" w:rsidRDefault="00497B53" w:rsidP="00E333F2">
      <w:r w:rsidRPr="00EA55D0">
        <w:t>If an organisation is a Registered Provider of residential aged care</w:t>
      </w:r>
      <w:r w:rsidR="008503FD" w:rsidRPr="00EA55D0">
        <w:t xml:space="preserve"> and/or the Support at Home program</w:t>
      </w:r>
      <w:r w:rsidRPr="00EA55D0">
        <w:t xml:space="preserve"> and is also a state or territory government, an authority of a state or territory or a local government authority then they are not required to </w:t>
      </w:r>
      <w:r w:rsidR="00D42306" w:rsidRPr="00EA55D0">
        <w:t>complete the Registered Provider reporting.</w:t>
      </w:r>
    </w:p>
    <w:p w14:paraId="5F0292B0" w14:textId="493CC47D" w:rsidR="0011392D" w:rsidRPr="00EA55D0" w:rsidRDefault="00FF4E84" w:rsidP="00E91E17">
      <w:pPr>
        <w:pStyle w:val="SubjectHeading"/>
      </w:pPr>
      <w:bookmarkStart w:id="34" w:name="_Toc209078261"/>
      <w:r w:rsidRPr="00EA55D0">
        <w:t>Registered</w:t>
      </w:r>
      <w:r w:rsidR="0011392D" w:rsidRPr="00EA55D0">
        <w:t xml:space="preserve"> </w:t>
      </w:r>
      <w:r w:rsidRPr="00EA55D0">
        <w:t>P</w:t>
      </w:r>
      <w:r w:rsidR="0011392D" w:rsidRPr="00EA55D0">
        <w:t>rovider Income and Expenditure Statement</w:t>
      </w:r>
      <w:bookmarkEnd w:id="34"/>
    </w:p>
    <w:p w14:paraId="00C2601B" w14:textId="04BB3546" w:rsidR="0011392D" w:rsidRPr="00EA55D0" w:rsidRDefault="0011392D" w:rsidP="00E333F2">
      <w:pPr>
        <w:pStyle w:val="ListBullet"/>
      </w:pPr>
      <w:r w:rsidRPr="00EA55D0">
        <w:t xml:space="preserve">The format of the </w:t>
      </w:r>
      <w:r w:rsidR="00BC0DF8" w:rsidRPr="00EA55D0">
        <w:t>Registered</w:t>
      </w:r>
      <w:r w:rsidRPr="00EA55D0">
        <w:t xml:space="preserve"> </w:t>
      </w:r>
      <w:r w:rsidR="00BC0DF8" w:rsidRPr="00EA55D0">
        <w:t>P</w:t>
      </w:r>
      <w:r w:rsidRPr="00EA55D0">
        <w:t xml:space="preserve">rovider Income and Expenditure Statement is </w:t>
      </w:r>
      <w:proofErr w:type="gramStart"/>
      <w:r w:rsidRPr="00EA55D0">
        <w:t>similar to</w:t>
      </w:r>
      <w:proofErr w:type="gramEnd"/>
      <w:r w:rsidRPr="00EA55D0">
        <w:t xml:space="preserve"> the statement of profit or loss and other comprehensive income as included in an organisation’s GPFS.</w:t>
      </w:r>
    </w:p>
    <w:p w14:paraId="3BED8A15" w14:textId="77C6EA74" w:rsidR="0011392D" w:rsidRPr="00EA55D0" w:rsidRDefault="0011392D" w:rsidP="00E333F2">
      <w:pPr>
        <w:pStyle w:val="ListBullet"/>
      </w:pPr>
      <w:r w:rsidRPr="00EA55D0">
        <w:t xml:space="preserve">Operating income includes all recurrent operating revenue for all normal operations of the </w:t>
      </w:r>
      <w:r w:rsidR="00BC0DF8" w:rsidRPr="00EA55D0">
        <w:t>Registered</w:t>
      </w:r>
      <w:r w:rsidRPr="00EA55D0">
        <w:t xml:space="preserve"> </w:t>
      </w:r>
      <w:r w:rsidR="00BC0DF8" w:rsidRPr="00EA55D0">
        <w:t>P</w:t>
      </w:r>
      <w:r w:rsidRPr="00EA55D0">
        <w:t>rovider.</w:t>
      </w:r>
    </w:p>
    <w:p w14:paraId="22D709CB" w14:textId="5E6220E9" w:rsidR="0011392D" w:rsidRPr="00EA55D0" w:rsidRDefault="0011392D" w:rsidP="00E333F2">
      <w:pPr>
        <w:pStyle w:val="ListBullet"/>
      </w:pPr>
      <w:r w:rsidRPr="00EA55D0">
        <w:t xml:space="preserve">All rent and management fees shown as expense items by residential aged providers require additional disclosure in </w:t>
      </w:r>
      <w:r w:rsidRPr="00EA55D0">
        <w:rPr>
          <w:rFonts w:cs="Arial"/>
          <w:color w:val="2AB1BB" w:themeColor="hyperlink"/>
          <w:u w:val="single"/>
        </w:rPr>
        <w:t>Note 1</w:t>
      </w:r>
      <w:r w:rsidRPr="00EA55D0">
        <w:t xml:space="preserve"> (“Sub-Contract arrangements”).</w:t>
      </w:r>
    </w:p>
    <w:p w14:paraId="51315D0D" w14:textId="7B43E2D2" w:rsidR="00E91E17" w:rsidRPr="00EA55D0" w:rsidRDefault="0011392D" w:rsidP="00E333F2">
      <w:pPr>
        <w:pStyle w:val="ListBullet"/>
      </w:pPr>
      <w:r w:rsidRPr="00EA55D0">
        <w:lastRenderedPageBreak/>
        <w:t xml:space="preserve">All material other income and other expense items reported by residential aged care providers must be separately disclosed in </w:t>
      </w:r>
      <w:r w:rsidRPr="00EA55D0">
        <w:rPr>
          <w:rFonts w:cs="Arial"/>
          <w:color w:val="2AB1BB" w:themeColor="hyperlink"/>
          <w:u w:val="single"/>
        </w:rPr>
        <w:t>Note 1</w:t>
      </w:r>
      <w:r w:rsidRPr="00EA55D0">
        <w:t xml:space="preserve"> of the ACFR (a materiality guide is items over 2% of total income or total expenses).</w:t>
      </w:r>
    </w:p>
    <w:p w14:paraId="37C882DB" w14:textId="2892528B" w:rsidR="0011392D" w:rsidRPr="00EA55D0" w:rsidRDefault="00FF4E84" w:rsidP="00E91E17">
      <w:pPr>
        <w:pStyle w:val="SubjectHeading"/>
      </w:pPr>
      <w:bookmarkStart w:id="35" w:name="_Toc209078262"/>
      <w:r w:rsidRPr="00EA55D0">
        <w:t xml:space="preserve">Registered Provider </w:t>
      </w:r>
      <w:r w:rsidR="0011392D" w:rsidRPr="00EA55D0">
        <w:t>Balance Sheet</w:t>
      </w:r>
      <w:bookmarkEnd w:id="35"/>
    </w:p>
    <w:p w14:paraId="2250EC25" w14:textId="550D4D2C" w:rsidR="0011392D" w:rsidRPr="00EA55D0" w:rsidRDefault="0011392D" w:rsidP="00E333F2">
      <w:pPr>
        <w:pStyle w:val="ListBullet"/>
      </w:pPr>
      <w:r w:rsidRPr="00EA55D0">
        <w:t xml:space="preserve">The disclosures of the </w:t>
      </w:r>
      <w:r w:rsidR="00A675B0" w:rsidRPr="00EA55D0">
        <w:t>Registered</w:t>
      </w:r>
      <w:r w:rsidRPr="00EA55D0">
        <w:t xml:space="preserve"> </w:t>
      </w:r>
      <w:r w:rsidR="00A675B0" w:rsidRPr="00EA55D0">
        <w:t>P</w:t>
      </w:r>
      <w:r w:rsidRPr="00EA55D0">
        <w:t xml:space="preserve">rovider Balance Sheet are </w:t>
      </w:r>
      <w:proofErr w:type="gramStart"/>
      <w:r w:rsidRPr="00EA55D0">
        <w:t>similar to</w:t>
      </w:r>
      <w:proofErr w:type="gramEnd"/>
      <w:r w:rsidRPr="00EA55D0">
        <w:t xml:space="preserve"> the Statement of Financial Position as included in an organisation’s GPFS.</w:t>
      </w:r>
    </w:p>
    <w:p w14:paraId="15800017" w14:textId="62AC5B4B" w:rsidR="0011392D" w:rsidRPr="00EA55D0" w:rsidRDefault="0011392D" w:rsidP="00E333F2">
      <w:pPr>
        <w:pStyle w:val="ListBullet"/>
      </w:pPr>
      <w:r w:rsidRPr="00EA55D0">
        <w:t xml:space="preserve">The department has adopted the liquidity format balance sheet due to the treatment of refundable loans (accommodation bonds, refundable accommodation deposits and entry contributions) as current liabilities do not reflect the true liquidity of the </w:t>
      </w:r>
      <w:r w:rsidR="00C17F8F" w:rsidRPr="00EA55D0">
        <w:t>Registered</w:t>
      </w:r>
      <w:r w:rsidRPr="00EA55D0">
        <w:t xml:space="preserve"> </w:t>
      </w:r>
      <w:r w:rsidR="00C17F8F" w:rsidRPr="00EA55D0">
        <w:t>P</w:t>
      </w:r>
      <w:r w:rsidRPr="00EA55D0">
        <w:t>rovider as these liabilities are not likely to be repaid in the next 12 months.</w:t>
      </w:r>
    </w:p>
    <w:p w14:paraId="00BA33AC" w14:textId="55310993" w:rsidR="00E91E17" w:rsidRPr="00EA55D0" w:rsidRDefault="0011392D" w:rsidP="00E333F2">
      <w:pPr>
        <w:pStyle w:val="ListBullet"/>
      </w:pPr>
      <w:r w:rsidRPr="00EA55D0">
        <w:t>Residential aged care providers reporting any material change in an asset or liability disclosure as compared to the previous year must be separately disclosed in Note 1 of the ACFR (a materiality guide is a change in value of over 50%).</w:t>
      </w:r>
    </w:p>
    <w:p w14:paraId="74E5956F" w14:textId="77777777" w:rsidR="005B5D9B" w:rsidRPr="00EA55D0" w:rsidRDefault="005B5D9B" w:rsidP="00E91E17">
      <w:pPr>
        <w:pStyle w:val="SubjectHeading"/>
      </w:pPr>
      <w:bookmarkStart w:id="36" w:name="_Toc209078263"/>
      <w:r w:rsidRPr="00EA55D0">
        <w:t>Registered Provider Cash Flow Statement</w:t>
      </w:r>
      <w:bookmarkEnd w:id="36"/>
    </w:p>
    <w:p w14:paraId="26A2C52D" w14:textId="77777777" w:rsidR="005B5D9B" w:rsidRPr="00EA55D0" w:rsidRDefault="005B5D9B" w:rsidP="00E333F2">
      <w:pPr>
        <w:pStyle w:val="ListBullet"/>
      </w:pPr>
      <w:r w:rsidRPr="00EA55D0">
        <w:t xml:space="preserve">The format of the Registered Provider Cash Flow Statement is </w:t>
      </w:r>
      <w:proofErr w:type="gramStart"/>
      <w:r w:rsidRPr="00EA55D0">
        <w:t>similar to</w:t>
      </w:r>
      <w:proofErr w:type="gramEnd"/>
      <w:r w:rsidRPr="00EA55D0">
        <w:t xml:space="preserve"> the Statement of Cash Flows as included in an organisation’s GPFS.</w:t>
      </w:r>
    </w:p>
    <w:p w14:paraId="4D7320F2" w14:textId="77777777" w:rsidR="005B5D9B" w:rsidRPr="00EA55D0" w:rsidRDefault="005B5D9B" w:rsidP="00E333F2">
      <w:pPr>
        <w:pStyle w:val="ListBullet"/>
      </w:pPr>
      <w:r w:rsidRPr="00EA55D0">
        <w:t>All balances must be shown as GST inclusive.</w:t>
      </w:r>
    </w:p>
    <w:p w14:paraId="576A2B51" w14:textId="62FCC6CB" w:rsidR="00E91E17" w:rsidRPr="00EA55D0" w:rsidRDefault="005B5D9B" w:rsidP="00E333F2">
      <w:pPr>
        <w:pStyle w:val="ListBullet"/>
      </w:pPr>
      <w:bookmarkStart w:id="37" w:name="_Toc209078264"/>
      <w:r w:rsidRPr="00EA55D0">
        <w:t>Refundable loan receipts and payments must be disclosed as a financing cash flow (as distinct from an operating cash flow).</w:t>
      </w:r>
      <w:bookmarkEnd w:id="37"/>
    </w:p>
    <w:p w14:paraId="1A5FBD66" w14:textId="14C8E78F" w:rsidR="005B5D9B" w:rsidRPr="00E333F2" w:rsidRDefault="005B5D9B" w:rsidP="00E333F2">
      <w:pPr>
        <w:pStyle w:val="PullOut"/>
      </w:pPr>
      <w:r w:rsidRPr="00E333F2">
        <w:t>Movement Schedules</w:t>
      </w:r>
    </w:p>
    <w:p w14:paraId="7C33829B" w14:textId="65E5F64B" w:rsidR="009A57C6" w:rsidRPr="00EA55D0" w:rsidRDefault="009A57C6" w:rsidP="009A57C6">
      <w:pPr>
        <w:pStyle w:val="NormalText"/>
      </w:pPr>
      <w:r w:rsidRPr="00EA55D0">
        <w:t xml:space="preserve">Only providers of residential aged care </w:t>
      </w:r>
      <w:r w:rsidR="004D11E9" w:rsidRPr="00EA55D0">
        <w:t xml:space="preserve">who are </w:t>
      </w:r>
      <w:r w:rsidRPr="00EA55D0">
        <w:t xml:space="preserve">non-government providers </w:t>
      </w:r>
      <w:r w:rsidR="00F0522E" w:rsidRPr="00EA55D0">
        <w:t>complete the following Movement Schedules in the ACFR:</w:t>
      </w:r>
    </w:p>
    <w:p w14:paraId="7CBB5227" w14:textId="0E669AD0" w:rsidR="0011392D" w:rsidRPr="00253CF7" w:rsidRDefault="00D865A8" w:rsidP="00253CF7">
      <w:pPr>
        <w:pStyle w:val="SubjectHeading"/>
      </w:pPr>
      <w:bookmarkStart w:id="38" w:name="_Toc209078265"/>
      <w:r w:rsidRPr="00253CF7">
        <w:t>Registered</w:t>
      </w:r>
      <w:r w:rsidR="0011392D" w:rsidRPr="00253CF7">
        <w:t xml:space="preserve"> </w:t>
      </w:r>
      <w:r w:rsidRPr="00253CF7">
        <w:t>P</w:t>
      </w:r>
      <w:r w:rsidR="0011392D" w:rsidRPr="00253CF7">
        <w:t>rovider financial assets</w:t>
      </w:r>
      <w:bookmarkEnd w:id="38"/>
    </w:p>
    <w:p w14:paraId="394BA3CB" w14:textId="77777777" w:rsidR="0011392D" w:rsidRPr="00EA55D0" w:rsidRDefault="0011392D" w:rsidP="00E333F2">
      <w:pPr>
        <w:pStyle w:val="ListBullet"/>
      </w:pPr>
      <w:r w:rsidRPr="00EA55D0">
        <w:t>Financial assets must be disclosed in accordance with AASB 9 Financial Instruments.</w:t>
      </w:r>
    </w:p>
    <w:p w14:paraId="25D785E1" w14:textId="77777777" w:rsidR="0011392D" w:rsidRPr="00EA55D0" w:rsidRDefault="0011392D" w:rsidP="00E333F2">
      <w:pPr>
        <w:pStyle w:val="ListBullet"/>
      </w:pPr>
      <w:r w:rsidRPr="00EA55D0">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1380C1E3" w14:textId="074631E2" w:rsidR="008B4092" w:rsidRPr="00EA55D0" w:rsidRDefault="0011392D" w:rsidP="00E333F2">
      <w:pPr>
        <w:pStyle w:val="ListBullet"/>
      </w:pPr>
      <w:r w:rsidRPr="00EA55D0">
        <w:t>The data should be sourced from an organisation’s</w:t>
      </w:r>
      <w:r w:rsidRPr="00EA55D0" w:rsidDel="009B233E">
        <w:t xml:space="preserve"> </w:t>
      </w:r>
      <w:r w:rsidRPr="00EA55D0">
        <w:t>GPFS and therefore should reconcile to the GPFS.</w:t>
      </w:r>
    </w:p>
    <w:p w14:paraId="6F056716" w14:textId="5F9001C0" w:rsidR="0011392D" w:rsidRPr="00253CF7" w:rsidRDefault="00D865A8" w:rsidP="00253CF7">
      <w:pPr>
        <w:pStyle w:val="SubjectHeading"/>
      </w:pPr>
      <w:bookmarkStart w:id="39" w:name="_Toc209078266"/>
      <w:r w:rsidRPr="00253CF7">
        <w:t>Registered</w:t>
      </w:r>
      <w:r w:rsidR="0011392D" w:rsidRPr="00253CF7">
        <w:t xml:space="preserve"> </w:t>
      </w:r>
      <w:r w:rsidRPr="00253CF7">
        <w:t>P</w:t>
      </w:r>
      <w:r w:rsidR="0011392D" w:rsidRPr="00253CF7">
        <w:t>rovider loans receivable</w:t>
      </w:r>
      <w:bookmarkEnd w:id="39"/>
    </w:p>
    <w:p w14:paraId="3D50B3AC" w14:textId="77777777" w:rsidR="0011392D" w:rsidRPr="00EA55D0" w:rsidRDefault="0011392D" w:rsidP="00E333F2">
      <w:pPr>
        <w:pStyle w:val="ListBullet"/>
      </w:pPr>
      <w:r w:rsidRPr="00EA55D0">
        <w:lastRenderedPageBreak/>
        <w:t>Loans receivable does not include related party loans or refundable loans receivable (these are to be separately included in the relevant schedules).</w:t>
      </w:r>
    </w:p>
    <w:p w14:paraId="5C09B0EA" w14:textId="77777777" w:rsidR="0011392D" w:rsidRPr="00EA55D0" w:rsidRDefault="0011392D" w:rsidP="00E333F2">
      <w:pPr>
        <w:pStyle w:val="ListBullet"/>
      </w:pPr>
      <w:r w:rsidRPr="00EA55D0">
        <w:t>Details of security held (if applicable) for loans receivable must be included.</w:t>
      </w:r>
    </w:p>
    <w:p w14:paraId="4B1B9A21" w14:textId="158BD9C7" w:rsidR="008B4092" w:rsidRPr="00EA55D0" w:rsidRDefault="0011392D" w:rsidP="00E333F2">
      <w:pPr>
        <w:pStyle w:val="ListBullet"/>
      </w:pPr>
      <w:r w:rsidRPr="00EA55D0">
        <w:t>The data should be sourced from an organisation’s GPFS</w:t>
      </w:r>
      <w:r w:rsidRPr="00EA55D0" w:rsidDel="009B233E">
        <w:t xml:space="preserve"> </w:t>
      </w:r>
      <w:r w:rsidRPr="00EA55D0">
        <w:t>and therefore should reconcile to the GPFS.</w:t>
      </w:r>
    </w:p>
    <w:p w14:paraId="5313260C" w14:textId="6F3FDC11" w:rsidR="0011392D" w:rsidRPr="00EA55D0" w:rsidRDefault="007F1092" w:rsidP="008B4092">
      <w:pPr>
        <w:pStyle w:val="SubjectHeading"/>
      </w:pPr>
      <w:bookmarkStart w:id="40" w:name="_Toc209078267"/>
      <w:r w:rsidRPr="00EA55D0">
        <w:t>Registered</w:t>
      </w:r>
      <w:r w:rsidR="0011392D" w:rsidRPr="00EA55D0">
        <w:t xml:space="preserve"> </w:t>
      </w:r>
      <w:r w:rsidRPr="00EA55D0">
        <w:t>P</w:t>
      </w:r>
      <w:r w:rsidR="0011392D" w:rsidRPr="00EA55D0">
        <w:t>rovider non-current assets</w:t>
      </w:r>
      <w:bookmarkEnd w:id="40"/>
    </w:p>
    <w:p w14:paraId="20A77241" w14:textId="0783A71E" w:rsidR="0011392D" w:rsidRPr="00EA55D0" w:rsidRDefault="0011392D" w:rsidP="00E333F2">
      <w:pPr>
        <w:pStyle w:val="ListBullet"/>
      </w:pPr>
      <w:r w:rsidRPr="00EA55D0">
        <w:t xml:space="preserve">All non-current assets need to be allocated to either residential </w:t>
      </w:r>
      <w:r w:rsidR="00CF5A4A" w:rsidRPr="00EA55D0">
        <w:t xml:space="preserve">aged </w:t>
      </w:r>
      <w:r w:rsidRPr="00EA55D0">
        <w:t>care segment or other segment.</w:t>
      </w:r>
    </w:p>
    <w:p w14:paraId="52D6DD90" w14:textId="77777777" w:rsidR="0011392D" w:rsidRPr="00EA55D0" w:rsidRDefault="0011392D" w:rsidP="00E333F2">
      <w:pPr>
        <w:pStyle w:val="ListBullet"/>
      </w:pPr>
      <w:r w:rsidRPr="00EA55D0">
        <w:t>Where assets have both residential and non-residential use, an assessment of the portion applicable to residential aged care needs to be made based on area, usage or similar measure.</w:t>
      </w:r>
    </w:p>
    <w:p w14:paraId="17FEAEC3" w14:textId="77DBD9C1" w:rsidR="0011392D" w:rsidRPr="00EA55D0" w:rsidRDefault="0011392D" w:rsidP="00E333F2">
      <w:pPr>
        <w:pStyle w:val="ListBullet"/>
      </w:pPr>
      <w:r w:rsidRPr="00EA55D0">
        <w:t>Where an investment property is disclosed as being residential aged care, please include further details in Note 1.</w:t>
      </w:r>
    </w:p>
    <w:p w14:paraId="20833354" w14:textId="77777777" w:rsidR="0011392D" w:rsidRPr="00EA55D0" w:rsidRDefault="0011392D" w:rsidP="00E333F2">
      <w:pPr>
        <w:pStyle w:val="ListBullet"/>
      </w:pPr>
      <w:r w:rsidRPr="00EA55D0">
        <w:t>The upper and lower depreciation/amortisation rate for each class of asset needs to be included.</w:t>
      </w:r>
    </w:p>
    <w:p w14:paraId="2352E58E" w14:textId="250776A5" w:rsidR="008B4092" w:rsidRPr="008B4092" w:rsidRDefault="0011392D" w:rsidP="00E333F2">
      <w:pPr>
        <w:pStyle w:val="ListBullet"/>
      </w:pPr>
      <w:r w:rsidRPr="00EA55D0">
        <w:t>The data should be sourced from an organisation’s GPFS and therefore should reconcile to the GPFS</w:t>
      </w:r>
      <w:bookmarkStart w:id="41" w:name="_Toc209078268"/>
      <w:r w:rsidR="00E333F2">
        <w:t>.</w:t>
      </w:r>
    </w:p>
    <w:p w14:paraId="6D6A9914" w14:textId="7CF4CA0A" w:rsidR="00D03161" w:rsidRPr="00EA55D0" w:rsidRDefault="00D03161" w:rsidP="008B4092">
      <w:pPr>
        <w:pStyle w:val="SubjectHeading"/>
      </w:pPr>
      <w:r w:rsidRPr="00EA55D0">
        <w:t>Registered Provider borrowings</w:t>
      </w:r>
      <w:bookmarkEnd w:id="41"/>
    </w:p>
    <w:p w14:paraId="2D7F840F" w14:textId="77777777" w:rsidR="00D03161" w:rsidRPr="00EA55D0" w:rsidRDefault="00D03161" w:rsidP="00E333F2">
      <w:pPr>
        <w:pStyle w:val="ListBullet"/>
      </w:pPr>
      <w:r w:rsidRPr="00EA55D0">
        <w:t>Related party borrowings are not to be included in this section. Borrowings relate solely to external, non-arms-length borrowings.</w:t>
      </w:r>
    </w:p>
    <w:p w14:paraId="0FFA0D97" w14:textId="77777777" w:rsidR="00D03161" w:rsidRPr="00EA55D0" w:rsidRDefault="00D03161" w:rsidP="00E333F2">
      <w:pPr>
        <w:pStyle w:val="ListBullet"/>
      </w:pPr>
      <w:r w:rsidRPr="00EA55D0">
        <w:t>Interest paid refers to where the interest has been credited to the account and not paid through the bank or financial assets account (i.e. a non-cash transaction).</w:t>
      </w:r>
    </w:p>
    <w:p w14:paraId="12D162CE" w14:textId="2C78C94E" w:rsidR="008B4092" w:rsidRPr="00EA55D0" w:rsidRDefault="00D03161" w:rsidP="00E333F2">
      <w:pPr>
        <w:pStyle w:val="ListBullet"/>
      </w:pPr>
      <w:r w:rsidRPr="00EA55D0">
        <w:t>The data should be sourced from an organisation’s</w:t>
      </w:r>
      <w:r w:rsidRPr="00EA55D0" w:rsidDel="009B233E">
        <w:t xml:space="preserve"> </w:t>
      </w:r>
      <w:r w:rsidRPr="00EA55D0">
        <w:t>GPFS and therefore should reconcile to the GPFS.</w:t>
      </w:r>
    </w:p>
    <w:p w14:paraId="24FF30A7" w14:textId="50AB437D" w:rsidR="0011392D" w:rsidRPr="00EA55D0" w:rsidRDefault="00D81B51" w:rsidP="008B4092">
      <w:pPr>
        <w:pStyle w:val="SubjectHeading"/>
      </w:pPr>
      <w:bookmarkStart w:id="42" w:name="_Toc209078269"/>
      <w:r w:rsidRPr="00EA55D0">
        <w:t>Registered P</w:t>
      </w:r>
      <w:r w:rsidR="0011392D" w:rsidRPr="00EA55D0">
        <w:t>rovider refundable loans</w:t>
      </w:r>
      <w:bookmarkEnd w:id="42"/>
    </w:p>
    <w:p w14:paraId="6CFA4D35" w14:textId="77777777" w:rsidR="0011392D" w:rsidRPr="00EA55D0" w:rsidRDefault="0011392D" w:rsidP="00E333F2">
      <w:pPr>
        <w:pStyle w:val="ListBullet"/>
      </w:pPr>
      <w:r w:rsidRPr="00EA55D0">
        <w:t>Refundable accommodation deposits (RADs) schedule also includes (former) accommodation bonds and entry contributions for permanent residential aged care residents.</w:t>
      </w:r>
    </w:p>
    <w:p w14:paraId="5970E296" w14:textId="77777777" w:rsidR="0011392D" w:rsidRPr="00EA55D0" w:rsidRDefault="0011392D" w:rsidP="00E333F2">
      <w:pPr>
        <w:pStyle w:val="ListBullet"/>
      </w:pPr>
      <w:r w:rsidRPr="00EA55D0">
        <w:t>Refundable entry contributions schedule is in relation to retirement living residents.</w:t>
      </w:r>
    </w:p>
    <w:p w14:paraId="5AB189E7" w14:textId="77777777" w:rsidR="0011392D" w:rsidRPr="00EA55D0" w:rsidRDefault="0011392D" w:rsidP="00E333F2">
      <w:pPr>
        <w:pStyle w:val="ListBullet"/>
      </w:pPr>
      <w:r w:rsidRPr="00EA55D0">
        <w:t>Transfers to RADs must equal transfers from refundable entry contributions.</w:t>
      </w:r>
    </w:p>
    <w:p w14:paraId="3520EAC1" w14:textId="2E8A0003" w:rsidR="008B4092" w:rsidRPr="00EA55D0" w:rsidRDefault="0011392D" w:rsidP="00E333F2">
      <w:pPr>
        <w:pStyle w:val="ListBullet"/>
      </w:pPr>
      <w:r w:rsidRPr="00EA55D0">
        <w:t>The data should be sourced from an organisation’s GPFS and therefore should reconcile to the GPFS.</w:t>
      </w:r>
    </w:p>
    <w:p w14:paraId="2CC91764" w14:textId="02697EE3" w:rsidR="0011392D" w:rsidRPr="00EA55D0" w:rsidRDefault="003C4042" w:rsidP="008B4092">
      <w:pPr>
        <w:pStyle w:val="SubjectHeading"/>
      </w:pPr>
      <w:bookmarkStart w:id="43" w:name="_Toc209078270"/>
      <w:r w:rsidRPr="00EA55D0">
        <w:t xml:space="preserve">Registered Provider </w:t>
      </w:r>
      <w:r w:rsidR="0011392D" w:rsidRPr="00EA55D0">
        <w:t>Related Party Loans</w:t>
      </w:r>
      <w:bookmarkEnd w:id="43"/>
      <w:r w:rsidR="0011392D" w:rsidRPr="00EA55D0">
        <w:t xml:space="preserve"> </w:t>
      </w:r>
    </w:p>
    <w:p w14:paraId="39932016" w14:textId="77777777" w:rsidR="0011392D" w:rsidRPr="00EA55D0" w:rsidRDefault="0011392D" w:rsidP="00E333F2">
      <w:pPr>
        <w:pStyle w:val="ListBullet"/>
      </w:pPr>
      <w:r w:rsidRPr="00EA55D0">
        <w:t>Related party loans receivable should not be disclosed as a financial asset.</w:t>
      </w:r>
    </w:p>
    <w:p w14:paraId="5C42ADC7" w14:textId="77777777" w:rsidR="0011392D" w:rsidRPr="00EA55D0" w:rsidRDefault="0011392D" w:rsidP="00E333F2">
      <w:pPr>
        <w:pStyle w:val="ListBullet"/>
      </w:pPr>
      <w:r w:rsidRPr="00EA55D0">
        <w:t>Related party loans payable should not be disclosed as borrowings.</w:t>
      </w:r>
    </w:p>
    <w:p w14:paraId="05119791" w14:textId="77777777" w:rsidR="0011392D" w:rsidRPr="00EA55D0" w:rsidRDefault="0011392D" w:rsidP="00E333F2">
      <w:pPr>
        <w:pStyle w:val="ListBullet"/>
      </w:pPr>
      <w:r w:rsidRPr="00EA55D0">
        <w:lastRenderedPageBreak/>
        <w:t>Interest received or interest paid refers to where the interest has been included in the loan account (i.e. non-cash transactions).</w:t>
      </w:r>
    </w:p>
    <w:p w14:paraId="0EF05B36" w14:textId="77777777" w:rsidR="0011392D" w:rsidRPr="00EA55D0" w:rsidRDefault="0011392D" w:rsidP="00E333F2">
      <w:pPr>
        <w:pStyle w:val="ListBullet"/>
      </w:pPr>
      <w:r w:rsidRPr="00EA55D0">
        <w:t>Details of security needs to include confirmation of an enforceable loan agreement signed by the respective Directors (or equivalent), effective interest rate, term of loan(s) and security provided for the loan(s).</w:t>
      </w:r>
    </w:p>
    <w:p w14:paraId="40D2A04D" w14:textId="410F9A14" w:rsidR="004277EC" w:rsidRPr="00EA55D0" w:rsidRDefault="0011392D" w:rsidP="00E333F2">
      <w:pPr>
        <w:pStyle w:val="ListBullet"/>
      </w:pPr>
      <w:r w:rsidRPr="00EA55D0">
        <w:t>The data should be sourced from an organisation’s GPFS and therefore should reconcile to the GPFS.</w:t>
      </w:r>
    </w:p>
    <w:p w14:paraId="053B6077" w14:textId="3F609A73" w:rsidR="00BE1BB2" w:rsidRPr="00EA55D0" w:rsidRDefault="00BE1BB2" w:rsidP="004277EC">
      <w:pPr>
        <w:pStyle w:val="SubjectHeading"/>
      </w:pPr>
      <w:bookmarkStart w:id="44" w:name="_Toc209078271"/>
      <w:r w:rsidRPr="00EA55D0">
        <w:t xml:space="preserve">Registered Provider Note 1 to the Aged Care Financial Report </w:t>
      </w:r>
      <w:bookmarkEnd w:id="44"/>
    </w:p>
    <w:p w14:paraId="51F05CCB" w14:textId="77777777" w:rsidR="00BE1BB2" w:rsidRPr="00EA55D0" w:rsidRDefault="00BE1BB2" w:rsidP="00E333F2">
      <w:pPr>
        <w:pStyle w:val="ListBullet"/>
      </w:pPr>
      <w:r w:rsidRPr="00EA55D0">
        <w:t>The Note 1 disclosures must include all additional explanatory information as required.</w:t>
      </w:r>
    </w:p>
    <w:p w14:paraId="0D24ADFE" w14:textId="58F97EDF" w:rsidR="00BE1BB2" w:rsidRPr="00EA55D0" w:rsidRDefault="00BE1BB2" w:rsidP="00E333F2">
      <w:pPr>
        <w:pStyle w:val="ListBullet"/>
      </w:pPr>
      <w:r w:rsidRPr="00EA55D0">
        <w:t xml:space="preserve">If supporting documentation is required to support any disclosure, please include the documentation with the </w:t>
      </w:r>
      <w:r w:rsidR="00564811" w:rsidRPr="00EA55D0">
        <w:t>lodgement</w:t>
      </w:r>
      <w:r w:rsidRPr="00EA55D0">
        <w:t>.</w:t>
      </w:r>
    </w:p>
    <w:p w14:paraId="1777FE15" w14:textId="0DA8870A" w:rsidR="000E6851" w:rsidRPr="00EA55D0" w:rsidRDefault="00FF4E84" w:rsidP="004277EC">
      <w:pPr>
        <w:pStyle w:val="Heading1"/>
        <w:rPr>
          <w:color w:val="auto"/>
        </w:rPr>
      </w:pPr>
      <w:bookmarkStart w:id="45" w:name="_Toc209774715"/>
      <w:r w:rsidRPr="00EA55D0">
        <w:t>General Purpose Financial Statement</w:t>
      </w:r>
      <w:bookmarkEnd w:id="45"/>
      <w:r w:rsidRPr="00EA55D0">
        <w:rPr>
          <w:color w:val="auto"/>
        </w:rPr>
        <w:t xml:space="preserve"> </w:t>
      </w:r>
    </w:p>
    <w:p w14:paraId="29B67590" w14:textId="4D8CF324" w:rsidR="000E6851" w:rsidRPr="00EA55D0" w:rsidRDefault="000E6851" w:rsidP="00E333F2">
      <w:pPr>
        <w:pStyle w:val="ListBullet"/>
      </w:pPr>
      <w:r w:rsidRPr="00EA55D0">
        <w:t xml:space="preserve">Residential </w:t>
      </w:r>
      <w:r w:rsidR="00946EBA" w:rsidRPr="00EA55D0">
        <w:t xml:space="preserve">aged </w:t>
      </w:r>
      <w:r w:rsidRPr="00EA55D0">
        <w:t xml:space="preserve">care providers must </w:t>
      </w:r>
      <w:r w:rsidR="00A84269" w:rsidRPr="00EA55D0">
        <w:t>submit</w:t>
      </w:r>
      <w:r w:rsidRPr="00EA55D0">
        <w:t xml:space="preserve"> a</w:t>
      </w:r>
      <w:r w:rsidR="00303159" w:rsidRPr="00EA55D0">
        <w:t xml:space="preserve">n </w:t>
      </w:r>
      <w:r w:rsidR="007D4F42" w:rsidRPr="00EA55D0">
        <w:t xml:space="preserve">externally </w:t>
      </w:r>
      <w:r w:rsidR="00303159" w:rsidRPr="00EA55D0">
        <w:t>audited</w:t>
      </w:r>
      <w:r w:rsidRPr="00EA55D0">
        <w:t xml:space="preserve"> </w:t>
      </w:r>
      <w:r w:rsidR="00A5513C" w:rsidRPr="00EA55D0">
        <w:t>General Purpose Financial Statement (</w:t>
      </w:r>
      <w:r w:rsidRPr="00EA55D0">
        <w:t>GPFS</w:t>
      </w:r>
      <w:r w:rsidR="00A5513C" w:rsidRPr="00EA55D0">
        <w:t>)</w:t>
      </w:r>
      <w:r w:rsidRPr="00EA55D0">
        <w:t xml:space="preserve"> within the meaning given by section 6 of the Statement of Accounting Concepts (SAC) 1 ‘Definition of the Reporting Entity’.</w:t>
      </w:r>
    </w:p>
    <w:p w14:paraId="57C8EA6E" w14:textId="77777777" w:rsidR="000E6851" w:rsidRPr="00EA55D0" w:rsidRDefault="000E6851" w:rsidP="00E333F2">
      <w:pPr>
        <w:pStyle w:val="ListBullet"/>
      </w:pPr>
      <w:r w:rsidRPr="00EA55D0">
        <w:t xml:space="preserve">The first note of the GPFS must specify that it is a </w:t>
      </w:r>
      <w:r w:rsidRPr="00EA55D0" w:rsidDel="00331CA3">
        <w:t>GPFS</w:t>
      </w:r>
      <w:r w:rsidRPr="00EA55D0">
        <w:t>, and the auditor is to confirm that it is a GPFS that has been audited.</w:t>
      </w:r>
    </w:p>
    <w:p w14:paraId="51D664FD" w14:textId="77777777" w:rsidR="000E6851" w:rsidRPr="00EA55D0" w:rsidRDefault="000E6851" w:rsidP="00E333F2">
      <w:pPr>
        <w:pStyle w:val="ListBullet"/>
      </w:pPr>
      <w:r w:rsidRPr="00EA55D0">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 for a minimum two years of each of the statements and related notes.</w:t>
      </w:r>
    </w:p>
    <w:p w14:paraId="28ED0E63" w14:textId="77777777" w:rsidR="000E6851" w:rsidRPr="00EA55D0" w:rsidRDefault="000E6851" w:rsidP="00E333F2">
      <w:pPr>
        <w:pStyle w:val="ListBullet"/>
      </w:pPr>
      <w:r w:rsidRPr="00EA55D0">
        <w:t>The GPFS must be in accordance with the applicable accounting standards and give a true and fair view of the financial position and performance of the entity.</w:t>
      </w:r>
    </w:p>
    <w:p w14:paraId="294DA297" w14:textId="77777777" w:rsidR="000E6851" w:rsidRPr="00EA55D0" w:rsidRDefault="000E6851" w:rsidP="00E333F2">
      <w:pPr>
        <w:pStyle w:val="ListBullet"/>
      </w:pPr>
      <w:r w:rsidRPr="00EA55D0">
        <w:t>A Special Purpose Financial Report is not acceptable.</w:t>
      </w:r>
    </w:p>
    <w:p w14:paraId="22633E4B" w14:textId="77777777" w:rsidR="000E6851" w:rsidRPr="00EA55D0" w:rsidRDefault="000E6851" w:rsidP="00E333F2">
      <w:pPr>
        <w:pStyle w:val="ListBullet"/>
      </w:pPr>
      <w:r w:rsidRPr="00EA55D0">
        <w:t>The GPFS and audit report must be signed and dated.</w:t>
      </w:r>
    </w:p>
    <w:p w14:paraId="54598901" w14:textId="1A1622C9" w:rsidR="000E6851" w:rsidRPr="00EA55D0" w:rsidRDefault="00C62577" w:rsidP="00E333F2">
      <w:pPr>
        <w:pStyle w:val="ListBullet"/>
      </w:pPr>
      <w:r w:rsidRPr="00EA55D0">
        <w:t>Registered</w:t>
      </w:r>
      <w:r w:rsidR="000E6851" w:rsidRPr="00EA55D0">
        <w:t xml:space="preserve"> providers are to apply AASB 8 (operating segments) if relevant.</w:t>
      </w:r>
    </w:p>
    <w:p w14:paraId="09E9C954" w14:textId="77777777" w:rsidR="000E6851" w:rsidRPr="00EA55D0" w:rsidRDefault="000E6851" w:rsidP="00E333F2">
      <w:pPr>
        <w:pStyle w:val="ListBullet"/>
      </w:pPr>
      <w:r w:rsidRPr="00EA55D0">
        <w:t>Each GPFS should be clearly marked with the GPMS number or Residential Aged Care Service (RACS) identification number it relates to and include an Australian Business Number (ABN).</w:t>
      </w:r>
    </w:p>
    <w:p w14:paraId="68DD4673" w14:textId="77777777" w:rsidR="000E6851" w:rsidRPr="00EA55D0" w:rsidRDefault="000E6851" w:rsidP="00E333F2">
      <w:pPr>
        <w:pStyle w:val="ListBullet"/>
      </w:pPr>
      <w:r w:rsidRPr="00EA55D0">
        <w:t>It is important that providers and auditors become familiar with the financial reporting requirements before providers lodge their GPFS and audit opinion.</w:t>
      </w:r>
    </w:p>
    <w:p w14:paraId="0BE486B1" w14:textId="034D21ED" w:rsidR="000E6851" w:rsidRPr="00EA55D0" w:rsidRDefault="000E6851" w:rsidP="00E333F2">
      <w:pPr>
        <w:pStyle w:val="ListBullet"/>
      </w:pPr>
      <w:r w:rsidRPr="00EA55D0">
        <w:t xml:space="preserve">All GPFS and accompanying audit reports must be uploaded </w:t>
      </w:r>
      <w:r w:rsidR="003C709A" w:rsidRPr="00EA55D0">
        <w:t xml:space="preserve">with the ACFR </w:t>
      </w:r>
      <w:r w:rsidRPr="00EA55D0">
        <w:t xml:space="preserve">through the </w:t>
      </w:r>
      <w:hyperlink r:id="rId32" w:history="1">
        <w:r w:rsidRPr="00EA55D0">
          <w:rPr>
            <w:rFonts w:cs="Arial"/>
            <w:color w:val="2AB1BB" w:themeColor="hyperlink"/>
            <w:u w:val="single"/>
          </w:rPr>
          <w:t>Forms Administration</w:t>
        </w:r>
        <w:r w:rsidR="00772070" w:rsidRPr="00EA55D0">
          <w:rPr>
            <w:rFonts w:cs="Arial"/>
            <w:color w:val="2AB1BB" w:themeColor="hyperlink"/>
            <w:u w:val="single"/>
          </w:rPr>
          <w:t xml:space="preserve"> portal</w:t>
        </w:r>
      </w:hyperlink>
      <w:r w:rsidRPr="00EA55D0">
        <w:t>.</w:t>
      </w:r>
    </w:p>
    <w:p w14:paraId="590FF0C4" w14:textId="77777777" w:rsidR="000E6851" w:rsidRPr="00EA55D0" w:rsidRDefault="000E6851" w:rsidP="00E333F2">
      <w:pPr>
        <w:pStyle w:val="Heading2"/>
      </w:pPr>
      <w:bookmarkStart w:id="46" w:name="_Toc209078272"/>
      <w:r w:rsidRPr="00EA55D0">
        <w:lastRenderedPageBreak/>
        <w:t>Report at either provider level or service level</w:t>
      </w:r>
      <w:bookmarkEnd w:id="46"/>
    </w:p>
    <w:p w14:paraId="53947F72" w14:textId="77777777" w:rsidR="000E6851" w:rsidRPr="00EA55D0" w:rsidRDefault="000E6851" w:rsidP="00DA09D0">
      <w:pPr>
        <w:pStyle w:val="ListBullet"/>
      </w:pPr>
      <w:r w:rsidRPr="00EA55D0">
        <w:t xml:space="preserve">Reporting at the provider level means the provision of one audited GPFS covering all residential aged care services and all other activities. </w:t>
      </w:r>
    </w:p>
    <w:p w14:paraId="02EA1601" w14:textId="53111563" w:rsidR="000E6851" w:rsidRPr="00EA55D0" w:rsidRDefault="000E6851" w:rsidP="00E333F2">
      <w:pPr>
        <w:pStyle w:val="ListBullet"/>
      </w:pPr>
      <w:r w:rsidRPr="00EA55D0">
        <w:t xml:space="preserve">Providing one audited GPFS that covers more than one </w:t>
      </w:r>
      <w:r w:rsidR="00356797" w:rsidRPr="00EA55D0">
        <w:t>Registered</w:t>
      </w:r>
      <w:r w:rsidRPr="00EA55D0">
        <w:t xml:space="preserve"> </w:t>
      </w:r>
      <w:r w:rsidR="00356797" w:rsidRPr="00EA55D0">
        <w:t>P</w:t>
      </w:r>
      <w:r w:rsidRPr="00EA55D0">
        <w:t xml:space="preserve">rovider is not acceptable. Reports submitted that are anything other than </w:t>
      </w:r>
      <w:r w:rsidR="00356797" w:rsidRPr="00EA55D0">
        <w:t xml:space="preserve">Registered Provider </w:t>
      </w:r>
      <w:r w:rsidRPr="00EA55D0">
        <w:t xml:space="preserve">or service level will result in compliance action. </w:t>
      </w:r>
    </w:p>
    <w:p w14:paraId="695AD2D1" w14:textId="6CE9BBC3" w:rsidR="000E6851" w:rsidRPr="00EA55D0" w:rsidRDefault="000E6851" w:rsidP="00E333F2">
      <w:pPr>
        <w:pStyle w:val="ListBullet"/>
      </w:pPr>
      <w:r w:rsidRPr="00EA55D0">
        <w:t xml:space="preserve">Reporting at the service level means the provision of separate audited GPFSs for each residential aged care </w:t>
      </w:r>
      <w:r w:rsidR="00187355" w:rsidRPr="00EA55D0">
        <w:t>service</w:t>
      </w:r>
      <w:r w:rsidRPr="00EA55D0">
        <w:t xml:space="preserve"> or group of services (in any combination, but each service must be reported only once). The ACFR portal will allow multiple service level GPFSs to be uploaded.</w:t>
      </w:r>
    </w:p>
    <w:p w14:paraId="5C568D71" w14:textId="77777777" w:rsidR="000E6851" w:rsidRPr="00EA55D0" w:rsidRDefault="000E6851" w:rsidP="00E333F2">
      <w:pPr>
        <w:pStyle w:val="Heading2"/>
      </w:pPr>
      <w:bookmarkStart w:id="47" w:name="_Toc209078273"/>
      <w:r w:rsidRPr="00EA55D0">
        <w:t>GPFS audited by a Registered Company Auditor</w:t>
      </w:r>
      <w:bookmarkEnd w:id="47"/>
    </w:p>
    <w:p w14:paraId="7F7D2002" w14:textId="77777777" w:rsidR="000E6851" w:rsidRPr="00EA55D0" w:rsidRDefault="000E6851" w:rsidP="00E333F2">
      <w:pPr>
        <w:pStyle w:val="ListBullet"/>
      </w:pPr>
      <w:r w:rsidRPr="00EA55D0">
        <w:t xml:space="preserve">Providers must have their GPFS audited by a Registered Company Auditor (RCA). Section 1281 of the </w:t>
      </w:r>
      <w:r w:rsidRPr="00EA55D0">
        <w:rPr>
          <w:i/>
        </w:rPr>
        <w:t>Corporations Act 2001</w:t>
      </w:r>
      <w:r w:rsidRPr="00EA55D0">
        <w:t xml:space="preserve"> (</w:t>
      </w:r>
      <w:proofErr w:type="spellStart"/>
      <w:r w:rsidRPr="00EA55D0">
        <w:t>Cth</w:t>
      </w:r>
      <w:proofErr w:type="spellEnd"/>
      <w:r w:rsidRPr="00EA55D0">
        <w:t xml:space="preserve">) provides that the Auditor-General of the Commonwealth, a state or a territory is taken to be an RCA. It is a provider’s responsibility to ensure that their auditor is an RCA. One method of checking this is to perform a search on the </w:t>
      </w:r>
      <w:hyperlink r:id="rId33" w:history="1">
        <w:r w:rsidRPr="00EA55D0">
          <w:rPr>
            <w:color w:val="2AB1BB" w:themeColor="hyperlink"/>
            <w:u w:val="single"/>
          </w:rPr>
          <w:t>Australian Securities and Investment Commission’s website</w:t>
        </w:r>
      </w:hyperlink>
      <w:r w:rsidRPr="00EA55D0">
        <w:t xml:space="preserve"> and click on ‘Professional </w:t>
      </w:r>
      <w:proofErr w:type="gramStart"/>
      <w:r w:rsidRPr="00EA55D0">
        <w:t>registers’</w:t>
      </w:r>
      <w:proofErr w:type="gramEnd"/>
      <w:r w:rsidRPr="00EA55D0">
        <w:t xml:space="preserve">. Company auditors will need to comply with all applicable auditor independence requirements in the </w:t>
      </w:r>
      <w:r w:rsidRPr="00EA55D0">
        <w:rPr>
          <w:i/>
        </w:rPr>
        <w:t>Corporations Act 2001</w:t>
      </w:r>
      <w:r w:rsidRPr="00EA55D0">
        <w:t>.</w:t>
      </w:r>
    </w:p>
    <w:p w14:paraId="7E41E582" w14:textId="77777777" w:rsidR="000E6851" w:rsidRPr="00EA55D0" w:rsidRDefault="000E6851" w:rsidP="00E333F2">
      <w:pPr>
        <w:pStyle w:val="Heading2"/>
      </w:pPr>
      <w:bookmarkStart w:id="48" w:name="_Toc209078274"/>
      <w:r w:rsidRPr="00EA55D0">
        <w:t>Audit requirements and alternative auditor</w:t>
      </w:r>
      <w:bookmarkEnd w:id="48"/>
      <w:r w:rsidRPr="00EA55D0">
        <w:t xml:space="preserve"> </w:t>
      </w:r>
    </w:p>
    <w:p w14:paraId="410EA4F0" w14:textId="77777777" w:rsidR="000E6851" w:rsidRPr="00EA55D0" w:rsidRDefault="000E6851" w:rsidP="00E333F2">
      <w:pPr>
        <w:pStyle w:val="ListBullet"/>
      </w:pPr>
      <w:r w:rsidRPr="00EA55D0">
        <w:t xml:space="preserve">The only exception to a GPFS and APCS being audited by an RCA is where approval has been given for an alternative auditor. </w:t>
      </w:r>
    </w:p>
    <w:p w14:paraId="69DA56A3" w14:textId="77777777" w:rsidR="000E6851" w:rsidRPr="00EA55D0" w:rsidRDefault="000E6851" w:rsidP="00E333F2">
      <w:pPr>
        <w:pStyle w:val="ListBullet"/>
      </w:pPr>
      <w:r w:rsidRPr="00EA55D0">
        <w:t xml:space="preserve">The Secretary will not routinely approve a person who is not an RCA to audit financial reports. The Secretary must be satisfied with the qualifications and experience of the proposed alternative auditor. An application should be used to cover exceptional circumstances only. For instance, if a provider is not able to readily access the services of an RCA because they are in a rural/remote location where there are no RCAs; then they may request that the Secretary approve an alternative auditor who is not an RCA. Approval of an alternative auditor is at the discretion of the Secretary. </w:t>
      </w:r>
    </w:p>
    <w:p w14:paraId="783AA80B" w14:textId="77777777" w:rsidR="000E6851" w:rsidRPr="00EA55D0" w:rsidRDefault="000E6851" w:rsidP="00E333F2">
      <w:pPr>
        <w:pStyle w:val="ListBullet"/>
      </w:pPr>
      <w:r w:rsidRPr="00EA55D0">
        <w:t xml:space="preserve">Any requests for such an alternative auditor should be lodged together with the reasons why an RCA is not available. Providers can request an application form for an alternative auditor by </w:t>
      </w:r>
      <w:hyperlink w:anchor="_Questions_and_feedback" w:history="1">
        <w:r w:rsidRPr="00EA55D0">
          <w:rPr>
            <w:color w:val="2AB1BB" w:themeColor="hyperlink"/>
            <w:u w:val="single"/>
          </w:rPr>
          <w:t>contacting Forms Administration</w:t>
        </w:r>
      </w:hyperlink>
      <w:r w:rsidRPr="00EA55D0">
        <w:t xml:space="preserve">. Please note, the department has 28 days in which to process any application for alternative arrangements, therefore any request for an alternative auditor must be made by 31 August. </w:t>
      </w:r>
    </w:p>
    <w:p w14:paraId="7D4D9F5C" w14:textId="77777777" w:rsidR="000E6851" w:rsidRPr="00EA55D0" w:rsidRDefault="000E6851" w:rsidP="00E333F2">
      <w:pPr>
        <w:pStyle w:val="ListBullet"/>
      </w:pPr>
      <w:r w:rsidRPr="00EA55D0">
        <w:t xml:space="preserve">Obtain from the auditor (or the approved person) an audit opinion including whether the GPFS is in accordance with the applicable accounting standards and </w:t>
      </w:r>
      <w:r w:rsidRPr="00EA55D0">
        <w:lastRenderedPageBreak/>
        <w:t>whether the GPFS gives a true and fair view of the financial position and performance of the entity for the relevant financial year.</w:t>
      </w:r>
    </w:p>
    <w:p w14:paraId="25E785E2" w14:textId="77777777" w:rsidR="000E6851" w:rsidRPr="00EA55D0" w:rsidRDefault="000E6851" w:rsidP="00E333F2">
      <w:pPr>
        <w:pStyle w:val="ListBullet"/>
      </w:pPr>
      <w:r w:rsidRPr="00EA55D0">
        <w:t xml:space="preserve">The audit report must be signed and dated by the auditor before it is deemed complete and must be lodged with the financial report by the due date. </w:t>
      </w:r>
    </w:p>
    <w:p w14:paraId="3E07F383" w14:textId="77777777" w:rsidR="000E6851" w:rsidRPr="00EA55D0" w:rsidRDefault="000E6851" w:rsidP="00E333F2">
      <w:pPr>
        <w:pStyle w:val="Heading2"/>
      </w:pPr>
      <w:r w:rsidRPr="00EA55D0">
        <w:t xml:space="preserve">Government providers </w:t>
      </w:r>
    </w:p>
    <w:p w14:paraId="5215BC36" w14:textId="58DCAD39" w:rsidR="000E6851" w:rsidRPr="00EA55D0" w:rsidRDefault="000E6851" w:rsidP="000E6851">
      <w:r w:rsidRPr="00EA55D0">
        <w:t xml:space="preserve">If an organisation is </w:t>
      </w:r>
      <w:r w:rsidR="0098570F" w:rsidRPr="00EA55D0">
        <w:t>a Registered Provider</w:t>
      </w:r>
      <w:r w:rsidRPr="00EA55D0">
        <w:t xml:space="preserve"> of residential aged care and is also a state or territory government, an authority of a state or territory or a local government authority then they are not required to submit a GPFS</w:t>
      </w:r>
      <w:r w:rsidR="00F46EB3" w:rsidRPr="00EA55D0">
        <w:t>.</w:t>
      </w:r>
      <w:r w:rsidRPr="00EA55D0">
        <w:t xml:space="preserve"> </w:t>
      </w:r>
    </w:p>
    <w:p w14:paraId="58C43625" w14:textId="6CEE4ABF" w:rsidR="00591D82" w:rsidRPr="00EA55D0" w:rsidRDefault="00591D82" w:rsidP="004A17CD">
      <w:pPr>
        <w:pStyle w:val="Heading1"/>
      </w:pPr>
      <w:bookmarkStart w:id="49" w:name="_Toc184198008"/>
      <w:bookmarkStart w:id="50" w:name="_Toc205730280"/>
      <w:bookmarkStart w:id="51" w:name="_Toc209774716"/>
      <w:r w:rsidRPr="00EA55D0">
        <w:t xml:space="preserve">Residential Aged Care </w:t>
      </w:r>
      <w:bookmarkEnd w:id="49"/>
      <w:bookmarkEnd w:id="50"/>
      <w:r w:rsidR="001E2EA1" w:rsidRPr="00EA55D0">
        <w:t>reporting</w:t>
      </w:r>
      <w:bookmarkEnd w:id="51"/>
    </w:p>
    <w:p w14:paraId="2F597872" w14:textId="5CCF061B" w:rsidR="005C3B15" w:rsidRPr="00EA55D0" w:rsidRDefault="005C3B15" w:rsidP="005C3B15">
      <w:r w:rsidRPr="00EA55D0">
        <w:t xml:space="preserve">Residential aged care </w:t>
      </w:r>
      <w:r w:rsidR="001E2EA1" w:rsidRPr="00EA55D0">
        <w:t>reporting</w:t>
      </w:r>
      <w:r w:rsidRPr="00EA55D0">
        <w:t xml:space="preserve"> includes:</w:t>
      </w:r>
    </w:p>
    <w:p w14:paraId="60B2BCC9" w14:textId="67CF084C" w:rsidR="00364893" w:rsidRPr="00EA55D0" w:rsidRDefault="00342DF6" w:rsidP="00E333F2">
      <w:pPr>
        <w:pStyle w:val="ListBullet"/>
      </w:pPr>
      <w:r w:rsidRPr="00EA55D0">
        <w:t xml:space="preserve">Residential aged care home Income and Expenditure Statement (data </w:t>
      </w:r>
      <w:r w:rsidR="00C70E7E" w:rsidRPr="00EA55D0">
        <w:t xml:space="preserve">is </w:t>
      </w:r>
      <w:r w:rsidRPr="00EA55D0">
        <w:t>linked</w:t>
      </w:r>
      <w:r w:rsidR="00C70E7E" w:rsidRPr="00EA55D0">
        <w:t xml:space="preserve"> from </w:t>
      </w:r>
      <w:r w:rsidR="00364893" w:rsidRPr="00EA55D0">
        <w:t>Income and Expenses forms)</w:t>
      </w:r>
    </w:p>
    <w:p w14:paraId="480973AD" w14:textId="77777777" w:rsidR="00FD39FD" w:rsidRPr="00EA55D0" w:rsidRDefault="00364893" w:rsidP="00E333F2">
      <w:pPr>
        <w:pStyle w:val="ListBullet"/>
      </w:pPr>
      <w:r w:rsidRPr="00EA55D0">
        <w:t xml:space="preserve">Residential </w:t>
      </w:r>
      <w:r w:rsidR="00FD39FD" w:rsidRPr="00EA55D0">
        <w:t>aged care home Income</w:t>
      </w:r>
    </w:p>
    <w:p w14:paraId="7ABF6298" w14:textId="77777777" w:rsidR="00FD39FD" w:rsidRPr="00EA55D0" w:rsidRDefault="00FD39FD" w:rsidP="00E333F2">
      <w:pPr>
        <w:pStyle w:val="ListBullet"/>
      </w:pPr>
      <w:r w:rsidRPr="00EA55D0">
        <w:t>Residential aged care home Expenditure</w:t>
      </w:r>
    </w:p>
    <w:p w14:paraId="1F7C2DCB" w14:textId="77777777" w:rsidR="00601507" w:rsidRPr="00EA55D0" w:rsidRDefault="0010406E" w:rsidP="00E333F2">
      <w:pPr>
        <w:pStyle w:val="ListBullet"/>
      </w:pPr>
      <w:r w:rsidRPr="00EA55D0">
        <w:t>Residential aged care home Income and Expenditure Statement Per Resident Per Day (data is calculated from other forms)</w:t>
      </w:r>
    </w:p>
    <w:p w14:paraId="39D2154A" w14:textId="752CB2CE" w:rsidR="00601507" w:rsidRPr="00EA55D0" w:rsidRDefault="00601507" w:rsidP="00E333F2">
      <w:pPr>
        <w:pStyle w:val="ListBullet"/>
      </w:pPr>
      <w:r w:rsidRPr="00EA55D0">
        <w:t>Residential aged care Non-Recurrent Income and Expenses</w:t>
      </w:r>
    </w:p>
    <w:p w14:paraId="79378CF0" w14:textId="77777777" w:rsidR="00F10C86" w:rsidRPr="00EA55D0" w:rsidRDefault="003160A3" w:rsidP="00E333F2">
      <w:pPr>
        <w:pStyle w:val="ListBullet"/>
      </w:pPr>
      <w:r w:rsidRPr="00EA55D0">
        <w:t xml:space="preserve">Residential aged care </w:t>
      </w:r>
      <w:r w:rsidR="00CB0C47" w:rsidRPr="00EA55D0">
        <w:t>Balance Sheet</w:t>
      </w:r>
    </w:p>
    <w:p w14:paraId="38E26F6A" w14:textId="77777777" w:rsidR="00A71390" w:rsidRPr="00EA55D0" w:rsidRDefault="00F10C86" w:rsidP="00E333F2">
      <w:pPr>
        <w:pStyle w:val="ListBullet"/>
      </w:pPr>
      <w:r w:rsidRPr="00EA55D0">
        <w:t>Care Minutes Performance Statement</w:t>
      </w:r>
    </w:p>
    <w:p w14:paraId="6FF45564" w14:textId="6C1D9BBD" w:rsidR="00A71390" w:rsidRPr="00EA55D0" w:rsidRDefault="005123BB" w:rsidP="00E333F2">
      <w:pPr>
        <w:pStyle w:val="ListBullet"/>
      </w:pPr>
      <w:r w:rsidRPr="00EA55D0">
        <w:t xml:space="preserve">Registered </w:t>
      </w:r>
      <w:r w:rsidR="00A71390" w:rsidRPr="00EA55D0">
        <w:t>Provider Permitted Uses Reconciliation</w:t>
      </w:r>
    </w:p>
    <w:p w14:paraId="43A3ECEE" w14:textId="1D993BAA" w:rsidR="005C3B15" w:rsidRPr="004A17CD" w:rsidRDefault="00A71390" w:rsidP="00E333F2">
      <w:pPr>
        <w:pStyle w:val="ListBullet"/>
      </w:pPr>
      <w:r w:rsidRPr="00EA55D0">
        <w:t>Financial Support Statement</w:t>
      </w:r>
      <w:r w:rsidR="00342DF6" w:rsidRPr="00EA55D0">
        <w:t xml:space="preserve"> </w:t>
      </w:r>
    </w:p>
    <w:p w14:paraId="5DCAEB6F" w14:textId="4608FA44" w:rsidR="00591D82" w:rsidRPr="00EA55D0" w:rsidRDefault="00591D82" w:rsidP="00E333F2">
      <w:pPr>
        <w:pStyle w:val="Heading2"/>
      </w:pPr>
      <w:bookmarkStart w:id="52" w:name="_Toc209078276"/>
      <w:r w:rsidRPr="00EA55D0">
        <w:t xml:space="preserve">Residential </w:t>
      </w:r>
      <w:r w:rsidR="00174000" w:rsidRPr="00EA55D0">
        <w:t xml:space="preserve">aged </w:t>
      </w:r>
      <w:r w:rsidRPr="00EA55D0">
        <w:t xml:space="preserve">care </w:t>
      </w:r>
      <w:r w:rsidR="007639D6" w:rsidRPr="00EA55D0">
        <w:t>reporting</w:t>
      </w:r>
      <w:bookmarkEnd w:id="52"/>
      <w:r w:rsidRPr="00EA55D0">
        <w:t xml:space="preserve">  </w:t>
      </w:r>
    </w:p>
    <w:p w14:paraId="4CB6E414" w14:textId="402028BB" w:rsidR="00591D82" w:rsidRPr="00EA55D0" w:rsidRDefault="00591D82" w:rsidP="00591D82">
      <w:r w:rsidRPr="00EA55D0">
        <w:t xml:space="preserve">The residential </w:t>
      </w:r>
      <w:r w:rsidR="00174000" w:rsidRPr="00EA55D0">
        <w:t xml:space="preserve">aged </w:t>
      </w:r>
      <w:r w:rsidRPr="00EA55D0">
        <w:t xml:space="preserve">care </w:t>
      </w:r>
      <w:r w:rsidR="003C136F" w:rsidRPr="00EA55D0">
        <w:t>forms</w:t>
      </w:r>
      <w:r w:rsidRPr="00EA55D0">
        <w:t xml:space="preserve"> within the ACFR should only include financial information related to residential aged care operations as defined under the Act</w:t>
      </w:r>
      <w:r w:rsidR="009660A3" w:rsidRPr="00EA55D0">
        <w:t>.</w:t>
      </w:r>
      <w:r w:rsidRPr="00EA55D0">
        <w:t xml:space="preserve"> </w:t>
      </w:r>
      <w:r w:rsidR="009660A3" w:rsidRPr="00EA55D0">
        <w:t>F</w:t>
      </w:r>
      <w:r w:rsidRPr="00EA55D0">
        <w:t xml:space="preserve">inancial information for other aged care operations such as </w:t>
      </w:r>
      <w:r w:rsidR="00725280" w:rsidRPr="00EA55D0">
        <w:t>Support at Home</w:t>
      </w:r>
      <w:r w:rsidRPr="00EA55D0">
        <w:t xml:space="preserve"> or flexible care, or independent living units for seniors is not to be included. </w:t>
      </w:r>
    </w:p>
    <w:p w14:paraId="1F58BC8B" w14:textId="77777777" w:rsidR="00591D82" w:rsidRPr="00EA55D0" w:rsidRDefault="00591D82" w:rsidP="00E333F2">
      <w:pPr>
        <w:pStyle w:val="Heading2"/>
      </w:pPr>
      <w:bookmarkStart w:id="53" w:name="_Toc209078277"/>
      <w:r w:rsidRPr="00EA55D0">
        <w:t>Report on all residential aged care services operated for all or part of the financial year</w:t>
      </w:r>
      <w:bookmarkEnd w:id="53"/>
    </w:p>
    <w:p w14:paraId="05AB4D50" w14:textId="309E061E" w:rsidR="004A17CD" w:rsidRPr="00EA55D0" w:rsidRDefault="00591D82" w:rsidP="00E333F2">
      <w:r w:rsidRPr="00EA55D0">
        <w:t xml:space="preserve">The ACFR and GPFS must report on all residential aged care services a provider operated for all or part of the financial year. </w:t>
      </w:r>
    </w:p>
    <w:p w14:paraId="050254C3" w14:textId="3A5EF984" w:rsidR="00591D82" w:rsidRPr="00EA55D0" w:rsidRDefault="00591D82" w:rsidP="004A17CD">
      <w:pPr>
        <w:pStyle w:val="SubjectHeading"/>
      </w:pPr>
      <w:bookmarkStart w:id="54" w:name="_Toc209078278"/>
      <w:r w:rsidRPr="00EA55D0">
        <w:t xml:space="preserve">Residential aged care </w:t>
      </w:r>
      <w:r w:rsidR="00EF6E46" w:rsidRPr="00EA55D0">
        <w:t>I</w:t>
      </w:r>
      <w:r w:rsidRPr="00EA55D0">
        <w:t xml:space="preserve">ncome and </w:t>
      </w:r>
      <w:r w:rsidR="00EF6E46" w:rsidRPr="00EA55D0">
        <w:t>E</w:t>
      </w:r>
      <w:r w:rsidRPr="00EA55D0">
        <w:t>xpenses</w:t>
      </w:r>
      <w:bookmarkEnd w:id="54"/>
      <w:r w:rsidRPr="00EA55D0">
        <w:t xml:space="preserve"> </w:t>
      </w:r>
    </w:p>
    <w:p w14:paraId="457A6CCB" w14:textId="161573A5" w:rsidR="00591D82" w:rsidRPr="00EA55D0" w:rsidRDefault="00591D82" w:rsidP="00591D82">
      <w:r w:rsidRPr="00EA55D0">
        <w:lastRenderedPageBreak/>
        <w:t xml:space="preserve">These </w:t>
      </w:r>
      <w:r w:rsidR="00ED6BC0" w:rsidRPr="00EA55D0">
        <w:t>forms</w:t>
      </w:r>
      <w:r w:rsidRPr="00EA55D0">
        <w:t xml:space="preserve"> must be completed for each aged care </w:t>
      </w:r>
      <w:r w:rsidR="00035EEC" w:rsidRPr="00EA55D0">
        <w:t>home</w:t>
      </w:r>
      <w:r w:rsidRPr="00EA55D0">
        <w:t xml:space="preserve"> operated by the </w:t>
      </w:r>
      <w:r w:rsidR="00EB555B" w:rsidRPr="00EA55D0">
        <w:t>Registered Provider</w:t>
      </w:r>
      <w:r w:rsidRPr="00EA55D0">
        <w:t xml:space="preserve"> and ha</w:t>
      </w:r>
      <w:r w:rsidR="00585247" w:rsidRPr="00EA55D0">
        <w:t>ve</w:t>
      </w:r>
      <w:r w:rsidRPr="00EA55D0">
        <w:t xml:space="preserve"> been pre-populated to include the Service ID(s) that constitute the services to be included.</w:t>
      </w:r>
    </w:p>
    <w:p w14:paraId="04AC8B2E" w14:textId="77777777" w:rsidR="00591D82" w:rsidRPr="00EA55D0" w:rsidRDefault="00591D82" w:rsidP="00591D82">
      <w:r w:rsidRPr="00EA55D0">
        <w:t>If there is no parent entity, the total residential aged care result must agree to the CSR residential segment result.</w:t>
      </w:r>
    </w:p>
    <w:p w14:paraId="13160C41" w14:textId="5F9290E7" w:rsidR="009A6391" w:rsidRPr="00EA55D0" w:rsidRDefault="009A6391" w:rsidP="00591D82">
      <w:r w:rsidRPr="00EA55D0">
        <w:t xml:space="preserve">The residential aged care income </w:t>
      </w:r>
      <w:r w:rsidR="007555C2" w:rsidRPr="00EA55D0">
        <w:t xml:space="preserve">form </w:t>
      </w:r>
      <w:r w:rsidRPr="00EA55D0">
        <w:t>includes</w:t>
      </w:r>
      <w:r w:rsidR="00F056EB" w:rsidRPr="00EA55D0">
        <w:t>:</w:t>
      </w:r>
    </w:p>
    <w:p w14:paraId="70450E4A" w14:textId="250E3AE4" w:rsidR="00F056EB" w:rsidRPr="00EA55D0" w:rsidRDefault="00F056EB" w:rsidP="00E333F2">
      <w:pPr>
        <w:pStyle w:val="ListBullet"/>
      </w:pPr>
      <w:r w:rsidRPr="00EA55D0">
        <w:t xml:space="preserve">Care </w:t>
      </w:r>
      <w:r w:rsidR="00A7045E" w:rsidRPr="00EA55D0">
        <w:t>I</w:t>
      </w:r>
      <w:r w:rsidRPr="00EA55D0">
        <w:t>ncome</w:t>
      </w:r>
    </w:p>
    <w:p w14:paraId="789DA0E2" w14:textId="16A26FBB" w:rsidR="00F056EB" w:rsidRPr="00EA55D0" w:rsidRDefault="00F056EB" w:rsidP="00E333F2">
      <w:pPr>
        <w:pStyle w:val="ListBullet"/>
      </w:pPr>
      <w:r w:rsidRPr="00EA55D0">
        <w:t>Hotel Services Income</w:t>
      </w:r>
    </w:p>
    <w:p w14:paraId="07BCFF9A" w14:textId="017CBA64" w:rsidR="00F056EB" w:rsidRPr="00EA55D0" w:rsidRDefault="00F056EB" w:rsidP="00E333F2">
      <w:pPr>
        <w:pStyle w:val="ListBullet"/>
      </w:pPr>
      <w:r w:rsidRPr="00EA55D0">
        <w:t>Accommodation Income</w:t>
      </w:r>
    </w:p>
    <w:p w14:paraId="13BCACCF" w14:textId="417D4DB3" w:rsidR="00F056EB" w:rsidRPr="00EA55D0" w:rsidRDefault="00F056EB" w:rsidP="00E333F2">
      <w:pPr>
        <w:pStyle w:val="ListBullet"/>
      </w:pPr>
      <w:r w:rsidRPr="00EA55D0">
        <w:t>Finance Income</w:t>
      </w:r>
    </w:p>
    <w:p w14:paraId="3BBECE4E" w14:textId="09CCEFD1" w:rsidR="00F056EB" w:rsidRPr="00EA55D0" w:rsidRDefault="00F056EB" w:rsidP="00E333F2">
      <w:pPr>
        <w:pStyle w:val="ListBullet"/>
      </w:pPr>
      <w:r w:rsidRPr="00EA55D0">
        <w:t xml:space="preserve">Operational </w:t>
      </w:r>
      <w:r w:rsidR="007E6192" w:rsidRPr="00EA55D0">
        <w:t xml:space="preserve">and Occupied </w:t>
      </w:r>
      <w:r w:rsidRPr="00EA55D0">
        <w:t>Bed Days</w:t>
      </w:r>
    </w:p>
    <w:p w14:paraId="58037D69" w14:textId="20961527" w:rsidR="008A2319" w:rsidRPr="00EA55D0" w:rsidRDefault="008A2319" w:rsidP="00E333F2">
      <w:pPr>
        <w:pStyle w:val="ListBullet"/>
      </w:pPr>
      <w:r w:rsidRPr="00EA55D0">
        <w:t xml:space="preserve">A question regarding how many residents </w:t>
      </w:r>
      <w:proofErr w:type="gramStart"/>
      <w:r w:rsidRPr="00EA55D0">
        <w:t>are</w:t>
      </w:r>
      <w:proofErr w:type="gramEnd"/>
      <w:r w:rsidRPr="00EA55D0">
        <w:t xml:space="preserve"> paying the Higher Everyday Living Fees / Additional Services Fees / Extra Services Fees</w:t>
      </w:r>
    </w:p>
    <w:p w14:paraId="6598ADBF" w14:textId="4C4183B0" w:rsidR="008A2319" w:rsidRPr="00EA55D0" w:rsidRDefault="007555C2" w:rsidP="008A2319">
      <w:r w:rsidRPr="00EA55D0">
        <w:t>The residential aged care expenses form includes:</w:t>
      </w:r>
    </w:p>
    <w:p w14:paraId="460CC832" w14:textId="52AFD974" w:rsidR="007555C2" w:rsidRPr="00EA55D0" w:rsidRDefault="00697FA4" w:rsidP="00E333F2">
      <w:pPr>
        <w:pStyle w:val="ListBullet"/>
      </w:pPr>
      <w:r w:rsidRPr="00EA55D0">
        <w:t>Care expenses</w:t>
      </w:r>
    </w:p>
    <w:p w14:paraId="19BA4D66" w14:textId="6F871EB3" w:rsidR="00697FA4" w:rsidRPr="00EA55D0" w:rsidRDefault="005E3A7D" w:rsidP="00E333F2">
      <w:pPr>
        <w:pStyle w:val="ListBullet"/>
      </w:pPr>
      <w:r w:rsidRPr="00EA55D0">
        <w:t>Labour worked hours – direct care</w:t>
      </w:r>
    </w:p>
    <w:p w14:paraId="12086D0E" w14:textId="1097CA5B" w:rsidR="005E3A7D" w:rsidRPr="00EA55D0" w:rsidRDefault="00AF45BD" w:rsidP="00E333F2">
      <w:pPr>
        <w:pStyle w:val="ListBullet"/>
      </w:pPr>
      <w:r w:rsidRPr="00EA55D0">
        <w:t>Non-worked hours</w:t>
      </w:r>
    </w:p>
    <w:p w14:paraId="28A80053" w14:textId="0B5E6FD8" w:rsidR="00AF45BD" w:rsidRPr="00EA55D0" w:rsidRDefault="00AB23EA" w:rsidP="00E333F2">
      <w:pPr>
        <w:pStyle w:val="ListBullet"/>
      </w:pPr>
      <w:r w:rsidRPr="00EA55D0">
        <w:t>Direct Care Minutes (worked) Per Occupied Bed Day (calculated)</w:t>
      </w:r>
    </w:p>
    <w:p w14:paraId="218A6573" w14:textId="3D1D7334" w:rsidR="00AB23EA" w:rsidRPr="00EA55D0" w:rsidRDefault="00AB23EA" w:rsidP="00E333F2">
      <w:pPr>
        <w:pStyle w:val="ListBullet"/>
      </w:pPr>
      <w:r w:rsidRPr="00EA55D0">
        <w:t>Hotel Services Expenses</w:t>
      </w:r>
    </w:p>
    <w:p w14:paraId="082F204F" w14:textId="7E3BEEA4" w:rsidR="00AB23EA" w:rsidRPr="00EA55D0" w:rsidRDefault="00AB23EA" w:rsidP="00E333F2">
      <w:pPr>
        <w:pStyle w:val="ListBullet"/>
      </w:pPr>
      <w:r w:rsidRPr="00EA55D0">
        <w:t>Administration Expenses</w:t>
      </w:r>
    </w:p>
    <w:p w14:paraId="77F16036" w14:textId="709F8C9D" w:rsidR="00AB23EA" w:rsidRPr="00EA55D0" w:rsidRDefault="00AB23EA" w:rsidP="00E333F2">
      <w:pPr>
        <w:pStyle w:val="ListBullet"/>
      </w:pPr>
      <w:r w:rsidRPr="00EA55D0">
        <w:t>Accommodation Expenses</w:t>
      </w:r>
    </w:p>
    <w:p w14:paraId="77B816B8" w14:textId="77777777" w:rsidR="00AC3C0A" w:rsidRPr="00EA55D0" w:rsidRDefault="00D762E9" w:rsidP="00E333F2">
      <w:pPr>
        <w:pStyle w:val="ListBullet"/>
      </w:pPr>
      <w:r w:rsidRPr="00EA55D0">
        <w:t>Percentage allocation of administration expenses to care, hotel and accommodation</w:t>
      </w:r>
    </w:p>
    <w:p w14:paraId="3EAD0700" w14:textId="26493286" w:rsidR="00AD57C2" w:rsidRPr="00EA55D0" w:rsidRDefault="00591D82" w:rsidP="00E333F2">
      <w:r w:rsidRPr="00EA55D0">
        <w:t>Staff costs need to be accurately allocated to the respective Care, Hotel, Accommodation and Administration sections.</w:t>
      </w:r>
    </w:p>
    <w:p w14:paraId="4BD6B190" w14:textId="77777777" w:rsidR="00035EEC" w:rsidRPr="00EA55D0" w:rsidRDefault="00035EEC" w:rsidP="00AD57C2">
      <w:pPr>
        <w:pStyle w:val="SubjectHeading"/>
      </w:pPr>
      <w:bookmarkStart w:id="55" w:name="_Toc209078279"/>
      <w:r w:rsidRPr="00EA55D0">
        <w:t>Residential aged care Balance Sheet</w:t>
      </w:r>
      <w:bookmarkEnd w:id="55"/>
    </w:p>
    <w:p w14:paraId="0666CEA3" w14:textId="4BA0367E" w:rsidR="00035EEC" w:rsidRPr="00EA55D0" w:rsidRDefault="00035EEC" w:rsidP="00035EEC">
      <w:r w:rsidRPr="00EA55D0">
        <w:t xml:space="preserve">This is the consolidated residential aged care segment Balance Sheet for all aged care </w:t>
      </w:r>
      <w:r w:rsidR="00502F4F" w:rsidRPr="00EA55D0">
        <w:t>homes</w:t>
      </w:r>
      <w:r w:rsidRPr="00EA55D0">
        <w:t xml:space="preserve"> operated by the Registered Provider.</w:t>
      </w:r>
    </w:p>
    <w:p w14:paraId="3111F737" w14:textId="77777777" w:rsidR="00035EEC" w:rsidRPr="00EA55D0" w:rsidRDefault="00035EEC" w:rsidP="00035EEC">
      <w:r w:rsidRPr="00EA55D0">
        <w:t>The department has adopted the liquidity format balance sheet due to the treatment of refundable loans (accommodation bonds, refundable accommodation deposits and entry contributions) as current liabilities do not reflect the true liquidity of the Registered Provider as these liabilities are not likely to be repaid in the next 12 months.</w:t>
      </w:r>
    </w:p>
    <w:p w14:paraId="1945D512" w14:textId="77777777" w:rsidR="00035EEC" w:rsidRPr="00EA55D0" w:rsidRDefault="00035EEC" w:rsidP="00035EEC">
      <w:r w:rsidRPr="00EA55D0">
        <w:t>If there is no parent entity, the total net assets must align to the CSR residential segment net assets.</w:t>
      </w:r>
    </w:p>
    <w:p w14:paraId="270BD015" w14:textId="77777777" w:rsidR="00035EEC" w:rsidRPr="00EA55D0" w:rsidRDefault="00035EEC" w:rsidP="00035EEC">
      <w:r w:rsidRPr="00EA55D0">
        <w:t>The opening balance of the residential segment equity must align to the closing balance from the previous year ACFR.</w:t>
      </w:r>
    </w:p>
    <w:p w14:paraId="2E6210CA" w14:textId="6A2285F4" w:rsidR="00AD57C2" w:rsidRPr="00EA55D0" w:rsidRDefault="00035EEC" w:rsidP="00E333F2">
      <w:r w:rsidRPr="00EA55D0">
        <w:lastRenderedPageBreak/>
        <w:t xml:space="preserve">The residential allocation for cash, financial assets, and the allocation of all other residual current assets should be included in the residential segment balance sheet under ‘Other Assets’. </w:t>
      </w:r>
    </w:p>
    <w:p w14:paraId="0CC9EDBB" w14:textId="7A78F73F" w:rsidR="009464E9" w:rsidRPr="00EA55D0" w:rsidRDefault="009464E9" w:rsidP="00AD57C2">
      <w:pPr>
        <w:pStyle w:val="SubjectHeading"/>
      </w:pPr>
      <w:r w:rsidRPr="00EA55D0">
        <w:t xml:space="preserve">Care </w:t>
      </w:r>
      <w:r w:rsidR="00C936C1" w:rsidRPr="00EA55D0">
        <w:t>M</w:t>
      </w:r>
      <w:r w:rsidRPr="00EA55D0">
        <w:t xml:space="preserve">inutes </w:t>
      </w:r>
      <w:r w:rsidR="00C936C1" w:rsidRPr="00EA55D0">
        <w:t>P</w:t>
      </w:r>
      <w:r w:rsidRPr="00EA55D0">
        <w:t xml:space="preserve">erformance </w:t>
      </w:r>
      <w:r w:rsidR="00C936C1" w:rsidRPr="00EA55D0">
        <w:t>S</w:t>
      </w:r>
      <w:r w:rsidRPr="00EA55D0">
        <w:t xml:space="preserve">tatement </w:t>
      </w:r>
    </w:p>
    <w:p w14:paraId="39B1C705" w14:textId="7A82D09B" w:rsidR="009464E9" w:rsidRPr="00EA55D0" w:rsidRDefault="009464E9" w:rsidP="009464E9">
      <w:pPr>
        <w:pStyle w:val="NormalText"/>
      </w:pPr>
      <w:r w:rsidRPr="00EA55D0">
        <w:t xml:space="preserve">A </w:t>
      </w:r>
      <w:r w:rsidR="00326DF4" w:rsidRPr="00EA55D0">
        <w:t>C</w:t>
      </w:r>
      <w:r w:rsidRPr="00EA55D0">
        <w:t xml:space="preserve">are </w:t>
      </w:r>
      <w:r w:rsidR="00326DF4" w:rsidRPr="00EA55D0">
        <w:t>M</w:t>
      </w:r>
      <w:r w:rsidRPr="00EA55D0">
        <w:t xml:space="preserve">inutes </w:t>
      </w:r>
      <w:r w:rsidR="00326DF4" w:rsidRPr="00EA55D0">
        <w:t>P</w:t>
      </w:r>
      <w:r w:rsidRPr="00EA55D0">
        <w:t xml:space="preserve">erformance </w:t>
      </w:r>
      <w:r w:rsidR="00326DF4" w:rsidRPr="00EA55D0">
        <w:t>S</w:t>
      </w:r>
      <w:r w:rsidRPr="00EA55D0">
        <w:t xml:space="preserve">tatement </w:t>
      </w:r>
      <w:r w:rsidR="00FE135F" w:rsidRPr="00EA55D0">
        <w:t>is being</w:t>
      </w:r>
      <w:r w:rsidRPr="00EA55D0">
        <w:t xml:space="preserve"> introduced in the ACFR </w:t>
      </w:r>
      <w:r w:rsidR="00C936C1" w:rsidRPr="00EA55D0">
        <w:t>20</w:t>
      </w:r>
      <w:r w:rsidRPr="00EA55D0">
        <w:t>25-26. This will include</w:t>
      </w:r>
      <w:r w:rsidR="00504FA0" w:rsidRPr="00EA55D0">
        <w:t xml:space="preserve"> reporting of</w:t>
      </w:r>
      <w:r w:rsidRPr="00EA55D0">
        <w:t xml:space="preserve"> direct care minutes delivered, associated labour hours and costs, Registered Nurse coverage, and occupancy. This will not replace reporting in the QFR. </w:t>
      </w:r>
    </w:p>
    <w:p w14:paraId="742CEB79" w14:textId="424D3D4C" w:rsidR="009464E9" w:rsidRPr="00EA55D0" w:rsidRDefault="009464E9" w:rsidP="009464E9">
      <w:pPr>
        <w:pStyle w:val="NormalText"/>
      </w:pPr>
      <w:r w:rsidRPr="00EA55D0">
        <w:t xml:space="preserve">Providers will be required to engage an external registered auditor to complete an audit of their Care Minutes Performance Statement. This requirement applies to </w:t>
      </w:r>
      <w:r w:rsidRPr="00EA55D0" w:rsidDel="00910E8B">
        <w:t xml:space="preserve">all </w:t>
      </w:r>
      <w:r w:rsidRPr="00EA55D0">
        <w:t>residential aged care services, including specialised and non-specialised services, provided at all locations.</w:t>
      </w:r>
    </w:p>
    <w:p w14:paraId="1E37202B" w14:textId="357DB2A5" w:rsidR="00AD57C2" w:rsidRPr="00EA55D0" w:rsidRDefault="009464E9" w:rsidP="00E333F2">
      <w:pPr>
        <w:pStyle w:val="NormalText"/>
      </w:pPr>
      <w:r w:rsidRPr="00EA55D0">
        <w:t>Further information is available</w:t>
      </w:r>
      <w:r w:rsidR="008B340A" w:rsidRPr="00EA55D0">
        <w:t xml:space="preserve"> at</w:t>
      </w:r>
      <w:r w:rsidRPr="00EA55D0">
        <w:t xml:space="preserve"> </w:t>
      </w:r>
      <w:hyperlink r:id="rId34" w:history="1">
        <w:r w:rsidR="008B340A" w:rsidRPr="00EA55D0">
          <w:rPr>
            <w:rStyle w:val="Hyperlink"/>
          </w:rPr>
          <w:t>Care Minutes Performance Statement | Australian Government Department of Health, Disability and Ageing</w:t>
        </w:r>
      </w:hyperlink>
    </w:p>
    <w:p w14:paraId="6575031A" w14:textId="77777777" w:rsidR="002F6E48" w:rsidRPr="00EA55D0" w:rsidRDefault="002F6E48" w:rsidP="00AD57C2">
      <w:pPr>
        <w:pStyle w:val="SubjectHeading"/>
      </w:pPr>
      <w:r w:rsidRPr="00EA55D0">
        <w:t>Registered Provider Permitted Uses Reconciliation</w:t>
      </w:r>
    </w:p>
    <w:p w14:paraId="5504FBF9" w14:textId="1B98C975" w:rsidR="002F6E48" w:rsidRPr="00EA55D0" w:rsidRDefault="002F6E48" w:rsidP="002F6E48">
      <w:r w:rsidRPr="00EA55D0">
        <w:t xml:space="preserve">The </w:t>
      </w:r>
      <w:r w:rsidR="00326DF4" w:rsidRPr="00EA55D0">
        <w:t>P</w:t>
      </w:r>
      <w:r w:rsidRPr="00EA55D0">
        <w:t xml:space="preserve">ermitted </w:t>
      </w:r>
      <w:r w:rsidR="00326DF4" w:rsidRPr="00EA55D0">
        <w:t>U</w:t>
      </w:r>
      <w:r w:rsidRPr="00EA55D0">
        <w:t xml:space="preserve">ses </w:t>
      </w:r>
      <w:r w:rsidR="00326DF4" w:rsidRPr="00EA55D0">
        <w:t>R</w:t>
      </w:r>
      <w:r w:rsidRPr="00EA55D0">
        <w:t>econciliation does not form part of the APCS and therefore does not need to be audited as part of the APCS audit.</w:t>
      </w:r>
    </w:p>
    <w:p w14:paraId="21461C76" w14:textId="5F26CB38" w:rsidR="002F6E48" w:rsidRPr="00EA55D0" w:rsidRDefault="0BC99233" w:rsidP="072B4159">
      <w:r w:rsidRPr="00EA55D0">
        <w:t>The aged care legislation defines the permitted uses of refundable deposits.</w:t>
      </w:r>
    </w:p>
    <w:p w14:paraId="3B435F24" w14:textId="5CF7012D" w:rsidR="002F6E48" w:rsidRPr="00EA55D0" w:rsidRDefault="0BC99233" w:rsidP="00E333F2">
      <w:pPr>
        <w:pStyle w:val="ListBullet"/>
      </w:pPr>
      <w:r w:rsidRPr="00EA55D0">
        <w:t>For the period pre-1 November 2025, d</w:t>
      </w:r>
      <w:r w:rsidR="002F6E48" w:rsidRPr="00EA55D0">
        <w:t xml:space="preserve">ivision 52N of the </w:t>
      </w:r>
      <w:r w:rsidR="002F6E48" w:rsidRPr="00EA55D0">
        <w:rPr>
          <w:i/>
        </w:rPr>
        <w:t>Aged Care Act 1997</w:t>
      </w:r>
      <w:r w:rsidR="002F6E48" w:rsidRPr="00EA55D0">
        <w:t xml:space="preserve"> defines permitted uses and this is further regulated by Part 6 of the</w:t>
      </w:r>
      <w:r w:rsidR="002F6E48" w:rsidRPr="00EA55D0">
        <w:rPr>
          <w:i/>
        </w:rPr>
        <w:t xml:space="preserve"> Fees and Payments Principles 2014 (No 2)</w:t>
      </w:r>
      <w:r w:rsidR="002F6E48" w:rsidRPr="00EA55D0">
        <w:t>.</w:t>
      </w:r>
    </w:p>
    <w:p w14:paraId="538D378A" w14:textId="5F0513EF" w:rsidR="7B66B31C" w:rsidRPr="00EA55D0" w:rsidRDefault="7B66B31C" w:rsidP="00E333F2">
      <w:pPr>
        <w:pStyle w:val="ListBullet"/>
      </w:pPr>
      <w:r w:rsidRPr="00EA55D0">
        <w:t xml:space="preserve">From 1 November 2025 onwards, section 310 of the </w:t>
      </w:r>
      <w:r w:rsidRPr="00EA55D0">
        <w:rPr>
          <w:i/>
          <w:iCs/>
        </w:rPr>
        <w:t>Aged Care Act 2024</w:t>
      </w:r>
      <w:r w:rsidRPr="00EA55D0">
        <w:t xml:space="preserve"> defines permitted uses</w:t>
      </w:r>
      <w:r w:rsidR="62667AA7" w:rsidRPr="00EA55D0">
        <w:t xml:space="preserve"> for refundable deposits</w:t>
      </w:r>
      <w:r w:rsidRPr="00EA55D0">
        <w:t xml:space="preserve">, </w:t>
      </w:r>
      <w:r w:rsidR="7391E332" w:rsidRPr="00EA55D0">
        <w:t xml:space="preserve">with further </w:t>
      </w:r>
      <w:r w:rsidRPr="00EA55D0">
        <w:t>regulat</w:t>
      </w:r>
      <w:r w:rsidR="55054939" w:rsidRPr="00EA55D0">
        <w:t>ions outlined</w:t>
      </w:r>
      <w:r w:rsidRPr="00EA55D0">
        <w:t xml:space="preserve"> in the </w:t>
      </w:r>
      <w:r w:rsidRPr="00EA55D0">
        <w:rPr>
          <w:i/>
          <w:iCs/>
        </w:rPr>
        <w:t>Aged Care Rules 2025</w:t>
      </w:r>
      <w:r w:rsidRPr="00EA55D0">
        <w:t>.</w:t>
      </w:r>
      <w:r w:rsidR="7D26D712" w:rsidRPr="00EA55D0">
        <w:t xml:space="preserve"> Permitted uses of accommodation bonds are outlined in section 287-101 of the Rules. </w:t>
      </w:r>
      <w:r w:rsidRPr="00EA55D0">
        <w:t xml:space="preserve"> </w:t>
      </w:r>
    </w:p>
    <w:p w14:paraId="76F9339C" w14:textId="115762A4" w:rsidR="00AD57C2" w:rsidRPr="00EA55D0" w:rsidRDefault="002F6E48" w:rsidP="00E333F2">
      <w:r w:rsidRPr="00EA55D0">
        <w:t>The Permitted Uses Reconciliation is intended to help providers determine if RAD/Bond monies have been utilised in accordance with the above legislation. A surplus or deficit reported in the reconciliation does not automatically imply compliance or non-compliance to prudential standards.</w:t>
      </w:r>
    </w:p>
    <w:p w14:paraId="65CFA8ED" w14:textId="6F8616E1" w:rsidR="00120008" w:rsidRPr="00EA55D0" w:rsidRDefault="26267DD5" w:rsidP="00AD57C2">
      <w:pPr>
        <w:pStyle w:val="SubjectHeading"/>
      </w:pPr>
      <w:r w:rsidRPr="00EA55D0">
        <w:t>Financial Support Statement</w:t>
      </w:r>
    </w:p>
    <w:p w14:paraId="13DFBA0B" w14:textId="1292847B" w:rsidR="3AF6033A" w:rsidRPr="00EA55D0" w:rsidRDefault="3AF6033A" w:rsidP="4E8F1F79">
      <w:r w:rsidRPr="00EA55D0">
        <w:rPr>
          <w:rFonts w:cs="Arial"/>
          <w:color w:val="000000"/>
        </w:rPr>
        <w:t>A</w:t>
      </w:r>
      <w:r w:rsidRPr="00EA55D0">
        <w:rPr>
          <w:color w:val="1E1545" w:themeColor="text2"/>
        </w:rPr>
        <w:t xml:space="preserve"> financial support statement is required if:</w:t>
      </w:r>
    </w:p>
    <w:p w14:paraId="15F88CEE" w14:textId="7934A339" w:rsidR="3AF6033A" w:rsidRPr="00EA55D0" w:rsidRDefault="3AF6033A" w:rsidP="00E333F2">
      <w:pPr>
        <w:pStyle w:val="ListBullet"/>
      </w:pPr>
      <w:r w:rsidRPr="00EA55D0">
        <w:t>the provider provides a residential care service; and</w:t>
      </w:r>
    </w:p>
    <w:p w14:paraId="1118FCC3" w14:textId="0D7784CF" w:rsidR="3AF6033A" w:rsidRPr="00EA55D0" w:rsidRDefault="3AF6033A" w:rsidP="00E333F2">
      <w:pPr>
        <w:pStyle w:val="ListBullet"/>
      </w:pPr>
      <w:r w:rsidRPr="00EA55D0">
        <w:t>the provider is not a State, a Territory, an authority of a State or Territory or a local government authority; and</w:t>
      </w:r>
    </w:p>
    <w:p w14:paraId="5628C41D" w14:textId="51572302" w:rsidR="3AF6033A" w:rsidRPr="00EA55D0" w:rsidRDefault="3AF6033A" w:rsidP="00E333F2">
      <w:pPr>
        <w:pStyle w:val="ListBullet"/>
      </w:pPr>
      <w:r w:rsidRPr="00EA55D0">
        <w:t>the provider is a subsidiary of another body corporate.</w:t>
      </w:r>
    </w:p>
    <w:p w14:paraId="59F522B3" w14:textId="39855205" w:rsidR="3AF6033A" w:rsidRPr="00EA55D0" w:rsidRDefault="3AF6033A" w:rsidP="4E8F1F79">
      <w:r w:rsidRPr="00EA55D0">
        <w:lastRenderedPageBreak/>
        <w:t>A financial support statement, for an approved provider, is a written/signed statement by the ultimate holding company that either:</w:t>
      </w:r>
    </w:p>
    <w:p w14:paraId="78D96135" w14:textId="44058FAB" w:rsidR="3AF6033A" w:rsidRPr="00EA55D0" w:rsidRDefault="3AF6033A" w:rsidP="00E333F2">
      <w:pPr>
        <w:pStyle w:val="ListBullet"/>
      </w:pPr>
      <w:r w:rsidRPr="00EA55D0">
        <w:t xml:space="preserve">states that the ultimate holding company is willing and able, while the provider remains an approved provider, to provide any financial support to the provider that is needed </w:t>
      </w:r>
      <w:proofErr w:type="gramStart"/>
      <w:r w:rsidRPr="00EA55D0">
        <w:t>in order to</w:t>
      </w:r>
      <w:proofErr w:type="gramEnd"/>
      <w:r w:rsidRPr="00EA55D0">
        <w:t xml:space="preserve"> enable the provider to pay the debts of the provider</w:t>
      </w:r>
    </w:p>
    <w:p w14:paraId="042BAFDA" w14:textId="69557E53" w:rsidR="3AF6033A" w:rsidRPr="00EA55D0" w:rsidRDefault="3AF6033A" w:rsidP="00E333F2">
      <w:pPr>
        <w:pStyle w:val="ListBullet"/>
      </w:pPr>
      <w:r w:rsidRPr="00EA55D0">
        <w:t>states that the ultimate holding company is not willing and able, while the provider remains an approved provider, to provide such financial support to the provider.</w:t>
      </w:r>
    </w:p>
    <w:p w14:paraId="3058072A" w14:textId="08DD454F" w:rsidR="00AD57C2" w:rsidRPr="00EA55D0" w:rsidRDefault="5D57622E" w:rsidP="00E333F2">
      <w:r w:rsidRPr="00EA55D0">
        <w:t xml:space="preserve">Refer to the </w:t>
      </w:r>
      <w:r w:rsidR="03760EC7" w:rsidRPr="00EA55D0">
        <w:rPr>
          <w:i/>
        </w:rPr>
        <w:t xml:space="preserve">Aged Care Rules </w:t>
      </w:r>
      <w:r w:rsidR="03760EC7" w:rsidRPr="00EA55D0">
        <w:rPr>
          <w:i/>
          <w:iCs/>
        </w:rPr>
        <w:t>2025</w:t>
      </w:r>
      <w:r w:rsidRPr="00EA55D0">
        <w:rPr>
          <w:i/>
        </w:rPr>
        <w:t xml:space="preserve"> </w:t>
      </w:r>
      <w:r w:rsidRPr="00EA55D0">
        <w:t>for further details.</w:t>
      </w:r>
    </w:p>
    <w:p w14:paraId="33EB65D9" w14:textId="77777777" w:rsidR="00DF54E2" w:rsidRPr="00EA55D0" w:rsidRDefault="00DF54E2" w:rsidP="00E333F2">
      <w:pPr>
        <w:pStyle w:val="Heading2"/>
      </w:pPr>
      <w:r w:rsidRPr="00EA55D0">
        <w:t xml:space="preserve">Government providers </w:t>
      </w:r>
    </w:p>
    <w:p w14:paraId="0CDEEE99" w14:textId="77777777" w:rsidR="007753C2" w:rsidRPr="00EA55D0" w:rsidRDefault="00DF54E2" w:rsidP="00DF54E2">
      <w:r w:rsidRPr="00EA55D0">
        <w:t xml:space="preserve">All government residential aged care providers must complete </w:t>
      </w:r>
      <w:r w:rsidR="007753C2" w:rsidRPr="00EA55D0">
        <w:t>the:</w:t>
      </w:r>
    </w:p>
    <w:p w14:paraId="3AA32C8A" w14:textId="77777777" w:rsidR="007753C2" w:rsidRPr="00EA55D0" w:rsidRDefault="007753C2" w:rsidP="00E333F2">
      <w:pPr>
        <w:pStyle w:val="ListBullet"/>
      </w:pPr>
      <w:r w:rsidRPr="00EA55D0">
        <w:t>Residential aged care home Income and Expenditure Statement (data is linked from Income and Expenses forms)</w:t>
      </w:r>
    </w:p>
    <w:p w14:paraId="20F08433" w14:textId="77777777" w:rsidR="007753C2" w:rsidRPr="00EA55D0" w:rsidRDefault="007753C2" w:rsidP="00E333F2">
      <w:pPr>
        <w:pStyle w:val="ListBullet"/>
      </w:pPr>
      <w:r w:rsidRPr="00EA55D0">
        <w:t>Residential aged care home Income</w:t>
      </w:r>
    </w:p>
    <w:p w14:paraId="460C58BE" w14:textId="77777777" w:rsidR="007753C2" w:rsidRPr="00EA55D0" w:rsidRDefault="007753C2" w:rsidP="00E333F2">
      <w:pPr>
        <w:pStyle w:val="ListBullet"/>
      </w:pPr>
      <w:r w:rsidRPr="00EA55D0">
        <w:t>Residential aged care home Expenditure</w:t>
      </w:r>
    </w:p>
    <w:p w14:paraId="62B53E0C" w14:textId="77777777" w:rsidR="007753C2" w:rsidRPr="00EA55D0" w:rsidRDefault="007753C2" w:rsidP="00E333F2">
      <w:pPr>
        <w:pStyle w:val="ListBullet"/>
      </w:pPr>
      <w:r w:rsidRPr="00EA55D0">
        <w:t>Residential aged care home Income and Expenditure Statement Per Resident Per Day (data is calculated from other forms)</w:t>
      </w:r>
    </w:p>
    <w:p w14:paraId="5E1A4812" w14:textId="77777777" w:rsidR="007753C2" w:rsidRPr="00EA55D0" w:rsidRDefault="007753C2" w:rsidP="00E333F2">
      <w:pPr>
        <w:pStyle w:val="ListBullet"/>
      </w:pPr>
      <w:r w:rsidRPr="00EA55D0">
        <w:t>Residential aged care Non-Recurrent Income and Expenses</w:t>
      </w:r>
    </w:p>
    <w:p w14:paraId="314BC217" w14:textId="77777777" w:rsidR="007753C2" w:rsidRPr="00EA55D0" w:rsidRDefault="007753C2" w:rsidP="00E333F2">
      <w:pPr>
        <w:pStyle w:val="ListBullet"/>
      </w:pPr>
      <w:r w:rsidRPr="00EA55D0">
        <w:t>Residential aged care Balance Sheet</w:t>
      </w:r>
    </w:p>
    <w:p w14:paraId="4261C73E" w14:textId="77777777" w:rsidR="007753C2" w:rsidRPr="00EA55D0" w:rsidRDefault="007753C2" w:rsidP="00E333F2">
      <w:pPr>
        <w:pStyle w:val="ListBullet"/>
      </w:pPr>
      <w:r w:rsidRPr="00EA55D0">
        <w:t>Care Minutes Performance Statement</w:t>
      </w:r>
    </w:p>
    <w:p w14:paraId="3C257C07" w14:textId="38162033" w:rsidR="007753C2" w:rsidRPr="00EA55D0" w:rsidRDefault="007753C2" w:rsidP="00E333F2">
      <w:pPr>
        <w:pStyle w:val="ListBullet"/>
      </w:pPr>
      <w:r w:rsidRPr="00EA55D0">
        <w:t>Registered Provider Permitted Uses Reconciliation</w:t>
      </w:r>
    </w:p>
    <w:p w14:paraId="1043B9A1" w14:textId="73885DC3" w:rsidR="007753C2" w:rsidRPr="00F32566" w:rsidRDefault="007753C2" w:rsidP="00F32566">
      <w:r w:rsidRPr="00F32566">
        <w:t>Government residential aged care providers do not have to complete the:</w:t>
      </w:r>
    </w:p>
    <w:p w14:paraId="1E3593F4" w14:textId="2C7E6D0E" w:rsidR="00DF54E2" w:rsidRPr="00EA55D0" w:rsidRDefault="007753C2" w:rsidP="00E333F2">
      <w:pPr>
        <w:pStyle w:val="ListBullet"/>
      </w:pPr>
      <w:r w:rsidRPr="00EA55D0">
        <w:t xml:space="preserve">Financial Support Statement </w:t>
      </w:r>
    </w:p>
    <w:p w14:paraId="122E5B36" w14:textId="77777777" w:rsidR="00785A48" w:rsidRDefault="00591D82" w:rsidP="00785A48">
      <w:pPr>
        <w:pStyle w:val="FigureTitle"/>
        <w:rPr>
          <w:rFonts w:eastAsiaTheme="minorHAnsi"/>
        </w:rPr>
      </w:pPr>
      <w:r w:rsidRPr="00AD57C2">
        <w:rPr>
          <w:rFonts w:eastAsiaTheme="minorHAnsi"/>
        </w:rPr>
        <w:t xml:space="preserve">Residential aged care </w:t>
      </w:r>
      <w:r w:rsidR="001F6C30" w:rsidRPr="00AD57C2">
        <w:rPr>
          <w:rFonts w:eastAsiaTheme="minorHAnsi"/>
        </w:rPr>
        <w:t>reporting</w:t>
      </w:r>
      <w:r w:rsidRPr="00AD57C2">
        <w:rPr>
          <w:rFonts w:eastAsiaTheme="minorHAnsi"/>
        </w:rPr>
        <w:t xml:space="preserve"> FAQs</w:t>
      </w:r>
    </w:p>
    <w:p w14:paraId="7E366961" w14:textId="3C6602F4" w:rsidR="00785A48" w:rsidRDefault="00785A48" w:rsidP="00E333F2">
      <w:pPr>
        <w:pStyle w:val="Heading2"/>
      </w:pPr>
      <w:r>
        <w:t>What are the administration expenses associated with Care, Hotel and Accommodation?</w:t>
      </w:r>
    </w:p>
    <w:p w14:paraId="45E79FD0" w14:textId="77777777" w:rsidR="005462C7" w:rsidRDefault="00785A48" w:rsidP="00785A48">
      <w:pPr>
        <w:pStyle w:val="BodyText"/>
      </w:pPr>
      <w:r>
        <w:t xml:space="preserve">The ACFR definitions </w:t>
      </w:r>
      <w:r w:rsidR="00EA2A46">
        <w:t xml:space="preserve">provide examples of administration expenses that need to be reported in the ACFR. The ACFR also asks providers to input proportions (%) that allocate </w:t>
      </w:r>
      <w:r w:rsidR="005462C7">
        <w:t>out the total administration cost to the following categories:</w:t>
      </w:r>
    </w:p>
    <w:p w14:paraId="2D3B4955" w14:textId="77777777" w:rsidR="00576BC4" w:rsidRPr="00576BC4" w:rsidRDefault="00576BC4" w:rsidP="005462C7">
      <w:pPr>
        <w:pStyle w:val="BodyText"/>
        <w:numPr>
          <w:ilvl w:val="0"/>
          <w:numId w:val="32"/>
        </w:numPr>
        <w:rPr>
          <w:rFonts w:eastAsiaTheme="minorHAnsi"/>
          <w:b/>
          <w:bCs/>
        </w:rPr>
      </w:pPr>
      <w:r>
        <w:t xml:space="preserve">Care: Costs associated with administration of direct care, resident expenses, and consumables. </w:t>
      </w:r>
    </w:p>
    <w:p w14:paraId="241E0AF5" w14:textId="77777777" w:rsidR="008E541C" w:rsidRPr="008E541C" w:rsidRDefault="00576BC4" w:rsidP="008E541C">
      <w:pPr>
        <w:pStyle w:val="BodyText"/>
        <w:numPr>
          <w:ilvl w:val="0"/>
          <w:numId w:val="32"/>
        </w:numPr>
        <w:rPr>
          <w:rFonts w:eastAsiaTheme="minorHAnsi"/>
          <w:b/>
          <w:bCs/>
        </w:rPr>
      </w:pPr>
      <w:r>
        <w:t xml:space="preserve">Hotel: Costs associated with administration of catering, cleaning and laundry services. </w:t>
      </w:r>
    </w:p>
    <w:p w14:paraId="50EA8EDE" w14:textId="1E6F985E" w:rsidR="00591D82" w:rsidRPr="00C8403F" w:rsidRDefault="00576BC4" w:rsidP="00E333F2">
      <w:pPr>
        <w:pStyle w:val="Heading2"/>
      </w:pPr>
      <w:r w:rsidRPr="008E541C">
        <w:t>Accommodation: Costs associated with administration of building occupation, maintenance, and interest.</w:t>
      </w:r>
      <w:fldSimple w:instr=" STYLEREF 1 \s ">
        <w:r w:rsidR="003F5AC3">
          <w:rPr>
            <w:noProof/>
            <w:cs/>
          </w:rPr>
          <w:t>‎</w:t>
        </w:r>
        <w:r w:rsidR="003F5AC3">
          <w:rPr>
            <w:noProof/>
          </w:rPr>
          <w:t>7</w:t>
        </w:r>
      </w:fldSimple>
      <w:r w:rsidR="00591D82" w:rsidRPr="00C8403F">
        <w:t xml:space="preserve">What is the purpose of </w:t>
      </w:r>
      <w:r w:rsidR="00591D82" w:rsidRPr="00C8403F">
        <w:lastRenderedPageBreak/>
        <w:t xml:space="preserve">apportioning our administration costs across Care, Hotel and Accommodation? </w:t>
      </w:r>
    </w:p>
    <w:p w14:paraId="5177B9E2" w14:textId="530E3162" w:rsidR="00591D82" w:rsidRPr="00C8403F" w:rsidRDefault="00591D82" w:rsidP="00C8403F">
      <w:r w:rsidRPr="00C8403F">
        <w:t xml:space="preserve">Providers need to allocate administration expenses to the residential </w:t>
      </w:r>
      <w:r w:rsidR="00207CAC" w:rsidRPr="00C8403F">
        <w:t xml:space="preserve">aged </w:t>
      </w:r>
      <w:r w:rsidRPr="00C8403F">
        <w:t>care level and split this amount between Care, Hotel and Accommodation using a data-driven approach. This would take into consideration the underlying drivers of administration activity for the eight sub</w:t>
      </w:r>
      <w:r w:rsidR="00313D73" w:rsidRPr="00C8403F">
        <w:t>-</w:t>
      </w:r>
      <w:r w:rsidRPr="00C8403F">
        <w:t xml:space="preserve">categories listed under the “Residential (Expenses)” section. This data is used to support costing studies and subsequently Australian National Aged Care Classification (AN-ACC) pricing for the sector. Administration allocation percentages will continue to be collected at the entity/provider level and are not required at the service level. </w:t>
      </w:r>
    </w:p>
    <w:p w14:paraId="7922E7C4" w14:textId="234EF1F7" w:rsidR="00591D82" w:rsidRPr="00EA55D0" w:rsidRDefault="00591D82" w:rsidP="00E333F2">
      <w:pPr>
        <w:pStyle w:val="Heading2"/>
      </w:pPr>
      <w:fldSimple w:instr=" STYLEREF 1 \s ">
        <w:r w:rsidR="003F5AC3">
          <w:rPr>
            <w:noProof/>
            <w:cs/>
          </w:rPr>
          <w:t>‎</w:t>
        </w:r>
        <w:r w:rsidR="003F5AC3">
          <w:rPr>
            <w:noProof/>
          </w:rPr>
          <w:t>7</w:t>
        </w:r>
      </w:fldSimple>
      <w:r w:rsidRPr="00EA55D0">
        <w:t>Can the department provide an example of apportioning administration costs across Care, Hotel and Accommodation?</w:t>
      </w:r>
    </w:p>
    <w:p w14:paraId="4B225425" w14:textId="77777777" w:rsidR="00591D82" w:rsidRPr="00EA55D0" w:rsidRDefault="00591D82" w:rsidP="00591D82">
      <w:r w:rsidRPr="00EA55D0">
        <w:t>Below is an example of how insurance could be allocated between Care, Hotel and Accommodation.</w:t>
      </w:r>
    </w:p>
    <w:p w14:paraId="7F02F8B6" w14:textId="247D5BA1" w:rsidR="001A1103" w:rsidRPr="00EA55D0" w:rsidRDefault="00591D82" w:rsidP="00E333F2">
      <w:pPr>
        <w:pStyle w:val="ListNumber"/>
      </w:pPr>
      <w:r w:rsidRPr="00EA55D0">
        <w:t>Identify the expenses associated with the admin expense sub-category. In this example, insurance could include professional indemnity, volunteers, public liability, rental property, building and contents and motor vehicle insurance</w:t>
      </w:r>
      <w:r w:rsidR="00E333F2">
        <w:t>.</w:t>
      </w:r>
      <w:r w:rsidRPr="00EA55D0">
        <w:t xml:space="preserve"> </w:t>
      </w:r>
    </w:p>
    <w:p w14:paraId="300C6630" w14:textId="3543038C" w:rsidR="009B2687" w:rsidRPr="00EA55D0" w:rsidRDefault="00591D82" w:rsidP="00E333F2">
      <w:pPr>
        <w:pStyle w:val="ListNumber"/>
      </w:pPr>
      <w:r w:rsidRPr="00EA55D0">
        <w:t>Assess whether the insurance expense relates to Care, Hotel or Accommodation, or a combination of these categories.</w:t>
      </w:r>
    </w:p>
    <w:p w14:paraId="32092B8B" w14:textId="77777777" w:rsidR="005A2BFE" w:rsidRPr="00EA55D0" w:rsidRDefault="009B2687" w:rsidP="00E333F2">
      <w:pPr>
        <w:pStyle w:val="ListNumber"/>
      </w:pPr>
      <w:r w:rsidRPr="00EA55D0">
        <w:t>A</w:t>
      </w:r>
      <w:r w:rsidR="00591D82" w:rsidRPr="00EA55D0">
        <w:t>llocate expenditure based on the assessment on Step 2. For example, a provider could attribute 100% of building and contents insurance cost to accommodation, whilst proportionally allocating professional indemnity insurance between Care, Hotel and Accommodation based on the employee expenses incurred in these categories.</w:t>
      </w:r>
    </w:p>
    <w:p w14:paraId="653C93C6" w14:textId="12751DE9" w:rsidR="00591D82" w:rsidRPr="00EA55D0" w:rsidRDefault="00591D82" w:rsidP="00E333F2">
      <w:pPr>
        <w:pStyle w:val="ListNumber"/>
      </w:pPr>
      <w:r w:rsidRPr="00EA55D0">
        <w:t xml:space="preserve">Finally, once all administration costs are allocated out to Care, Hotel, and Accommodation, divide each category’s total by the total administration cost to determine the administration allocation percentage attributable to each category that is reported in the ACFR. </w:t>
      </w:r>
    </w:p>
    <w:p w14:paraId="5FFE087E" w14:textId="3E3E946F" w:rsidR="00591D82" w:rsidRPr="00EA55D0" w:rsidRDefault="00591D82" w:rsidP="00591D82">
      <w:r w:rsidRPr="00EA55D0">
        <w:t xml:space="preserve">The department recognises the difficulty in perfectly allocating administration </w:t>
      </w:r>
      <w:r w:rsidR="004F1262" w:rsidRPr="00EA55D0">
        <w:t>expenses;</w:t>
      </w:r>
      <w:r w:rsidRPr="00EA55D0">
        <w:t xml:space="preserve"> however, we ask that providers allocate based on reasonable data-driven assumptions. For any questions, the</w:t>
      </w:r>
      <w:r w:rsidR="00FA60DF" w:rsidRPr="00EA55D0">
        <w:t xml:space="preserve"> residential aged care help desk can assist. </w:t>
      </w:r>
      <w:r w:rsidRPr="00EA55D0">
        <w:t xml:space="preserve"> </w:t>
      </w:r>
    </w:p>
    <w:p w14:paraId="6E440583" w14:textId="2FC019B3" w:rsidR="00591D82" w:rsidRPr="00EA55D0" w:rsidRDefault="00591D82" w:rsidP="00E333F2">
      <w:pPr>
        <w:pStyle w:val="Heading2"/>
      </w:pPr>
      <w:fldSimple w:instr=" STYLEREF 1 \s ">
        <w:r w:rsidR="003F5AC3">
          <w:rPr>
            <w:noProof/>
            <w:cs/>
          </w:rPr>
          <w:t>‎</w:t>
        </w:r>
        <w:r w:rsidR="003F5AC3">
          <w:rPr>
            <w:noProof/>
          </w:rPr>
          <w:t>7</w:t>
        </w:r>
      </w:fldSimple>
      <w:r w:rsidRPr="00EA55D0">
        <w:t xml:space="preserve">If a provider has a general ledger that does not allow for easy identification of certain expenses such as diversional therapists, nutritional supplements or incontinence supplies etc., can the expenses be reported together as one?  </w:t>
      </w:r>
    </w:p>
    <w:p w14:paraId="429470C6" w14:textId="3E9C7BD6" w:rsidR="00591D82" w:rsidRPr="00EA55D0" w:rsidRDefault="002C71AF" w:rsidP="00591D82">
      <w:r w:rsidRPr="00EA55D0">
        <w:t>Where possible, t</w:t>
      </w:r>
      <w:r w:rsidR="00591D82" w:rsidRPr="00EA55D0">
        <w:t xml:space="preserve">he </w:t>
      </w:r>
      <w:r w:rsidR="00B178E3" w:rsidRPr="00EA55D0">
        <w:t xml:space="preserve">general ledger </w:t>
      </w:r>
      <w:r w:rsidR="00591D82" w:rsidRPr="00EA55D0">
        <w:t xml:space="preserve">chart of accounts should be </w:t>
      </w:r>
      <w:r w:rsidR="00B178E3" w:rsidRPr="00EA55D0">
        <w:t xml:space="preserve">set up to be able to capture </w:t>
      </w:r>
      <w:r w:rsidR="000A51E7" w:rsidRPr="00EA55D0">
        <w:t>each expense category</w:t>
      </w:r>
      <w:r w:rsidR="00C814AE" w:rsidRPr="00EA55D0">
        <w:t xml:space="preserve">. If not, alternative processes will need to be used to separately identify </w:t>
      </w:r>
      <w:r w:rsidR="007543E6" w:rsidRPr="00EA55D0">
        <w:t xml:space="preserve">expenses. </w:t>
      </w:r>
    </w:p>
    <w:p w14:paraId="53B721FD" w14:textId="51BEC676" w:rsidR="00591D82" w:rsidRPr="00EA55D0" w:rsidRDefault="00591D82" w:rsidP="00E333F2">
      <w:pPr>
        <w:pStyle w:val="Heading2"/>
      </w:pPr>
      <w:fldSimple w:instr=" STYLEREF 1 \s ">
        <w:r w:rsidR="003F5AC3">
          <w:rPr>
            <w:noProof/>
            <w:cs/>
          </w:rPr>
          <w:t>‎</w:t>
        </w:r>
        <w:r w:rsidR="003F5AC3">
          <w:rPr>
            <w:noProof/>
          </w:rPr>
          <w:t>7</w:t>
        </w:r>
      </w:fldSimple>
      <w:r w:rsidRPr="00EA55D0">
        <w:t xml:space="preserve">Where do providers report income and expenditure for </w:t>
      </w:r>
      <w:r w:rsidR="007F34B9" w:rsidRPr="00EA55D0">
        <w:t xml:space="preserve">residential aged care </w:t>
      </w:r>
      <w:r w:rsidRPr="00EA55D0">
        <w:t xml:space="preserve">sites that are either under construction or </w:t>
      </w:r>
      <w:r w:rsidR="007F34B9" w:rsidRPr="00EA55D0">
        <w:t>not yet operational</w:t>
      </w:r>
      <w:r w:rsidR="00C27885" w:rsidRPr="00EA55D0">
        <w:t>?</w:t>
      </w:r>
    </w:p>
    <w:p w14:paraId="339FBA62" w14:textId="05C6417B" w:rsidR="00591D82" w:rsidRPr="00EA55D0" w:rsidRDefault="00591D82" w:rsidP="00591D82">
      <w:r w:rsidRPr="00EA55D0">
        <w:t xml:space="preserve">If the sites are either under construction, or </w:t>
      </w:r>
      <w:r w:rsidR="007F34B9" w:rsidRPr="00EA55D0">
        <w:t>not yet operational,</w:t>
      </w:r>
      <w:r w:rsidRPr="00EA55D0">
        <w:t xml:space="preserve"> the assets should be reported as ‘Capital Work in Progress’ or within ‘Property Plant and Equipment’ in the residential balance sheet. The income and expenditure relevant to these offline facilities should be reported as ‘Other’ in the ‘Residential Non-Recurrent income and expenses section of the ACFR. </w:t>
      </w:r>
    </w:p>
    <w:p w14:paraId="11BE026B" w14:textId="3F26E5F3" w:rsidR="00591D82" w:rsidRPr="00EA55D0" w:rsidRDefault="00591D82" w:rsidP="00591D82">
      <w:r w:rsidRPr="00EA55D0">
        <w:t xml:space="preserve">Where the site is currently being used for a purpose outside of residential aged care according to the </w:t>
      </w:r>
      <w:r w:rsidRPr="00EA55D0">
        <w:rPr>
          <w:i/>
        </w:rPr>
        <w:t xml:space="preserve">Aged Care Act </w:t>
      </w:r>
      <w:r w:rsidR="00B858E8" w:rsidRPr="00EA55D0">
        <w:rPr>
          <w:i/>
        </w:rPr>
        <w:t>2024</w:t>
      </w:r>
      <w:r w:rsidRPr="00EA55D0">
        <w:t xml:space="preserve">, that site, and its income and expenditure should only be reported at the </w:t>
      </w:r>
      <w:r w:rsidR="00EB555B" w:rsidRPr="00EA55D0">
        <w:t>Registered Provider</w:t>
      </w:r>
      <w:r w:rsidRPr="00EA55D0">
        <w:t xml:space="preserve"> level. </w:t>
      </w:r>
    </w:p>
    <w:p w14:paraId="416F7AEB" w14:textId="3DC5D6AB" w:rsidR="00591D82" w:rsidRPr="00EA55D0" w:rsidRDefault="00591D82" w:rsidP="00E333F2">
      <w:pPr>
        <w:pStyle w:val="Heading2"/>
      </w:pPr>
      <w:fldSimple w:instr=" STYLEREF 1 \s ">
        <w:r w:rsidR="003F5AC3">
          <w:rPr>
            <w:noProof/>
            <w:cs/>
          </w:rPr>
          <w:t>‎</w:t>
        </w:r>
        <w:r w:rsidR="003F5AC3">
          <w:rPr>
            <w:noProof/>
          </w:rPr>
          <w:t>7</w:t>
        </w:r>
      </w:fldSimple>
      <w:r w:rsidRPr="00EA55D0">
        <w:t xml:space="preserve">If all the staff of the </w:t>
      </w:r>
      <w:r w:rsidR="00167412" w:rsidRPr="00EA55D0">
        <w:t>Registered P</w:t>
      </w:r>
      <w:r w:rsidRPr="00EA55D0">
        <w:t xml:space="preserve">rovider are employed by its related party entity, how should labour costs be reported in the ACFR?  </w:t>
      </w:r>
    </w:p>
    <w:p w14:paraId="6CCB5E1D" w14:textId="75827338" w:rsidR="00591D82" w:rsidRPr="00EA55D0" w:rsidRDefault="00591D82" w:rsidP="00591D82">
      <w:r w:rsidRPr="00EA55D0">
        <w:t>If a provider does not directly employ their staff and the related part</w:t>
      </w:r>
      <w:r w:rsidR="008743C7" w:rsidRPr="00EA55D0">
        <w:t>y</w:t>
      </w:r>
      <w:r w:rsidRPr="00EA55D0">
        <w:t xml:space="preserve"> entity does, the provider should report it under employee staff costs. Agency staff reporting items capture the costs of engaging staff through an unrelated organisation.</w:t>
      </w:r>
    </w:p>
    <w:p w14:paraId="50E66915" w14:textId="77777777" w:rsidR="00591D82" w:rsidRPr="00EA55D0" w:rsidRDefault="00591D82" w:rsidP="00591D82">
      <w:r w:rsidRPr="00EA55D0">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325A2FDC" w14:textId="61B0174B" w:rsidR="00591D82" w:rsidRPr="00EA55D0" w:rsidRDefault="00591D82" w:rsidP="00E333F2">
      <w:pPr>
        <w:pStyle w:val="Heading2"/>
      </w:pPr>
      <w:r w:rsidRPr="00EA55D0">
        <w:t xml:space="preserve">If an organisation has two facilities and all revenue and expenditure are recorded as one, is it acceptable to provide the data against one facility or are providers required to split them </w:t>
      </w:r>
      <w:r w:rsidR="00564811" w:rsidRPr="00EA55D0">
        <w:t>separately</w:t>
      </w:r>
      <w:r w:rsidRPr="00EA55D0">
        <w:t>?</w:t>
      </w:r>
    </w:p>
    <w:p w14:paraId="1BE96253" w14:textId="1C0F82EB" w:rsidR="006C26ED" w:rsidRPr="00EA55D0" w:rsidRDefault="00591D82" w:rsidP="00E333F2">
      <w:r w:rsidRPr="00EA55D0">
        <w:t>Data (e.g., income, expenses, and hours) for the co-located facilities should not be combined. It should be reported separately for every individual registered facility. The same data should not be duplicated across both registrations and should be reflective of what was incurred for that registered facility.</w:t>
      </w:r>
    </w:p>
    <w:p w14:paraId="72DEA678" w14:textId="77777777" w:rsidR="00591D82" w:rsidRPr="00EA55D0" w:rsidRDefault="00591D82" w:rsidP="006C26ED">
      <w:pPr>
        <w:pStyle w:val="SubjectHeading"/>
      </w:pPr>
      <w:r w:rsidRPr="00EA55D0">
        <w:t>Labour Worked Hours – Direct Care</w:t>
      </w:r>
    </w:p>
    <w:p w14:paraId="62A550C3" w14:textId="3B2A4D00" w:rsidR="00591D82" w:rsidRPr="00EA55D0" w:rsidRDefault="00591D82" w:rsidP="00E333F2">
      <w:pPr>
        <w:pStyle w:val="Heading2"/>
      </w:pPr>
      <w:r w:rsidRPr="00EA55D0">
        <w:t xml:space="preserve">Should the direct care hours include contractor hours? (e.g., a podiatrist or specialist who comes to a site periodically)  </w:t>
      </w:r>
    </w:p>
    <w:p w14:paraId="7B183CC0" w14:textId="77777777" w:rsidR="00591D82" w:rsidRPr="00EA55D0" w:rsidRDefault="00591D82" w:rsidP="00591D82">
      <w:r w:rsidRPr="00EA55D0">
        <w:t>The hours that contractors spend delivering care should be included in direct care hours. Hours of care should be requested on the invoices from contractors. If the invoice is not itemised by care type, an average time can be requested from the contractor for consultations and then the average can be applied to the number of client visits. The hours for a podiatrist would be captured under allied health.</w:t>
      </w:r>
    </w:p>
    <w:p w14:paraId="6BDF91E0" w14:textId="349EBE5F" w:rsidR="00591D82" w:rsidRPr="00EA55D0" w:rsidRDefault="00591D82" w:rsidP="00E333F2">
      <w:pPr>
        <w:pStyle w:val="Heading2"/>
      </w:pPr>
      <w:r w:rsidRPr="00EA55D0">
        <w:lastRenderedPageBreak/>
        <w:t xml:space="preserve">In the section ‘Labour Worked Hours - Direct Care’, is training and leave hours included?  </w:t>
      </w:r>
    </w:p>
    <w:p w14:paraId="7AEC2F97" w14:textId="2DACB02B" w:rsidR="00591D82" w:rsidRPr="00EA55D0" w:rsidRDefault="005C5CDE" w:rsidP="00591D82">
      <w:r w:rsidRPr="00EA55D0">
        <w:t>Labour</w:t>
      </w:r>
      <w:r w:rsidR="00591D82" w:rsidRPr="00EA55D0">
        <w:t xml:space="preserve"> worked hours for </w:t>
      </w:r>
      <w:r w:rsidR="00771AE3" w:rsidRPr="00EA55D0">
        <w:t xml:space="preserve">direct care should </w:t>
      </w:r>
      <w:r w:rsidR="00591D82" w:rsidRPr="00EA55D0">
        <w:t xml:space="preserve">not include any leave or training hours. </w:t>
      </w:r>
      <w:r w:rsidR="006F35CD" w:rsidRPr="00EA55D0">
        <w:t xml:space="preserve">Leave and training hours is reported under non-worked hours. </w:t>
      </w:r>
      <w:r w:rsidR="00F40C36" w:rsidRPr="00EA55D0">
        <w:rPr>
          <w:rFonts w:cs="Arial"/>
        </w:rPr>
        <w:t>Leave without pay hours should not be included in non-worked hours.</w:t>
      </w:r>
    </w:p>
    <w:p w14:paraId="51EA9F60" w14:textId="3A4607E6" w:rsidR="00591D82" w:rsidRPr="00EA55D0" w:rsidRDefault="00591D82" w:rsidP="00E333F2">
      <w:pPr>
        <w:pStyle w:val="Heading2"/>
      </w:pPr>
      <w:r w:rsidRPr="00EA55D0">
        <w:t xml:space="preserve">Is worked hours the same as full time equivalent (FTE)? </w:t>
      </w:r>
    </w:p>
    <w:p w14:paraId="30F118E4" w14:textId="77777777" w:rsidR="00591D82" w:rsidRPr="00EA55D0" w:rsidRDefault="00591D82" w:rsidP="00591D82">
      <w:r w:rsidRPr="00EA55D0">
        <w:t>No. Worked hours is different to FTE. Worked hours captures all the hours worked by staff to deliver care, while FTE is a unit to measure employed persons in a way that makes them comparable. The roster or payroll system should be used to gather hours worked.</w:t>
      </w:r>
    </w:p>
    <w:p w14:paraId="2C54B5B3" w14:textId="38F82079" w:rsidR="00591D82" w:rsidRPr="00EA55D0" w:rsidRDefault="00591D82" w:rsidP="00E333F2">
      <w:pPr>
        <w:pStyle w:val="Heading2"/>
        <w:rPr>
          <w:rFonts w:eastAsia="Calibri Light"/>
        </w:rPr>
      </w:pPr>
      <w:r w:rsidRPr="00EA55D0">
        <w:rPr>
          <w:rFonts w:eastAsia="Calibri Light"/>
        </w:rPr>
        <w:t>If a direct care worker also performs other roles such as catering, laundry, and cleaning, does a provider need to apportion the percentage of direct care hours worked for the ‘Care hours’ reporting?</w:t>
      </w:r>
    </w:p>
    <w:p w14:paraId="48CB69D2" w14:textId="67C2D8F1" w:rsidR="00591D82" w:rsidRPr="00EA55D0" w:rsidRDefault="00B261E8" w:rsidP="00591D82">
      <w:pPr>
        <w:rPr>
          <w:rFonts w:eastAsia="Arial"/>
        </w:rPr>
      </w:pPr>
      <w:r w:rsidRPr="00EA55D0">
        <w:t xml:space="preserve">Yes, </w:t>
      </w:r>
      <w:r w:rsidR="005023A3" w:rsidRPr="00EA55D0">
        <w:t xml:space="preserve">the worked </w:t>
      </w:r>
      <w:r w:rsidR="00591D82" w:rsidRPr="00EA55D0">
        <w:t xml:space="preserve">hours should be </w:t>
      </w:r>
      <w:r w:rsidR="00EA76A1" w:rsidRPr="00EA55D0">
        <w:t xml:space="preserve">apportioned </w:t>
      </w:r>
      <w:r w:rsidR="001152A4" w:rsidRPr="00EA55D0">
        <w:t xml:space="preserve">to direct care hours </w:t>
      </w:r>
      <w:r w:rsidR="00EA76A1" w:rsidRPr="00EA55D0">
        <w:t xml:space="preserve">based on the </w:t>
      </w:r>
      <w:r w:rsidR="00591D82" w:rsidRPr="00EA55D0">
        <w:t xml:space="preserve">time spent by the employee </w:t>
      </w:r>
      <w:r w:rsidR="001152A4" w:rsidRPr="00EA55D0">
        <w:t xml:space="preserve">on </w:t>
      </w:r>
      <w:r w:rsidR="00BA25EE" w:rsidRPr="00EA55D0">
        <w:t>direct care vs n</w:t>
      </w:r>
      <w:r w:rsidR="00AE43F5" w:rsidRPr="00EA55D0">
        <w:t>on-care.</w:t>
      </w:r>
    </w:p>
    <w:p w14:paraId="3EA7764E" w14:textId="33CE94E4" w:rsidR="00591D82" w:rsidRPr="00EA55D0" w:rsidRDefault="00591D82" w:rsidP="00E333F2">
      <w:pPr>
        <w:pStyle w:val="Heading2"/>
        <w:rPr>
          <w:rFonts w:eastAsia="Calibri Light"/>
        </w:rPr>
      </w:pPr>
      <w:r w:rsidRPr="00EA55D0">
        <w:rPr>
          <w:rFonts w:eastAsia="Calibri Light"/>
        </w:rPr>
        <w:t xml:space="preserve">What is the difference between non-face-to-face </w:t>
      </w:r>
      <w:r w:rsidR="00E90154" w:rsidRPr="00EA55D0">
        <w:rPr>
          <w:rFonts w:eastAsia="Calibri Light"/>
        </w:rPr>
        <w:t xml:space="preserve">direct </w:t>
      </w:r>
      <w:r w:rsidRPr="00EA55D0">
        <w:rPr>
          <w:rFonts w:eastAsia="Calibri Light"/>
        </w:rPr>
        <w:t>care and virtual telehealth or on-call support?</w:t>
      </w:r>
    </w:p>
    <w:p w14:paraId="39726015" w14:textId="77777777" w:rsidR="00591D82" w:rsidRPr="00EA55D0" w:rsidRDefault="00591D82" w:rsidP="00591D82">
      <w:r w:rsidRPr="00EA55D0">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3DCE5FC" w14:textId="4FDC9389" w:rsidR="00591D82" w:rsidRPr="00EA55D0" w:rsidRDefault="00591D82" w:rsidP="00591D82">
      <w:r w:rsidRPr="00EA55D0">
        <w:t xml:space="preserve">However, virtual telehealth/on-call </w:t>
      </w:r>
      <w:r w:rsidR="006B2DCA" w:rsidRPr="00EA55D0">
        <w:t>support</w:t>
      </w:r>
      <w:r w:rsidRPr="00EA55D0">
        <w:t xml:space="preserve"> would include support by video/phone conference from someone (usually a nurse, allied health or medical practitioner) who is not on-site.</w:t>
      </w:r>
    </w:p>
    <w:p w14:paraId="7C6FE503" w14:textId="03A4B114" w:rsidR="00591D82" w:rsidRPr="00EA55D0" w:rsidRDefault="00591D82" w:rsidP="00E333F2">
      <w:pPr>
        <w:pStyle w:val="Heading2"/>
        <w:rPr>
          <w:rFonts w:eastAsia="Calibri Light"/>
        </w:rPr>
      </w:pPr>
      <w:r w:rsidRPr="00EA55D0">
        <w:rPr>
          <w:rFonts w:eastAsia="Calibri Light"/>
        </w:rPr>
        <w:t xml:space="preserve">Should labour hours worked - direct care include outbreak staff hours?  </w:t>
      </w:r>
    </w:p>
    <w:p w14:paraId="57D366A6" w14:textId="128B6838" w:rsidR="00B313AC" w:rsidRPr="00F32566" w:rsidRDefault="00591D82" w:rsidP="00F32566">
      <w:pPr>
        <w:rPr>
          <w:rFonts w:eastAsia="Calibri Light"/>
        </w:rPr>
      </w:pPr>
      <w:r w:rsidRPr="00F32566">
        <w:rPr>
          <w:rFonts w:eastAsia="Calibri Light"/>
        </w:rPr>
        <w:t>Yes. Direct care hours should include all hours worked providing direct care, including where extra staff are brought in to support the operations of the home during an outbreak. From 2024-25 onwards the labour costs of extra outbreak staff should be reported in their relevant labour expenses – direct care category.</w:t>
      </w:r>
    </w:p>
    <w:p w14:paraId="16ED7A88" w14:textId="77777777" w:rsidR="00591D82" w:rsidRPr="00EA55D0" w:rsidRDefault="00591D82" w:rsidP="00B313AC">
      <w:pPr>
        <w:pStyle w:val="SubjectHeading"/>
      </w:pPr>
      <w:r w:rsidRPr="00EA55D0">
        <w:t xml:space="preserve">Bed days </w:t>
      </w:r>
    </w:p>
    <w:p w14:paraId="2F82829B" w14:textId="5779626E" w:rsidR="00591D82" w:rsidRPr="00EA55D0" w:rsidRDefault="00591D82" w:rsidP="00E333F2">
      <w:pPr>
        <w:pStyle w:val="Heading2"/>
        <w:rPr>
          <w:rFonts w:eastAsia="Calibri Light"/>
        </w:rPr>
      </w:pPr>
      <w:r w:rsidRPr="00EA55D0">
        <w:rPr>
          <w:rFonts w:eastAsia="Calibri Light"/>
        </w:rPr>
        <w:t>How should ‘</w:t>
      </w:r>
      <w:r w:rsidR="00840E23" w:rsidRPr="00EA55D0">
        <w:rPr>
          <w:rFonts w:eastAsia="Calibri Light"/>
        </w:rPr>
        <w:t>Operational</w:t>
      </w:r>
      <w:r w:rsidRPr="00EA55D0">
        <w:rPr>
          <w:rFonts w:eastAsia="Calibri Light"/>
        </w:rPr>
        <w:t xml:space="preserve"> Bed Days’ be calculated in the report? </w:t>
      </w:r>
    </w:p>
    <w:p w14:paraId="3CD94DEC" w14:textId="59D968B7" w:rsidR="00591D82" w:rsidRPr="00EA55D0" w:rsidRDefault="00840E23" w:rsidP="00591D82">
      <w:pPr>
        <w:rPr>
          <w:b/>
          <w:bCs/>
        </w:rPr>
      </w:pPr>
      <w:r w:rsidRPr="00EA55D0">
        <w:t>Operational</w:t>
      </w:r>
      <w:r w:rsidR="00591D82" w:rsidRPr="00EA55D0">
        <w:t xml:space="preserve"> bed days represents the number of days beds were physically available to be occupied. It is not the number of beds. </w:t>
      </w:r>
    </w:p>
    <w:p w14:paraId="778F39DD" w14:textId="7251B989" w:rsidR="00591D82" w:rsidRPr="00EA55D0" w:rsidRDefault="00591D82" w:rsidP="00591D82">
      <w:pPr>
        <w:rPr>
          <w:b/>
          <w:bCs/>
        </w:rPr>
      </w:pPr>
      <w:r w:rsidRPr="00EA55D0">
        <w:lastRenderedPageBreak/>
        <w:t>For example, if there were 100 beds physically available for 11 months (334 days), and only 90 beds available in the last month (31 days), the calculation would be = 100 beds * 334 days + 90 beds * 31 days = 36,190 available bed days.</w:t>
      </w:r>
    </w:p>
    <w:p w14:paraId="4CABB90A" w14:textId="231622E1" w:rsidR="00591D82" w:rsidRPr="00EA55D0" w:rsidRDefault="00591D82" w:rsidP="00E333F2">
      <w:pPr>
        <w:pStyle w:val="Heading2"/>
        <w:rPr>
          <w:rFonts w:eastAsia="Calibri Light"/>
        </w:rPr>
      </w:pPr>
      <w:r w:rsidRPr="00EA55D0">
        <w:rPr>
          <w:rFonts w:eastAsia="Calibri Light"/>
        </w:rPr>
        <w:t>If a resident departs at 10am on a certain day, is the bed considered an occupied bed day?</w:t>
      </w:r>
    </w:p>
    <w:p w14:paraId="72E681E2" w14:textId="77777777" w:rsidR="00591D82" w:rsidRPr="00EA55D0" w:rsidRDefault="00591D82" w:rsidP="00591D82">
      <w:pPr>
        <w:rPr>
          <w:rFonts w:cs="Arial"/>
        </w:rPr>
      </w:pPr>
      <w:r w:rsidRPr="00EA55D0">
        <w:rPr>
          <w:rFonts w:cs="Arial"/>
        </w:rPr>
        <w:t>Each monthly payment statement lists the number of total full bed days that subsidies have been paid to the facility, please use these total full bed day numbers to tally up the number of occupied bed days for the financial year.</w:t>
      </w:r>
    </w:p>
    <w:p w14:paraId="10119F5C" w14:textId="36A9F81B" w:rsidR="00591D82" w:rsidRPr="00EA55D0" w:rsidRDefault="00591D82" w:rsidP="00E333F2">
      <w:pPr>
        <w:pStyle w:val="Heading2"/>
        <w:rPr>
          <w:rFonts w:eastAsia="Calibri Light"/>
        </w:rPr>
      </w:pPr>
      <w:r w:rsidRPr="00EA55D0">
        <w:rPr>
          <w:rFonts w:eastAsia="Calibri Light"/>
        </w:rPr>
        <w:t>Is social leave over 29 days in a year included in the occupancy for the ACFR?</w:t>
      </w:r>
    </w:p>
    <w:p w14:paraId="07342D49" w14:textId="47EAF6EB" w:rsidR="002B6727" w:rsidRPr="00EA55D0" w:rsidRDefault="00591D82" w:rsidP="00E333F2">
      <w:r w:rsidRPr="00EA55D0">
        <w:t xml:space="preserve">Yes. 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ACFR. </w:t>
      </w:r>
      <w:bookmarkStart w:id="56" w:name="_Toc184198009"/>
      <w:bookmarkStart w:id="57" w:name="_Toc205730281"/>
    </w:p>
    <w:p w14:paraId="64CB8405" w14:textId="77702FE6" w:rsidR="002B6727" w:rsidRPr="00EA55D0" w:rsidRDefault="00BF3BE3" w:rsidP="00B313AC">
      <w:pPr>
        <w:pStyle w:val="SubjectHeading"/>
      </w:pPr>
      <w:r w:rsidRPr="00EA55D0">
        <w:t xml:space="preserve">Residents Paying </w:t>
      </w:r>
      <w:r w:rsidR="00775586" w:rsidRPr="00EA55D0">
        <w:t>Higher Everyday Living Fees</w:t>
      </w:r>
      <w:r w:rsidR="00CA7C60" w:rsidRPr="00EA55D0">
        <w:t>/Additional Service Fees/Extra Service Fees</w:t>
      </w:r>
    </w:p>
    <w:p w14:paraId="56437796" w14:textId="2CDF85B9" w:rsidR="00B96E1C" w:rsidRPr="00EA55D0" w:rsidRDefault="003F2877" w:rsidP="00E333F2">
      <w:pPr>
        <w:pStyle w:val="Heading2"/>
        <w:rPr>
          <w:rFonts w:eastAsia="Calibri Light"/>
        </w:rPr>
      </w:pPr>
      <w:r w:rsidRPr="00EA55D0">
        <w:rPr>
          <w:rFonts w:eastAsia="Calibri Light"/>
        </w:rPr>
        <w:t>Why do I have to report the number of residents</w:t>
      </w:r>
      <w:r w:rsidR="00735EB8" w:rsidRPr="00EA55D0">
        <w:rPr>
          <w:rFonts w:eastAsia="Calibri Light"/>
        </w:rPr>
        <w:t xml:space="preserve"> paying the Higher Everyday Living Fees / Additional Services Fees / Extra Services Fees</w:t>
      </w:r>
      <w:r w:rsidR="0506200D" w:rsidRPr="00EA55D0">
        <w:rPr>
          <w:rFonts w:eastAsia="Calibri Light"/>
        </w:rPr>
        <w:t>?</w:t>
      </w:r>
      <w:r w:rsidRPr="00EA55D0">
        <w:rPr>
          <w:rFonts w:eastAsia="Calibri Light"/>
        </w:rPr>
        <w:t xml:space="preserve"> </w:t>
      </w:r>
    </w:p>
    <w:p w14:paraId="0B1F92AF" w14:textId="50023FCE" w:rsidR="00FC2063" w:rsidRPr="00EA55D0" w:rsidRDefault="0046549A" w:rsidP="002070AD">
      <w:r w:rsidRPr="00EA55D0">
        <w:t xml:space="preserve">With the </w:t>
      </w:r>
      <w:r w:rsidR="003942AF" w:rsidRPr="00EA55D0">
        <w:t>introduction of the new Higher Everyday living fee</w:t>
      </w:r>
      <w:r w:rsidR="00ED744B" w:rsidRPr="00EA55D0">
        <w:t xml:space="preserve"> from 1 November 2025 (</w:t>
      </w:r>
      <w:r w:rsidR="003942AF" w:rsidRPr="00EA55D0">
        <w:t>which will replace</w:t>
      </w:r>
      <w:r w:rsidR="000050C3" w:rsidRPr="00EA55D0">
        <w:t xml:space="preserve"> </w:t>
      </w:r>
      <w:r w:rsidR="00ED744B" w:rsidRPr="00EA55D0">
        <w:t xml:space="preserve">the </w:t>
      </w:r>
      <w:r w:rsidR="000050C3" w:rsidRPr="00EA55D0">
        <w:t xml:space="preserve">Additional Service and Extra Service fees </w:t>
      </w:r>
      <w:r w:rsidR="007E3A22" w:rsidRPr="00EA55D0">
        <w:t xml:space="preserve">from </w:t>
      </w:r>
      <w:r w:rsidR="00D85A79" w:rsidRPr="00EA55D0">
        <w:t xml:space="preserve">1 November </w:t>
      </w:r>
      <w:r w:rsidR="0EC1462F" w:rsidRPr="00EA55D0">
        <w:t>2026</w:t>
      </w:r>
      <w:r w:rsidR="3E9FCF77" w:rsidRPr="00EA55D0">
        <w:t>)</w:t>
      </w:r>
      <w:r w:rsidR="7F50889A" w:rsidRPr="00EA55D0">
        <w:t>,</w:t>
      </w:r>
      <w:r w:rsidR="00D85A79" w:rsidRPr="00EA55D0">
        <w:t xml:space="preserve"> the </w:t>
      </w:r>
      <w:r w:rsidR="00C43A72" w:rsidRPr="00EA55D0">
        <w:t>Department</w:t>
      </w:r>
      <w:r w:rsidR="0066214C" w:rsidRPr="00EA55D0">
        <w:t xml:space="preserve"> </w:t>
      </w:r>
      <w:r w:rsidR="00ED744B" w:rsidRPr="00EA55D0">
        <w:t>wants</w:t>
      </w:r>
      <w:r w:rsidR="00C43E71" w:rsidRPr="00EA55D0">
        <w:t xml:space="preserve"> to understand the </w:t>
      </w:r>
      <w:r w:rsidR="005108D9" w:rsidRPr="00EA55D0">
        <w:t>number of residen</w:t>
      </w:r>
      <w:r w:rsidR="00060034" w:rsidRPr="00EA55D0">
        <w:t>t</w:t>
      </w:r>
      <w:r w:rsidR="005108D9" w:rsidRPr="00EA55D0">
        <w:t xml:space="preserve">s </w:t>
      </w:r>
      <w:r w:rsidR="00525705" w:rsidRPr="00EA55D0">
        <w:t xml:space="preserve">exercising a preference to receive optional </w:t>
      </w:r>
      <w:r w:rsidR="00637FB9" w:rsidRPr="00EA55D0">
        <w:t>lifestyle services</w:t>
      </w:r>
      <w:r w:rsidR="006C3BEA" w:rsidRPr="00EA55D0">
        <w:t>.</w:t>
      </w:r>
    </w:p>
    <w:p w14:paraId="097CC7CD" w14:textId="59522196" w:rsidR="00351D58" w:rsidRPr="00EA55D0" w:rsidRDefault="00FC2063" w:rsidP="002070AD">
      <w:r w:rsidRPr="00EA55D0">
        <w:t>It should be noted that this is a point in time snapshot</w:t>
      </w:r>
      <w:r w:rsidR="00846E4D" w:rsidRPr="00EA55D0">
        <w:t xml:space="preserve">, </w:t>
      </w:r>
      <w:r w:rsidR="00BF5F6E" w:rsidRPr="00EA55D0">
        <w:t>with</w:t>
      </w:r>
      <w:r w:rsidR="00846E4D" w:rsidRPr="00EA55D0">
        <w:t xml:space="preserve"> providers </w:t>
      </w:r>
      <w:r w:rsidR="00BF5F6E" w:rsidRPr="00EA55D0">
        <w:t>only required to report</w:t>
      </w:r>
      <w:r w:rsidR="002D0D97" w:rsidRPr="00EA55D0">
        <w:t xml:space="preserve"> </w:t>
      </w:r>
      <w:r w:rsidR="00846E4D" w:rsidRPr="00EA55D0">
        <w:t xml:space="preserve">the total number of </w:t>
      </w:r>
      <w:r w:rsidR="002D0D97" w:rsidRPr="00EA55D0">
        <w:t xml:space="preserve">residents </w:t>
      </w:r>
      <w:r w:rsidR="00D14B8A" w:rsidRPr="00EA55D0">
        <w:t xml:space="preserve">in their home </w:t>
      </w:r>
      <w:r w:rsidR="002D0D97" w:rsidRPr="00EA55D0">
        <w:t>paying these fees</w:t>
      </w:r>
      <w:r w:rsidR="00D14B8A" w:rsidRPr="00EA55D0">
        <w:t>,</w:t>
      </w:r>
      <w:r w:rsidR="002D0D97" w:rsidRPr="00EA55D0">
        <w:t xml:space="preserve"> as at </w:t>
      </w:r>
      <w:r w:rsidR="00605249" w:rsidRPr="00EA55D0">
        <w:t>the end of the financial year</w:t>
      </w:r>
      <w:r w:rsidR="4A440A79" w:rsidRPr="00EA55D0">
        <w:t xml:space="preserve"> (30 June 2026)</w:t>
      </w:r>
      <w:r w:rsidR="2B0C5EAB" w:rsidRPr="00EA55D0">
        <w:t>.</w:t>
      </w:r>
    </w:p>
    <w:p w14:paraId="16C70A30" w14:textId="6CDEB5BB" w:rsidR="007D20DF" w:rsidRPr="00EA55D0" w:rsidRDefault="00CC2BE2" w:rsidP="00E333F2">
      <w:pPr>
        <w:pStyle w:val="Heading2"/>
      </w:pPr>
      <w:r w:rsidRPr="00EA55D0">
        <w:t xml:space="preserve">What should be included in </w:t>
      </w:r>
      <w:r w:rsidR="00441D2E" w:rsidRPr="00EA55D0">
        <w:t>Higher Everyday Living Fees/Additional Service Fees/Extra Service Fees - staffing costs (non-agency)?</w:t>
      </w:r>
    </w:p>
    <w:p w14:paraId="4B5F5CEE" w14:textId="4E024DFB" w:rsidR="009F24B7" w:rsidRPr="00EA55D0" w:rsidRDefault="009F24B7" w:rsidP="002070AD">
      <w:r w:rsidRPr="00EA55D0">
        <w:t>This expense item covers internal staff who are providing higher everyday living/extra services/additional services and proportioning costs (at the provider</w:t>
      </w:r>
      <w:r w:rsidR="000B0C1F" w:rsidRPr="00EA55D0">
        <w:t>’</w:t>
      </w:r>
      <w:r w:rsidRPr="00EA55D0">
        <w:t>s discretion). Some examples for proportioning these expenses may include:</w:t>
      </w:r>
    </w:p>
    <w:p w14:paraId="54CA6A79" w14:textId="77777777" w:rsidR="0081081D" w:rsidRDefault="009F24B7" w:rsidP="00E333F2">
      <w:pPr>
        <w:pStyle w:val="ListNumber"/>
        <w:numPr>
          <w:ilvl w:val="0"/>
          <w:numId w:val="56"/>
        </w:numPr>
      </w:pPr>
      <w:r w:rsidRPr="00EA55D0">
        <w:t>Kitchen staffing costs</w:t>
      </w:r>
    </w:p>
    <w:p w14:paraId="28706630" w14:textId="08BDAE19" w:rsidR="0081081D" w:rsidRDefault="009F24B7" w:rsidP="00F32566">
      <w:r w:rsidRPr="00F32566">
        <w:t xml:space="preserve">Your home may have 40% of residents paying Higher Everyday </w:t>
      </w:r>
      <w:r w:rsidR="00796BAF" w:rsidRPr="00F32566">
        <w:t>L</w:t>
      </w:r>
      <w:r w:rsidRPr="00F32566">
        <w:t xml:space="preserve">iving/Additional/Extra Service fees for enhanced meal options. Therefore, this portion of the staffing costs could then be attributed to this expense line item, with </w:t>
      </w:r>
      <w:r w:rsidRPr="00F32566">
        <w:lastRenderedPageBreak/>
        <w:t xml:space="preserve">the remaining costs attributed to ‘Hotel Services Expense -Catering Expense: Employee and Agency labour </w:t>
      </w:r>
      <w:proofErr w:type="gramStart"/>
      <w:r w:rsidRPr="00F32566">
        <w:t>costs’</w:t>
      </w:r>
      <w:proofErr w:type="gramEnd"/>
      <w:r w:rsidRPr="00F32566">
        <w:t>.</w:t>
      </w:r>
    </w:p>
    <w:p w14:paraId="40542D56" w14:textId="77777777" w:rsidR="0081081D" w:rsidRDefault="009F24B7" w:rsidP="00E333F2">
      <w:pPr>
        <w:pStyle w:val="ListNumber"/>
      </w:pPr>
      <w:r w:rsidRPr="00EA55D0">
        <w:t>Two care workers who take residents on a weekly 4-hour outing</w:t>
      </w:r>
    </w:p>
    <w:p w14:paraId="3DDB2838" w14:textId="59A23EE8" w:rsidR="009F24B7" w:rsidRPr="00F32566" w:rsidRDefault="009F24B7" w:rsidP="00F32566">
      <w:r w:rsidRPr="00F32566">
        <w:t>Your home has a care worker who takes residents on a weekly 4-hour outing, specifically offered to those residents who are paying Higher Everyday Living/Additional/Extra Service fees. This portion of staffing costs could then be attributed to this expense line item, with the remaining staffing expenses reported at ‘Labour Worked Hours – Direct Care’ items.</w:t>
      </w:r>
    </w:p>
    <w:p w14:paraId="65C0682B" w14:textId="4A5C4E77" w:rsidR="009F24B7" w:rsidRPr="00EA55D0" w:rsidRDefault="00CB106D" w:rsidP="00E333F2">
      <w:pPr>
        <w:pStyle w:val="Heading2"/>
      </w:pPr>
      <w:r w:rsidRPr="00EA55D0">
        <w:t>How should we report</w:t>
      </w:r>
      <w:r w:rsidR="00CC40FC" w:rsidRPr="00EA55D0">
        <w:t xml:space="preserve"> Higher Everyday Living Fees/Additional Service Fees/Extra Service Fees - consumables and contracting</w:t>
      </w:r>
      <w:r w:rsidRPr="00EA55D0">
        <w:t>?</w:t>
      </w:r>
    </w:p>
    <w:p w14:paraId="27AA9B46" w14:textId="77777777" w:rsidR="00D268B3" w:rsidRDefault="00FA33FE" w:rsidP="002070AD">
      <w:r w:rsidRPr="00EA55D0">
        <w:t>Providers should include the cost of all consumables supplied proportioned as they relate to the delivery of Higher Everyday Living, Extra Services and Additional Services (at the provider</w:t>
      </w:r>
      <w:r w:rsidR="000B0C1F" w:rsidRPr="00EA55D0">
        <w:t>’</w:t>
      </w:r>
      <w:r w:rsidRPr="00EA55D0">
        <w:t>s discretion).</w:t>
      </w:r>
    </w:p>
    <w:p w14:paraId="4D10B85D" w14:textId="0FE6E34C" w:rsidR="00D268B3" w:rsidRDefault="00FA33FE" w:rsidP="002070AD">
      <w:r w:rsidRPr="00EA55D0">
        <w:t xml:space="preserve">This expense item covers instances where an aged care home has sub-contracted a third party to deliver services that relate to the offering of optional lifestyle services (Higher Everyday Living/Additional/Extra Services). For example, where a home has </w:t>
      </w:r>
      <w:proofErr w:type="gramStart"/>
      <w:r w:rsidRPr="00EA55D0">
        <w:t>entered into</w:t>
      </w:r>
      <w:proofErr w:type="gramEnd"/>
      <w:r w:rsidRPr="00EA55D0">
        <w:t xml:space="preserve"> a contract for an external entity to:</w:t>
      </w:r>
    </w:p>
    <w:p w14:paraId="60909AD6" w14:textId="77777777" w:rsidR="00D268B3" w:rsidRDefault="00FA33FE" w:rsidP="00E333F2">
      <w:pPr>
        <w:pStyle w:val="ListBullet"/>
      </w:pPr>
      <w:r w:rsidRPr="00EA55D0">
        <w:t>deliver yoga classes</w:t>
      </w:r>
    </w:p>
    <w:p w14:paraId="3E87D6FD" w14:textId="77777777" w:rsidR="00D268B3" w:rsidRDefault="00FA33FE" w:rsidP="00E333F2">
      <w:pPr>
        <w:pStyle w:val="ListBullet"/>
      </w:pPr>
      <w:r w:rsidRPr="00EA55D0">
        <w:t>provide a newspaper service</w:t>
      </w:r>
    </w:p>
    <w:p w14:paraId="6C6A32DA" w14:textId="6E9D0230" w:rsidR="00D268B3" w:rsidRPr="00EA55D0" w:rsidRDefault="00FA33FE" w:rsidP="00E333F2">
      <w:pPr>
        <w:pStyle w:val="ListBullet"/>
      </w:pPr>
      <w:r w:rsidRPr="00EA55D0">
        <w:t>provide TV streaming services</w:t>
      </w:r>
    </w:p>
    <w:p w14:paraId="6D1CEF6A" w14:textId="27BDA2C5" w:rsidR="000F2225" w:rsidRPr="00EA55D0" w:rsidRDefault="000F2225" w:rsidP="00D268B3">
      <w:pPr>
        <w:pStyle w:val="SubjectHeading"/>
      </w:pPr>
      <w:r w:rsidRPr="00EA55D0">
        <w:t>Care minutes performance statement</w:t>
      </w:r>
    </w:p>
    <w:p w14:paraId="0A19AAB3" w14:textId="01544B70" w:rsidR="000F2225" w:rsidRPr="00EA55D0" w:rsidRDefault="000F2225" w:rsidP="00E333F2">
      <w:pPr>
        <w:pStyle w:val="Heading2"/>
      </w:pPr>
      <w:r w:rsidRPr="00EA55D0">
        <w:t xml:space="preserve">Will any funding be available for providers to pay for an external auditor to audit the care minutes performance statement? </w:t>
      </w:r>
    </w:p>
    <w:p w14:paraId="1F14BFEA" w14:textId="0F9FAB13" w:rsidR="00B1597F" w:rsidRPr="00E333F2" w:rsidRDefault="000F2225" w:rsidP="00E333F2">
      <w:r w:rsidRPr="00E333F2">
        <w:t>It is expected that the external audit will be an additional cost</w:t>
      </w:r>
      <w:r w:rsidR="009A03D7" w:rsidRPr="00E333F2">
        <w:t xml:space="preserve"> for a provider</w:t>
      </w:r>
      <w:r w:rsidRPr="00E333F2">
        <w:t xml:space="preserve">. </w:t>
      </w:r>
      <w:r w:rsidR="00CA01BD" w:rsidRPr="00E333F2">
        <w:t xml:space="preserve">The cost of the external audit should be </w:t>
      </w:r>
      <w:r w:rsidRPr="00E333F2">
        <w:t xml:space="preserve">captured in </w:t>
      </w:r>
      <w:r w:rsidR="00D852D1" w:rsidRPr="00E333F2">
        <w:t>‘Other Administration Costs’</w:t>
      </w:r>
      <w:r w:rsidR="00961C46" w:rsidRPr="00E333F2">
        <w:t>.</w:t>
      </w:r>
      <w:r w:rsidRPr="00E333F2">
        <w:t xml:space="preserve"> </w:t>
      </w:r>
      <w:r w:rsidR="00186AE8" w:rsidRPr="00E333F2">
        <w:t xml:space="preserve"> </w:t>
      </w:r>
      <w:r w:rsidR="00220ECA" w:rsidRPr="00E333F2">
        <w:t xml:space="preserve">Administration costs </w:t>
      </w:r>
      <w:r w:rsidR="00C525E7" w:rsidRPr="00E333F2">
        <w:t xml:space="preserve">are </w:t>
      </w:r>
      <w:proofErr w:type="gramStart"/>
      <w:r w:rsidR="00251AC3" w:rsidRPr="00E333F2">
        <w:t>taken into account</w:t>
      </w:r>
      <w:proofErr w:type="gramEnd"/>
      <w:r w:rsidR="00251AC3" w:rsidRPr="00E333F2">
        <w:t xml:space="preserve"> when </w:t>
      </w:r>
      <w:r w:rsidR="000C5355" w:rsidRPr="00E333F2">
        <w:t xml:space="preserve">determining </w:t>
      </w:r>
      <w:r w:rsidR="00112C4F" w:rsidRPr="00E333F2">
        <w:t xml:space="preserve">funding for providers. </w:t>
      </w:r>
    </w:p>
    <w:p w14:paraId="06D3EA5A" w14:textId="6FD0C8BF" w:rsidR="000F2225" w:rsidRPr="00F7087C" w:rsidRDefault="000F2225" w:rsidP="00E333F2">
      <w:pPr>
        <w:pStyle w:val="Heading2"/>
      </w:pPr>
      <w:r w:rsidRPr="00F7087C">
        <w:t>Is this new requirement quarterly or only annual?</w:t>
      </w:r>
    </w:p>
    <w:p w14:paraId="3D966B40" w14:textId="7F788F61" w:rsidR="000F2225" w:rsidRPr="001F3525" w:rsidRDefault="009C212A" w:rsidP="001F3525">
      <w:r w:rsidRPr="001F3525">
        <w:t xml:space="preserve">An external </w:t>
      </w:r>
      <w:r w:rsidR="000F2225" w:rsidRPr="001F3525">
        <w:t xml:space="preserve">audit </w:t>
      </w:r>
      <w:r w:rsidRPr="001F3525">
        <w:t xml:space="preserve">of the care minutes performance statement is only required </w:t>
      </w:r>
      <w:r w:rsidR="000F2225" w:rsidRPr="001F3525">
        <w:t xml:space="preserve">annually. </w:t>
      </w:r>
    </w:p>
    <w:p w14:paraId="041EF3A5" w14:textId="6BCA1B72" w:rsidR="000F2225" w:rsidRPr="00EA55D0" w:rsidRDefault="000F2225" w:rsidP="00E333F2">
      <w:pPr>
        <w:pStyle w:val="Heading2"/>
      </w:pPr>
      <w:r w:rsidRPr="00EA55D0">
        <w:t>Will care time reporting assessments still occur?</w:t>
      </w:r>
    </w:p>
    <w:p w14:paraId="66ABB4A8" w14:textId="6674EF75" w:rsidR="000F2225" w:rsidRPr="001F3525" w:rsidRDefault="000F2225" w:rsidP="001F3525">
      <w:r w:rsidRPr="001F3525">
        <w:t xml:space="preserve">Care </w:t>
      </w:r>
      <w:r w:rsidR="00946CEB" w:rsidRPr="001F3525">
        <w:t>t</w:t>
      </w:r>
      <w:r w:rsidRPr="001F3525">
        <w:t xml:space="preserve">ime </w:t>
      </w:r>
      <w:r w:rsidR="00946CEB" w:rsidRPr="001F3525">
        <w:t>r</w:t>
      </w:r>
      <w:r w:rsidRPr="001F3525">
        <w:t xml:space="preserve">eporting </w:t>
      </w:r>
      <w:r w:rsidR="00946CEB" w:rsidRPr="001F3525">
        <w:t>a</w:t>
      </w:r>
      <w:r w:rsidRPr="001F3525">
        <w:t xml:space="preserve">ssessments </w:t>
      </w:r>
      <w:r w:rsidR="00946CEB" w:rsidRPr="001F3525">
        <w:t xml:space="preserve">conducted by the department </w:t>
      </w:r>
      <w:r w:rsidRPr="001F3525">
        <w:t xml:space="preserve">will still occur, with less frequency. Previously, the </w:t>
      </w:r>
      <w:r w:rsidR="001A6728" w:rsidRPr="001F3525">
        <w:t>d</w:t>
      </w:r>
      <w:r w:rsidRPr="001F3525">
        <w:t xml:space="preserve">epartment committed to all services being audited every </w:t>
      </w:r>
      <w:r w:rsidR="00DA0141" w:rsidRPr="001F3525">
        <w:t>three</w:t>
      </w:r>
      <w:r w:rsidRPr="001F3525">
        <w:t xml:space="preserve"> years, or 33% coverage. </w:t>
      </w:r>
      <w:r w:rsidR="00422712" w:rsidRPr="001F3525">
        <w:t xml:space="preserve">In future, </w:t>
      </w:r>
      <w:r w:rsidRPr="001F3525">
        <w:t>reporting assessments will only be conducted over 10% of services each year.</w:t>
      </w:r>
    </w:p>
    <w:p w14:paraId="4BA4C704" w14:textId="6DD225AC" w:rsidR="000F2225" w:rsidRPr="006D27F3" w:rsidRDefault="000F2225" w:rsidP="00E333F2">
      <w:pPr>
        <w:pStyle w:val="Heading2"/>
      </w:pPr>
      <w:r w:rsidRPr="006D27F3">
        <w:lastRenderedPageBreak/>
        <w:t xml:space="preserve">Do these additional reporting and audit requirements relate to all </w:t>
      </w:r>
      <w:r w:rsidR="00237BE1" w:rsidRPr="006D27F3">
        <w:t>p</w:t>
      </w:r>
      <w:r w:rsidRPr="006D27F3">
        <w:t>roviders or only MM1?</w:t>
      </w:r>
    </w:p>
    <w:p w14:paraId="743DDF0F" w14:textId="2A6AF6E0" w:rsidR="000F2225" w:rsidRPr="001F3525" w:rsidRDefault="000F2225" w:rsidP="001F3525">
      <w:r w:rsidRPr="001F3525">
        <w:t>All residential aged care providers will be required to complete the Care Minute</w:t>
      </w:r>
      <w:r w:rsidR="00EB6C5B" w:rsidRPr="001F3525">
        <w:t>s</w:t>
      </w:r>
      <w:r w:rsidRPr="001F3525">
        <w:t xml:space="preserve"> Performance Statement and obtain an external audit over it.</w:t>
      </w:r>
    </w:p>
    <w:p w14:paraId="054C7D7C" w14:textId="11DA772C" w:rsidR="000F2225" w:rsidRPr="00EA55D0" w:rsidRDefault="000F2225" w:rsidP="00E333F2">
      <w:pPr>
        <w:pStyle w:val="Heading2"/>
      </w:pPr>
      <w:r w:rsidRPr="00EA55D0">
        <w:t xml:space="preserve">Will the </w:t>
      </w:r>
      <w:r w:rsidR="00AF7C94" w:rsidRPr="00EA55D0">
        <w:t>Department</w:t>
      </w:r>
      <w:r w:rsidRPr="00EA55D0">
        <w:t xml:space="preserve"> be advising of approved auditors for these statements?</w:t>
      </w:r>
    </w:p>
    <w:p w14:paraId="014B336A" w14:textId="77777777" w:rsidR="000F2225" w:rsidRPr="001D34A1" w:rsidRDefault="000F2225" w:rsidP="001D34A1">
      <w:r w:rsidRPr="001D34A1">
        <w:t>All registered company auditors, including those currently engaged to perform your financial statement audit, are allowed to complete the audit.</w:t>
      </w:r>
    </w:p>
    <w:p w14:paraId="4542C54D" w14:textId="11B725D7" w:rsidR="000F2225" w:rsidRPr="00EA55D0" w:rsidRDefault="008C3860" w:rsidP="00E333F2">
      <w:pPr>
        <w:pStyle w:val="Heading2"/>
      </w:pPr>
      <w:r w:rsidRPr="00EA55D0">
        <w:t xml:space="preserve">Why do I have to </w:t>
      </w:r>
      <w:r w:rsidR="008E28BE" w:rsidRPr="00EA55D0">
        <w:t>re</w:t>
      </w:r>
      <w:r w:rsidRPr="00EA55D0">
        <w:t xml:space="preserve">submit </w:t>
      </w:r>
      <w:r w:rsidR="008F342F" w:rsidRPr="00EA55D0">
        <w:t>care minutes</w:t>
      </w:r>
      <w:r w:rsidR="004C4E48" w:rsidRPr="00EA55D0">
        <w:t xml:space="preserve"> and </w:t>
      </w:r>
      <w:r w:rsidR="00827F9D" w:rsidRPr="00EA55D0">
        <w:t>Registered Nurse</w:t>
      </w:r>
      <w:r w:rsidR="008F342F" w:rsidRPr="00EA55D0">
        <w:t xml:space="preserve"> data that has already been</w:t>
      </w:r>
      <w:r w:rsidR="00506455" w:rsidRPr="00EA55D0">
        <w:t xml:space="preserve"> report</w:t>
      </w:r>
      <w:r w:rsidR="002A61BB" w:rsidRPr="00EA55D0">
        <w:t>ed</w:t>
      </w:r>
      <w:r w:rsidR="00506455" w:rsidRPr="00EA55D0">
        <w:t xml:space="preserve"> in the QFR a</w:t>
      </w:r>
      <w:r w:rsidR="004C4E48" w:rsidRPr="00EA55D0">
        <w:t xml:space="preserve">nd </w:t>
      </w:r>
      <w:r w:rsidR="00DF238B" w:rsidRPr="00EA55D0">
        <w:t>24/7</w:t>
      </w:r>
      <w:r w:rsidR="008F342F" w:rsidRPr="00EA55D0">
        <w:t xml:space="preserve"> </w:t>
      </w:r>
      <w:r w:rsidR="00827F9D" w:rsidRPr="00EA55D0">
        <w:t xml:space="preserve">reporting? </w:t>
      </w:r>
    </w:p>
    <w:p w14:paraId="6F901138" w14:textId="2FD57647" w:rsidR="001D34A1" w:rsidRPr="001D34A1" w:rsidRDefault="000F2225" w:rsidP="00E333F2">
      <w:pPr>
        <w:pStyle w:val="ListBullet"/>
      </w:pPr>
      <w:r w:rsidRPr="001D34A1">
        <w:t xml:space="preserve">The </w:t>
      </w:r>
      <w:r w:rsidR="00F41E70" w:rsidRPr="001D34A1">
        <w:t>care minutes</w:t>
      </w:r>
      <w:r w:rsidR="00AC799F" w:rsidRPr="001D34A1">
        <w:t xml:space="preserve"> and </w:t>
      </w:r>
      <w:r w:rsidR="007E0B82" w:rsidRPr="001D34A1">
        <w:t>Registered Nurse data</w:t>
      </w:r>
      <w:r w:rsidR="002A61BB" w:rsidRPr="001D34A1">
        <w:t xml:space="preserve"> </w:t>
      </w:r>
      <w:r w:rsidR="00C22EE3" w:rsidRPr="001D34A1">
        <w:t>needs to be</w:t>
      </w:r>
      <w:r w:rsidR="003A62AE" w:rsidRPr="001D34A1">
        <w:t xml:space="preserve"> </w:t>
      </w:r>
      <w:r w:rsidR="000001EF" w:rsidRPr="001D34A1">
        <w:t xml:space="preserve">aggregated into </w:t>
      </w:r>
      <w:r w:rsidR="005119BF" w:rsidRPr="001D34A1">
        <w:t xml:space="preserve">the one </w:t>
      </w:r>
      <w:r w:rsidRPr="001D34A1">
        <w:t>Care Minute</w:t>
      </w:r>
      <w:r w:rsidR="00EB6C5B" w:rsidRPr="001D34A1">
        <w:t>s</w:t>
      </w:r>
      <w:r w:rsidRPr="001D34A1">
        <w:t xml:space="preserve"> Performance Statement</w:t>
      </w:r>
      <w:r w:rsidR="00CC606A" w:rsidRPr="001D34A1">
        <w:t xml:space="preserve"> </w:t>
      </w:r>
      <w:r w:rsidR="00FF7C8C" w:rsidRPr="001D34A1">
        <w:t xml:space="preserve">to enable </w:t>
      </w:r>
      <w:r w:rsidR="00514948" w:rsidRPr="001D34A1">
        <w:t>the external aud</w:t>
      </w:r>
      <w:r w:rsidR="00710E73" w:rsidRPr="001D34A1">
        <w:t>itor</w:t>
      </w:r>
      <w:r w:rsidRPr="001D34A1">
        <w:t xml:space="preserve"> </w:t>
      </w:r>
      <w:r w:rsidR="00DD2E64" w:rsidRPr="001D34A1">
        <w:t>to provide one audit opinion</w:t>
      </w:r>
      <w:r w:rsidR="00502BC0" w:rsidRPr="001D34A1">
        <w:t xml:space="preserve"> ab</w:t>
      </w:r>
      <w:r w:rsidR="003E3132" w:rsidRPr="001D34A1">
        <w:t xml:space="preserve">out </w:t>
      </w:r>
      <w:proofErr w:type="gramStart"/>
      <w:r w:rsidR="003E3132" w:rsidRPr="001D34A1">
        <w:t>all of</w:t>
      </w:r>
      <w:proofErr w:type="gramEnd"/>
      <w:r w:rsidR="003E3132" w:rsidRPr="001D34A1">
        <w:t xml:space="preserve"> the</w:t>
      </w:r>
      <w:r w:rsidR="00502BC0" w:rsidRPr="001D34A1">
        <w:t xml:space="preserve"> data. </w:t>
      </w:r>
      <w:r w:rsidRPr="001D34A1">
        <w:br/>
      </w:r>
      <w:r w:rsidR="00B05710" w:rsidRPr="001D34A1">
        <w:t xml:space="preserve">If the </w:t>
      </w:r>
      <w:r w:rsidR="00312704" w:rsidRPr="001D34A1">
        <w:t xml:space="preserve">Care </w:t>
      </w:r>
      <w:r w:rsidRPr="001D34A1">
        <w:t>Minute</w:t>
      </w:r>
      <w:r w:rsidR="00EB6C5B" w:rsidRPr="001D34A1">
        <w:t>s</w:t>
      </w:r>
      <w:r w:rsidRPr="001D34A1">
        <w:t xml:space="preserve"> Performance Statement</w:t>
      </w:r>
      <w:r w:rsidR="00B05710" w:rsidRPr="001D34A1">
        <w:t xml:space="preserve"> was not introduced</w:t>
      </w:r>
      <w:r w:rsidRPr="001D34A1">
        <w:t xml:space="preserve">, </w:t>
      </w:r>
      <w:r w:rsidR="00AF6441" w:rsidRPr="001D34A1">
        <w:t>separate audit opinions would need to be sought on each of the four QFRs</w:t>
      </w:r>
      <w:r w:rsidR="009D7D15" w:rsidRPr="001D34A1">
        <w:t xml:space="preserve"> </w:t>
      </w:r>
      <w:r w:rsidR="00712521" w:rsidRPr="001D34A1">
        <w:t>plus</w:t>
      </w:r>
      <w:r w:rsidR="009D7D15" w:rsidRPr="001D34A1">
        <w:t xml:space="preserve"> 24/7</w:t>
      </w:r>
      <w:r w:rsidR="00BF140A" w:rsidRPr="001D34A1">
        <w:t xml:space="preserve"> reporting</w:t>
      </w:r>
      <w:r w:rsidR="004E2A50" w:rsidRPr="001D34A1">
        <w:t xml:space="preserve"> which would increase audit fees. </w:t>
      </w:r>
    </w:p>
    <w:p w14:paraId="2C30DE6E" w14:textId="3673FB96" w:rsidR="000F2225" w:rsidRPr="00E333F2" w:rsidRDefault="00426CA9" w:rsidP="00E333F2">
      <w:pPr>
        <w:pStyle w:val="ListBullet"/>
      </w:pPr>
      <w:r w:rsidRPr="001D34A1">
        <w:t>As the ACFR is on a different IT platform to the QFR and 24/7 reporting</w:t>
      </w:r>
      <w:r w:rsidR="00906EB8" w:rsidRPr="001D34A1">
        <w:t xml:space="preserve">, </w:t>
      </w:r>
      <w:r w:rsidR="00367109" w:rsidRPr="001D34A1">
        <w:t xml:space="preserve">the department is not able to pre-populate the Care </w:t>
      </w:r>
      <w:r w:rsidR="0023631E" w:rsidRPr="001D34A1">
        <w:t>Minutes</w:t>
      </w:r>
      <w:r w:rsidR="00367109" w:rsidRPr="001D34A1">
        <w:t xml:space="preserve"> Performance Statement with data that has previously been reported.</w:t>
      </w:r>
    </w:p>
    <w:p w14:paraId="04630A9E" w14:textId="6AEB2708" w:rsidR="000B7045" w:rsidRPr="00EA55D0" w:rsidRDefault="000B7045" w:rsidP="00643D3F">
      <w:pPr>
        <w:pStyle w:val="Heading1"/>
      </w:pPr>
      <w:bookmarkStart w:id="58" w:name="_Toc209774717"/>
      <w:r w:rsidRPr="00EA55D0">
        <w:t xml:space="preserve">Short-Term Restorative Care </w:t>
      </w:r>
      <w:bookmarkEnd w:id="56"/>
      <w:bookmarkEnd w:id="57"/>
      <w:r w:rsidR="001735BE" w:rsidRPr="00EA55D0">
        <w:t>reporting</w:t>
      </w:r>
      <w:bookmarkEnd w:id="58"/>
    </w:p>
    <w:p w14:paraId="100E23F1" w14:textId="56C6F632" w:rsidR="005D78E0" w:rsidRPr="00EA55D0" w:rsidRDefault="005D78E0" w:rsidP="00ED3ABB">
      <w:pPr>
        <w:pStyle w:val="Heading2"/>
      </w:pPr>
      <w:r w:rsidRPr="00EA55D0">
        <w:t xml:space="preserve">Information about STRC </w:t>
      </w:r>
      <w:r w:rsidR="00A32B1B" w:rsidRPr="00EA55D0">
        <w:t>pre-1 November 2025</w:t>
      </w:r>
    </w:p>
    <w:p w14:paraId="669B086B" w14:textId="0BD5158F" w:rsidR="000B7045" w:rsidRPr="00EA55D0" w:rsidRDefault="007C0718" w:rsidP="000B7045">
      <w:pPr>
        <w:rPr>
          <w:b/>
          <w:bCs/>
        </w:rPr>
      </w:pPr>
      <w:r>
        <w:t xml:space="preserve">The </w:t>
      </w:r>
      <w:r w:rsidR="000B7045" w:rsidRPr="00EA55D0">
        <w:t>Short-Term Restorative Care (STRC)</w:t>
      </w:r>
      <w:r>
        <w:t xml:space="preserve"> Programme</w:t>
      </w:r>
      <w:r w:rsidR="000B7045" w:rsidRPr="00EA55D0">
        <w:t xml:space="preserve"> is a type of flexible care under the Aged Care Act 1997 that aims to reverse and/or slow ‘functional decline’ in older people and improve their wellbeing. STRC places were first allocated in February 2017.</w:t>
      </w:r>
      <w:r w:rsidR="00250723" w:rsidRPr="00EA55D0">
        <w:t xml:space="preserve"> </w:t>
      </w:r>
    </w:p>
    <w:p w14:paraId="649ED37A" w14:textId="77777777" w:rsidR="000B7045" w:rsidRPr="00EA55D0" w:rsidRDefault="000B7045" w:rsidP="000B7045">
      <w:pPr>
        <w:rPr>
          <w:b/>
          <w:bCs/>
        </w:rPr>
      </w:pPr>
      <w:r w:rsidRPr="00EA55D0">
        <w:t xml:space="preserve">All STRC places were allocated with conditions of allocation requiring the submission of financial reports. This requirement is reflected in Section 35(8) of the Accountability Principles 2014. The ACFR is the approved form through which these obligations are to be met. </w:t>
      </w:r>
    </w:p>
    <w:p w14:paraId="3C23CAA9" w14:textId="653953C8" w:rsidR="000B7045" w:rsidRPr="00EA55D0" w:rsidRDefault="000B7045" w:rsidP="000B7045">
      <w:pPr>
        <w:rPr>
          <w:b/>
          <w:bCs/>
        </w:rPr>
      </w:pPr>
      <w:r w:rsidRPr="00EA55D0">
        <w:t>If a provider operates two or more STRC services, their ACFR must cover all services in a single report.</w:t>
      </w:r>
    </w:p>
    <w:p w14:paraId="37AEF6B1" w14:textId="77777777" w:rsidR="00302E7B" w:rsidRPr="00EA55D0" w:rsidRDefault="00302E7B" w:rsidP="00ED3ABB">
      <w:pPr>
        <w:pStyle w:val="Heading2"/>
      </w:pPr>
      <w:r w:rsidRPr="00EA55D0">
        <w:lastRenderedPageBreak/>
        <w:t>Approach to reporting from 1 November 2025</w:t>
      </w:r>
    </w:p>
    <w:p w14:paraId="4E3AC256" w14:textId="706C33F6" w:rsidR="00302E7B" w:rsidRPr="00EA55D0" w:rsidRDefault="00302E7B" w:rsidP="00302E7B">
      <w:pPr>
        <w:rPr>
          <w:rFonts w:eastAsiaTheme="minorHAnsi" w:cs="Arial"/>
        </w:rPr>
      </w:pPr>
      <w:r w:rsidRPr="00EA55D0">
        <w:rPr>
          <w:rFonts w:eastAsiaTheme="minorHAnsi" w:cs="Arial"/>
        </w:rPr>
        <w:t xml:space="preserve">From 1 November 2025, </w:t>
      </w:r>
      <w:r w:rsidR="00245A3B">
        <w:rPr>
          <w:rFonts w:eastAsiaTheme="minorHAnsi" w:cs="Arial"/>
        </w:rPr>
        <w:t xml:space="preserve">the </w:t>
      </w:r>
      <w:r w:rsidRPr="00EA55D0">
        <w:rPr>
          <w:rFonts w:eastAsiaTheme="minorHAnsi" w:cs="Arial"/>
        </w:rPr>
        <w:t xml:space="preserve">Short-Term Restorative Care (STRC) Programme will transition to the new Support at Home program. STRC providers who delivered services up until 31 October 2025, must report income and expenses in “STRC Income and Expenditure Statement” in the ACFR 2025-26. </w:t>
      </w:r>
    </w:p>
    <w:p w14:paraId="3F3E3582" w14:textId="77777777" w:rsidR="00302E7B" w:rsidRPr="00EA55D0" w:rsidRDefault="00302E7B" w:rsidP="00302E7B">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717CFDB5" w14:textId="4C20B540" w:rsidR="00D55EFE" w:rsidRPr="00E333F2" w:rsidRDefault="00302E7B" w:rsidP="00E333F2">
      <w:r w:rsidRPr="00EA55D0">
        <w:rPr>
          <w:rFonts w:eastAsiaTheme="minorHAnsi" w:cs="Arial"/>
        </w:rPr>
        <w:t xml:space="preserve">Providers will need to attribute income and expenses received or incurred to the relevant program. </w:t>
      </w:r>
    </w:p>
    <w:p w14:paraId="4F716870" w14:textId="3625C058" w:rsidR="00D55EFE" w:rsidRPr="00EA55D0" w:rsidRDefault="00E55CBA" w:rsidP="00245A3B">
      <w:pPr>
        <w:pStyle w:val="Heading1"/>
      </w:pPr>
      <w:bookmarkStart w:id="59" w:name="_Toc184198010"/>
      <w:bookmarkStart w:id="60" w:name="_Toc199761945"/>
      <w:bookmarkStart w:id="61" w:name="_Toc209774718"/>
      <w:r w:rsidRPr="00EA55D0">
        <w:t>Home Care Packages Program</w:t>
      </w:r>
      <w:r w:rsidR="004F5E95" w:rsidRPr="00EA55D0">
        <w:t xml:space="preserve"> and </w:t>
      </w:r>
      <w:r w:rsidR="00D55EFE" w:rsidRPr="00EA55D0">
        <w:t>Support at Home</w:t>
      </w:r>
      <w:r w:rsidR="00BF35DD" w:rsidRPr="00EA55D0">
        <w:t xml:space="preserve"> program</w:t>
      </w:r>
      <w:r w:rsidR="00D55EFE" w:rsidRPr="00EA55D0">
        <w:t xml:space="preserve"> </w:t>
      </w:r>
      <w:bookmarkEnd w:id="59"/>
      <w:bookmarkEnd w:id="60"/>
      <w:r w:rsidR="004D0E7A" w:rsidRPr="00EA55D0">
        <w:t>reporting</w:t>
      </w:r>
      <w:bookmarkEnd w:id="61"/>
    </w:p>
    <w:p w14:paraId="096143A2" w14:textId="77777777" w:rsidR="004F5E95" w:rsidRPr="00EA55D0" w:rsidRDefault="004F5E95" w:rsidP="00ED3ABB">
      <w:pPr>
        <w:pStyle w:val="Heading2"/>
      </w:pPr>
      <w:bookmarkStart w:id="62" w:name="_Toc209622224"/>
      <w:r w:rsidRPr="00EA55D0">
        <w:t>Approach to reporting from 1 November 2025</w:t>
      </w:r>
      <w:bookmarkEnd w:id="62"/>
    </w:p>
    <w:p w14:paraId="5647BAA8" w14:textId="1955405E" w:rsidR="00E21853" w:rsidRPr="00EA55D0" w:rsidRDefault="00E21853" w:rsidP="00E21853">
      <w:pPr>
        <w:rPr>
          <w:rFonts w:eastAsiaTheme="minorHAnsi" w:cs="Arial"/>
        </w:rPr>
      </w:pPr>
      <w:r w:rsidRPr="00EA55D0">
        <w:rPr>
          <w:rFonts w:eastAsiaTheme="minorHAnsi" w:cs="Arial"/>
        </w:rPr>
        <w:t xml:space="preserve">From 1 November 2025, </w:t>
      </w:r>
      <w:r w:rsidR="002A28D2" w:rsidRPr="00EA55D0">
        <w:rPr>
          <w:rFonts w:eastAsiaTheme="minorHAnsi" w:cs="Arial"/>
        </w:rPr>
        <w:t xml:space="preserve">providers delivering the </w:t>
      </w:r>
      <w:r w:rsidRPr="00EA55D0">
        <w:rPr>
          <w:rFonts w:eastAsiaTheme="minorHAnsi" w:cs="Arial"/>
        </w:rPr>
        <w:t xml:space="preserve">Home Care </w:t>
      </w:r>
      <w:r w:rsidR="002A28D2" w:rsidRPr="00EA55D0">
        <w:rPr>
          <w:rFonts w:eastAsiaTheme="minorHAnsi" w:cs="Arial"/>
        </w:rPr>
        <w:t xml:space="preserve">Packages </w:t>
      </w:r>
      <w:r w:rsidR="003E234E" w:rsidRPr="00EA55D0">
        <w:rPr>
          <w:rFonts w:eastAsiaTheme="minorHAnsi" w:cs="Arial"/>
        </w:rPr>
        <w:t xml:space="preserve">Program </w:t>
      </w:r>
      <w:r w:rsidRPr="00EA55D0">
        <w:rPr>
          <w:rFonts w:eastAsiaTheme="minorHAnsi" w:cs="Arial"/>
        </w:rPr>
        <w:t xml:space="preserve">will transition to the new Support at Home program. </w:t>
      </w:r>
      <w:r w:rsidR="003E234E" w:rsidRPr="00EA55D0">
        <w:rPr>
          <w:rFonts w:eastAsiaTheme="minorHAnsi" w:cs="Arial"/>
        </w:rPr>
        <w:t>Home Care</w:t>
      </w:r>
      <w:r w:rsidRPr="00EA55D0">
        <w:rPr>
          <w:rFonts w:eastAsiaTheme="minorHAnsi" w:cs="Arial"/>
        </w:rPr>
        <w:t xml:space="preserve"> providers who delivered services up until 31 October 2025, must report income and expenses in</w:t>
      </w:r>
      <w:r w:rsidR="00827C02" w:rsidRPr="00EA55D0">
        <w:rPr>
          <w:rFonts w:eastAsiaTheme="minorHAnsi" w:cs="Arial"/>
        </w:rPr>
        <w:t xml:space="preserve"> the</w:t>
      </w:r>
      <w:r w:rsidRPr="00EA55D0">
        <w:rPr>
          <w:rFonts w:eastAsiaTheme="minorHAnsi" w:cs="Arial"/>
        </w:rPr>
        <w:t xml:space="preserve"> “</w:t>
      </w:r>
      <w:r w:rsidR="003E234E" w:rsidRPr="00EA55D0">
        <w:rPr>
          <w:rFonts w:eastAsiaTheme="minorHAnsi" w:cs="Arial"/>
        </w:rPr>
        <w:t>Home Care</w:t>
      </w:r>
      <w:r w:rsidRPr="00EA55D0">
        <w:rPr>
          <w:rFonts w:eastAsiaTheme="minorHAnsi" w:cs="Arial"/>
        </w:rPr>
        <w:t xml:space="preserve"> Income and Expenditure Statement” in the ACFR 2025-26. </w:t>
      </w:r>
    </w:p>
    <w:p w14:paraId="18D098B9" w14:textId="77777777" w:rsidR="00E21853" w:rsidRPr="00EA55D0" w:rsidRDefault="00E21853" w:rsidP="00E21853">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5811C3B4" w14:textId="20B608E6" w:rsidR="00245A3B" w:rsidRPr="00EA55D0" w:rsidRDefault="00E21853" w:rsidP="00E333F2">
      <w:r w:rsidRPr="00EA55D0">
        <w:rPr>
          <w:rFonts w:eastAsiaTheme="minorHAnsi" w:cs="Arial"/>
        </w:rPr>
        <w:t xml:space="preserve">Providers will need to attribute income and expenses received or incurred to the relevant program. </w:t>
      </w:r>
      <w:r w:rsidR="00AE1528" w:rsidRPr="00EA55D0">
        <w:t xml:space="preserve">Please refer to the data definitions on the </w:t>
      </w:r>
      <w:hyperlink r:id="rId35" w:history="1">
        <w:r w:rsidR="00AE1528" w:rsidRPr="00EA55D0">
          <w:rPr>
            <w:color w:val="2AB1BB" w:themeColor="hyperlink"/>
            <w:u w:val="single"/>
          </w:rPr>
          <w:t>department’s website</w:t>
        </w:r>
      </w:hyperlink>
      <w:r w:rsidR="00AE1528" w:rsidRPr="00EA55D0">
        <w:t xml:space="preserve"> before completing the </w:t>
      </w:r>
      <w:r w:rsidR="005A6E34" w:rsidRPr="00EA55D0">
        <w:t>H</w:t>
      </w:r>
      <w:r w:rsidR="00AE1528" w:rsidRPr="00EA55D0">
        <w:t xml:space="preserve">ome </w:t>
      </w:r>
      <w:r w:rsidR="005A6E34" w:rsidRPr="00EA55D0">
        <w:t>C</w:t>
      </w:r>
      <w:r w:rsidR="00AE1528" w:rsidRPr="00EA55D0">
        <w:t>are and Support at Home sections of the ACFR.</w:t>
      </w:r>
    </w:p>
    <w:p w14:paraId="4887C8DA" w14:textId="01B4498A" w:rsidR="00273896" w:rsidRPr="00EA55D0" w:rsidRDefault="00273896" w:rsidP="00245A3B">
      <w:pPr>
        <w:pStyle w:val="SubjectHeading"/>
      </w:pPr>
      <w:r w:rsidRPr="00EA55D0">
        <w:t>Home Care</w:t>
      </w:r>
      <w:r w:rsidR="00AB184A" w:rsidRPr="00EA55D0">
        <w:t xml:space="preserve"> Package</w:t>
      </w:r>
      <w:r w:rsidRPr="00EA55D0">
        <w:t xml:space="preserve"> Income and Expenditure Statement</w:t>
      </w:r>
    </w:p>
    <w:p w14:paraId="5684017E" w14:textId="77251211" w:rsidR="00E21CDB" w:rsidRPr="00EA55D0" w:rsidRDefault="00273896" w:rsidP="00273896">
      <w:r w:rsidRPr="00EA55D0">
        <w:t>The Home Care</w:t>
      </w:r>
      <w:r w:rsidR="00AB184A" w:rsidRPr="00EA55D0">
        <w:t xml:space="preserve"> Package</w:t>
      </w:r>
      <w:r w:rsidRPr="00EA55D0">
        <w:t xml:space="preserve"> Income and Expenditure Statement </w:t>
      </w:r>
      <w:r w:rsidR="00A200F5" w:rsidRPr="00EA55D0">
        <w:t>includes</w:t>
      </w:r>
      <w:r w:rsidR="00E21CDB" w:rsidRPr="00EA55D0">
        <w:t>:</w:t>
      </w:r>
    </w:p>
    <w:p w14:paraId="1792318B" w14:textId="160422C7" w:rsidR="00A200F5" w:rsidRPr="00EA55D0" w:rsidRDefault="00A200F5" w:rsidP="00E333F2">
      <w:pPr>
        <w:pStyle w:val="ListBullet"/>
      </w:pPr>
      <w:r w:rsidRPr="00EA55D0">
        <w:t>Income</w:t>
      </w:r>
    </w:p>
    <w:p w14:paraId="7C6E88D9" w14:textId="65FC7C65" w:rsidR="00A200F5" w:rsidRPr="00EA55D0" w:rsidRDefault="00A200F5" w:rsidP="00E333F2">
      <w:pPr>
        <w:pStyle w:val="ListBullet"/>
      </w:pPr>
      <w:r w:rsidRPr="00EA55D0">
        <w:t>Expenses</w:t>
      </w:r>
    </w:p>
    <w:p w14:paraId="1B579140" w14:textId="3C206D40" w:rsidR="00A200F5" w:rsidRPr="00EA55D0" w:rsidRDefault="00D362E8" w:rsidP="00E333F2">
      <w:pPr>
        <w:pStyle w:val="ListBullet"/>
      </w:pPr>
      <w:r w:rsidRPr="00EA55D0">
        <w:t>Labour worked hours</w:t>
      </w:r>
    </w:p>
    <w:p w14:paraId="711F8072" w14:textId="5E335056" w:rsidR="00524D47" w:rsidRPr="00EA55D0" w:rsidRDefault="00524D47" w:rsidP="00E333F2">
      <w:pPr>
        <w:pStyle w:val="ListBullet"/>
      </w:pPr>
      <w:r w:rsidRPr="00EA55D0">
        <w:t>Information from Consolidated Client Statement</w:t>
      </w:r>
    </w:p>
    <w:p w14:paraId="5777452A" w14:textId="52D0D0F0" w:rsidR="00273896" w:rsidRPr="00EA55D0" w:rsidRDefault="00194F4B" w:rsidP="00273896">
      <w:r w:rsidRPr="00EA55D0">
        <w:t>I</w:t>
      </w:r>
      <w:r w:rsidR="00E005C5" w:rsidRPr="00EA55D0">
        <w:t xml:space="preserve">ncome and expenses attributed to the Home Care Packages Program in 2025-26 </w:t>
      </w:r>
      <w:r w:rsidRPr="00EA55D0">
        <w:t xml:space="preserve">is to be </w:t>
      </w:r>
      <w:r w:rsidR="00BD3034" w:rsidRPr="00EA55D0">
        <w:t xml:space="preserve">completed at the total </w:t>
      </w:r>
      <w:r w:rsidR="00F059EB" w:rsidRPr="00EA55D0">
        <w:t xml:space="preserve">program </w:t>
      </w:r>
      <w:r w:rsidR="00BD3034" w:rsidRPr="00EA55D0">
        <w:t>level</w:t>
      </w:r>
      <w:r w:rsidR="00E005C5" w:rsidRPr="00EA55D0">
        <w:t xml:space="preserve">, rather than by </w:t>
      </w:r>
      <w:r w:rsidR="00C67253" w:rsidRPr="00EA55D0">
        <w:t xml:space="preserve">aged care </w:t>
      </w:r>
      <w:r w:rsidR="00E005C5" w:rsidRPr="00EA55D0">
        <w:t>planning region</w:t>
      </w:r>
      <w:r w:rsidR="00273896" w:rsidRPr="00EA55D0">
        <w:t xml:space="preserve">. </w:t>
      </w:r>
    </w:p>
    <w:p w14:paraId="084446BA" w14:textId="7B4EFFBE" w:rsidR="002A6742" w:rsidRPr="00EA55D0" w:rsidRDefault="00273896" w:rsidP="00E333F2">
      <w:r w:rsidRPr="00EA55D0">
        <w:t xml:space="preserve">Providers should not include financial information from other aged care operations such as residential </w:t>
      </w:r>
      <w:r w:rsidR="0053339F" w:rsidRPr="00EA55D0">
        <w:t xml:space="preserve">aged </w:t>
      </w:r>
      <w:r w:rsidRPr="00EA55D0">
        <w:t>care</w:t>
      </w:r>
      <w:r w:rsidR="0053339F" w:rsidRPr="00EA55D0">
        <w:t xml:space="preserve">, </w:t>
      </w:r>
      <w:r w:rsidRPr="00EA55D0">
        <w:t>CHSP services or any non-aged care services (e.g. NDIS) within the ACFR.</w:t>
      </w:r>
    </w:p>
    <w:p w14:paraId="6470AD33" w14:textId="71FC4F30" w:rsidR="002B5C39" w:rsidRPr="00EA55D0" w:rsidRDefault="002B5C39" w:rsidP="002A6742">
      <w:pPr>
        <w:pStyle w:val="SubjectHeading"/>
      </w:pPr>
      <w:r w:rsidRPr="00EA55D0">
        <w:lastRenderedPageBreak/>
        <w:t>Support at Home Income and Expenditure Statement</w:t>
      </w:r>
    </w:p>
    <w:p w14:paraId="06375666" w14:textId="1C01477B" w:rsidR="00D55EFE" w:rsidRPr="00EA55D0" w:rsidRDefault="00D55EFE" w:rsidP="0002565D">
      <w:r w:rsidRPr="00EA55D0">
        <w:t xml:space="preserve">The Support at Home Income and Expenditure Statement </w:t>
      </w:r>
      <w:r w:rsidR="0002565D" w:rsidRPr="00EA55D0">
        <w:t xml:space="preserve">has been </w:t>
      </w:r>
      <w:r w:rsidR="0081450B" w:rsidRPr="00EA55D0">
        <w:t>designed</w:t>
      </w:r>
      <w:r w:rsidR="0002565D" w:rsidRPr="00EA55D0">
        <w:t xml:space="preserve"> to align with the </w:t>
      </w:r>
      <w:r w:rsidR="00C8614E" w:rsidRPr="00EA55D0">
        <w:t>Service List</w:t>
      </w:r>
      <w:r w:rsidR="00100ED1" w:rsidRPr="00EA55D0">
        <w:t xml:space="preserve"> and includes:</w:t>
      </w:r>
    </w:p>
    <w:p w14:paraId="7D6C7D75" w14:textId="26D43B4D" w:rsidR="00100ED1" w:rsidRPr="00EA55D0" w:rsidRDefault="00100ED1" w:rsidP="00E333F2">
      <w:pPr>
        <w:pStyle w:val="ListBullet"/>
      </w:pPr>
      <w:r w:rsidRPr="00EA55D0">
        <w:t>Income</w:t>
      </w:r>
    </w:p>
    <w:p w14:paraId="3E173ED8" w14:textId="3CAEE5D7" w:rsidR="00100ED1" w:rsidRPr="00EA55D0" w:rsidRDefault="00100ED1" w:rsidP="00E333F2">
      <w:pPr>
        <w:pStyle w:val="ListBullet"/>
      </w:pPr>
      <w:r w:rsidRPr="00EA55D0">
        <w:t>Care Expenses</w:t>
      </w:r>
    </w:p>
    <w:p w14:paraId="4AC6AC18" w14:textId="2FAA8DCA" w:rsidR="00100ED1" w:rsidRPr="00EA55D0" w:rsidRDefault="00100ED1" w:rsidP="00E333F2">
      <w:pPr>
        <w:pStyle w:val="ListBullet"/>
      </w:pPr>
      <w:r w:rsidRPr="00EA55D0">
        <w:t xml:space="preserve">Administration and Support Expenses </w:t>
      </w:r>
    </w:p>
    <w:p w14:paraId="2F41D861" w14:textId="2403CEF4" w:rsidR="00C56408" w:rsidRPr="00EA55D0" w:rsidRDefault="00C56408" w:rsidP="00E333F2">
      <w:pPr>
        <w:pStyle w:val="ListBullet"/>
      </w:pPr>
      <w:r w:rsidRPr="00EA55D0">
        <w:t xml:space="preserve">Labour worked hours </w:t>
      </w:r>
    </w:p>
    <w:p w14:paraId="2A3BA3F4" w14:textId="25B95D7A" w:rsidR="00557F1F" w:rsidRPr="00EA55D0" w:rsidRDefault="00557F1F" w:rsidP="00ED3ABB">
      <w:pPr>
        <w:pStyle w:val="Heading2"/>
      </w:pPr>
      <w:bookmarkStart w:id="63" w:name="_Toc209622225"/>
      <w:r w:rsidRPr="00EA55D0">
        <w:t>Income reporting</w:t>
      </w:r>
      <w:bookmarkEnd w:id="63"/>
    </w:p>
    <w:p w14:paraId="142F00E7" w14:textId="77777777" w:rsidR="008F6B0A" w:rsidRPr="00F32566" w:rsidRDefault="008F6B0A" w:rsidP="00F32566">
      <w:pPr>
        <w:pStyle w:val="ListBullet"/>
        <w:rPr>
          <w:rFonts w:eastAsiaTheme="minorHAnsi"/>
        </w:rPr>
      </w:pPr>
      <w:r w:rsidRPr="00F32566">
        <w:rPr>
          <w:rFonts w:eastAsiaTheme="minorHAnsi"/>
        </w:rPr>
        <w:t xml:space="preserve">Income reporting in the ACFR aligns with the Support at Home Service participant contribution categories: </w:t>
      </w:r>
    </w:p>
    <w:p w14:paraId="6A426519" w14:textId="77777777" w:rsidR="008F6B0A" w:rsidRPr="00F32566" w:rsidRDefault="008F6B0A" w:rsidP="00F32566">
      <w:pPr>
        <w:pStyle w:val="ListBullet"/>
        <w:rPr>
          <w:rFonts w:eastAsiaTheme="minorHAnsi"/>
        </w:rPr>
      </w:pPr>
      <w:r w:rsidRPr="00F32566">
        <w:rPr>
          <w:rFonts w:eastAsiaTheme="minorHAnsi"/>
        </w:rPr>
        <w:t>Clinical Support Services</w:t>
      </w:r>
    </w:p>
    <w:p w14:paraId="102D5F5B" w14:textId="77777777" w:rsidR="008F6B0A" w:rsidRPr="00F32566" w:rsidRDefault="008F6B0A" w:rsidP="00F32566">
      <w:pPr>
        <w:pStyle w:val="ListBullet"/>
        <w:rPr>
          <w:rFonts w:eastAsiaTheme="minorHAnsi"/>
        </w:rPr>
      </w:pPr>
      <w:r w:rsidRPr="00F32566">
        <w:rPr>
          <w:rFonts w:eastAsiaTheme="minorHAnsi"/>
        </w:rPr>
        <w:t>Independence Support Services</w:t>
      </w:r>
    </w:p>
    <w:p w14:paraId="37AFCF6B" w14:textId="77777777" w:rsidR="008F6B0A" w:rsidRPr="00F32566" w:rsidRDefault="008F6B0A" w:rsidP="00F32566">
      <w:pPr>
        <w:pStyle w:val="ListBullet"/>
        <w:rPr>
          <w:rFonts w:eastAsiaTheme="minorHAnsi"/>
        </w:rPr>
      </w:pPr>
      <w:r w:rsidRPr="00F32566">
        <w:rPr>
          <w:rFonts w:eastAsiaTheme="minorHAnsi"/>
        </w:rPr>
        <w:t>Everyday Living Services</w:t>
      </w:r>
    </w:p>
    <w:p w14:paraId="6EB51FE6" w14:textId="77777777" w:rsidR="008F6B0A" w:rsidRPr="00F32566" w:rsidRDefault="008F6B0A" w:rsidP="00F32566">
      <w:pPr>
        <w:pStyle w:val="ListBullet"/>
        <w:rPr>
          <w:rFonts w:eastAsiaTheme="minorHAnsi"/>
        </w:rPr>
      </w:pPr>
      <w:r w:rsidRPr="00F32566">
        <w:rPr>
          <w:rFonts w:eastAsiaTheme="minorHAnsi"/>
        </w:rPr>
        <w:t>Restorative Care Pathway</w:t>
      </w:r>
    </w:p>
    <w:p w14:paraId="3595A734" w14:textId="77777777" w:rsidR="008F6B0A" w:rsidRPr="00F32566" w:rsidRDefault="008F6B0A" w:rsidP="00F32566">
      <w:pPr>
        <w:pStyle w:val="ListBullet"/>
        <w:rPr>
          <w:rFonts w:eastAsiaTheme="minorHAnsi"/>
        </w:rPr>
      </w:pPr>
      <w:r w:rsidRPr="00F32566">
        <w:rPr>
          <w:rFonts w:eastAsiaTheme="minorHAnsi"/>
        </w:rPr>
        <w:t>End of Life Pathway</w:t>
      </w:r>
    </w:p>
    <w:p w14:paraId="493C380D" w14:textId="77777777" w:rsidR="008F6B0A" w:rsidRPr="00F32566" w:rsidRDefault="008F6B0A" w:rsidP="00F32566">
      <w:pPr>
        <w:pStyle w:val="ListBullet"/>
        <w:rPr>
          <w:rFonts w:eastAsiaTheme="minorHAnsi"/>
        </w:rPr>
      </w:pPr>
      <w:r w:rsidRPr="00F32566">
        <w:rPr>
          <w:rFonts w:eastAsiaTheme="minorHAnsi"/>
        </w:rPr>
        <w:t xml:space="preserve">Assistive Technology and Home Modifications Scheme. </w:t>
      </w:r>
    </w:p>
    <w:p w14:paraId="681C14BF" w14:textId="77777777" w:rsidR="008F6B0A" w:rsidRPr="00F32566" w:rsidRDefault="00F0516D" w:rsidP="00F32566">
      <w:pPr>
        <w:pStyle w:val="ListBullet"/>
        <w:rPr>
          <w:rFonts w:eastAsiaTheme="minorHAnsi"/>
        </w:rPr>
      </w:pPr>
      <w:r w:rsidRPr="00F32566">
        <w:rPr>
          <w:rFonts w:eastAsiaTheme="minorHAnsi"/>
        </w:rPr>
        <w:t>There is a separate line item for income from Participant Top-ups and private clients.</w:t>
      </w:r>
      <w:r w:rsidR="00CB0A1D" w:rsidRPr="00F32566">
        <w:rPr>
          <w:rFonts w:eastAsiaTheme="minorHAnsi"/>
        </w:rPr>
        <w:t xml:space="preserve"> </w:t>
      </w:r>
    </w:p>
    <w:p w14:paraId="1E201CB6" w14:textId="60423C9C" w:rsidR="00F0516D" w:rsidRPr="00F32566" w:rsidRDefault="00F0516D" w:rsidP="00F32566">
      <w:pPr>
        <w:pStyle w:val="ListBullet"/>
        <w:rPr>
          <w:rFonts w:eastAsiaTheme="minorEastAsia"/>
        </w:rPr>
      </w:pPr>
      <w:r w:rsidRPr="00F32566">
        <w:rPr>
          <w:rFonts w:eastAsiaTheme="minorEastAsia"/>
        </w:rPr>
        <w:t>Grants such as the Support at Home Thin Markets (rural, remote and specialised) are to be reported as Other Income</w:t>
      </w:r>
      <w:r w:rsidR="001D0AAD" w:rsidRPr="00F32566">
        <w:rPr>
          <w:rFonts w:eastAsiaTheme="minorEastAsia"/>
        </w:rPr>
        <w:t>.</w:t>
      </w:r>
      <w:r w:rsidR="005809DB" w:rsidRPr="00F32566">
        <w:rPr>
          <w:rFonts w:eastAsiaTheme="minorEastAsia"/>
        </w:rPr>
        <w:t xml:space="preserve"> </w:t>
      </w:r>
    </w:p>
    <w:p w14:paraId="30589C5B" w14:textId="77777777" w:rsidR="00EC19D3" w:rsidRPr="00F32566" w:rsidRDefault="00EC19D3" w:rsidP="00F32566">
      <w:pPr>
        <w:pStyle w:val="ListBullet"/>
        <w:rPr>
          <w:rFonts w:eastAsiaTheme="minorEastAsia"/>
        </w:rPr>
      </w:pPr>
      <w:r w:rsidRPr="00F32566">
        <w:rPr>
          <w:rFonts w:eastAsiaTheme="minorEastAsia"/>
        </w:rPr>
        <w:t xml:space="preserve">Income reporting is at the total program level, reporting by Aged Care Planning Regions is not required. </w:t>
      </w:r>
    </w:p>
    <w:p w14:paraId="68B38F09" w14:textId="697CBC77" w:rsidR="00F0516D" w:rsidRPr="00EA55D0" w:rsidRDefault="00557F1F" w:rsidP="00ED3ABB">
      <w:pPr>
        <w:pStyle w:val="Heading2"/>
      </w:pPr>
      <w:bookmarkStart w:id="64" w:name="_Toc209622226"/>
      <w:r w:rsidRPr="00EA55D0">
        <w:t>Expense reporting</w:t>
      </w:r>
      <w:bookmarkEnd w:id="64"/>
    </w:p>
    <w:p w14:paraId="4546F716" w14:textId="7520B8AA" w:rsidR="008F69F9" w:rsidRPr="00EA55D0" w:rsidRDefault="008A16A0" w:rsidP="00200F2D">
      <w:r w:rsidRPr="00EA55D0">
        <w:t>The ACFR inc</w:t>
      </w:r>
      <w:r w:rsidR="00940E52" w:rsidRPr="00EA55D0">
        <w:t>l</w:t>
      </w:r>
      <w:r w:rsidRPr="00EA55D0">
        <w:t xml:space="preserve">udes detailed expense reporting for care (including labour and non-labour costs) and administration and support. </w:t>
      </w:r>
      <w:r w:rsidR="00940E52" w:rsidRPr="00EA55D0">
        <w:t>Care</w:t>
      </w:r>
      <w:r w:rsidR="00200F2D" w:rsidRPr="00EA55D0">
        <w:t xml:space="preserve"> expense reporting aligns with the Support at Home Service List. </w:t>
      </w:r>
    </w:p>
    <w:p w14:paraId="73D3636C" w14:textId="77777777" w:rsidR="004D192A" w:rsidRPr="00EA55D0" w:rsidRDefault="004D192A" w:rsidP="004D192A">
      <w:pPr>
        <w:rPr>
          <w:rFonts w:cs="Arial"/>
        </w:rPr>
      </w:pPr>
      <w:r w:rsidRPr="00EA55D0">
        <w:rPr>
          <w:rFonts w:cs="Arial"/>
        </w:rPr>
        <w:t>Labour costs for direct care delivered by employees includes:</w:t>
      </w:r>
    </w:p>
    <w:p w14:paraId="0F9A0A7E" w14:textId="77777777" w:rsidR="004D192A" w:rsidRPr="00EA55D0" w:rsidRDefault="004D192A" w:rsidP="00E333F2">
      <w:pPr>
        <w:pStyle w:val="ListBullet"/>
      </w:pPr>
      <w:r w:rsidRPr="00EA55D0">
        <w:t>Salaries and superannuation for:</w:t>
      </w:r>
    </w:p>
    <w:p w14:paraId="239138C0" w14:textId="77777777" w:rsidR="004D192A" w:rsidRPr="00EA55D0" w:rsidRDefault="004D192A" w:rsidP="00E333F2">
      <w:pPr>
        <w:pStyle w:val="ListBullet2"/>
      </w:pPr>
      <w:r w:rsidRPr="00EA55D0">
        <w:t>Direct care</w:t>
      </w:r>
    </w:p>
    <w:p w14:paraId="153AE157" w14:textId="77777777" w:rsidR="004D192A" w:rsidRPr="00EA55D0" w:rsidRDefault="004D192A" w:rsidP="00E333F2">
      <w:pPr>
        <w:pStyle w:val="ListBullet2"/>
      </w:pPr>
      <w:r w:rsidRPr="00EA55D0">
        <w:t>Staff travel to and from care recipient residences</w:t>
      </w:r>
    </w:p>
    <w:p w14:paraId="0EE373F1" w14:textId="77777777" w:rsidR="004D192A" w:rsidRPr="00EA55D0" w:rsidRDefault="004D192A" w:rsidP="00E333F2">
      <w:pPr>
        <w:pStyle w:val="ListBullet2"/>
      </w:pPr>
      <w:r w:rsidRPr="00EA55D0">
        <w:t>Staff time completing administrative tasks / paperwork before and/or after a care recipient visit</w:t>
      </w:r>
    </w:p>
    <w:p w14:paraId="46E393E8" w14:textId="77777777" w:rsidR="004D192A" w:rsidRPr="00EA55D0" w:rsidRDefault="004D192A" w:rsidP="00E333F2">
      <w:pPr>
        <w:pStyle w:val="ListBullet"/>
      </w:pPr>
      <w:r w:rsidRPr="00EA55D0">
        <w:t>This expense item should also include the payment of following amounts:</w:t>
      </w:r>
    </w:p>
    <w:p w14:paraId="23ADFD54" w14:textId="77777777" w:rsidR="004D192A" w:rsidRPr="00EA55D0" w:rsidRDefault="004D192A" w:rsidP="00E333F2">
      <w:pPr>
        <w:pStyle w:val="ListBullet2"/>
      </w:pPr>
      <w:r w:rsidRPr="00EA55D0">
        <w:t>Bonuses, incentive pay and commissions</w:t>
      </w:r>
    </w:p>
    <w:p w14:paraId="64DC5562" w14:textId="77777777" w:rsidR="004D192A" w:rsidRPr="00EA55D0" w:rsidRDefault="004D192A" w:rsidP="00E333F2">
      <w:pPr>
        <w:pStyle w:val="ListBullet2"/>
      </w:pPr>
      <w:r w:rsidRPr="00EA55D0">
        <w:t>Allowances and reimbursements</w:t>
      </w:r>
    </w:p>
    <w:p w14:paraId="73C47095" w14:textId="77777777" w:rsidR="004D192A" w:rsidRPr="00EA55D0" w:rsidRDefault="004D192A" w:rsidP="00E333F2">
      <w:pPr>
        <w:pStyle w:val="ListBullet2"/>
      </w:pPr>
      <w:r w:rsidRPr="00EA55D0">
        <w:lastRenderedPageBreak/>
        <w:t>Annual leave, long service leave and medical leave</w:t>
      </w:r>
    </w:p>
    <w:p w14:paraId="521FF81E" w14:textId="77777777" w:rsidR="004D192A" w:rsidRPr="00EA55D0" w:rsidRDefault="004D192A" w:rsidP="00E333F2">
      <w:pPr>
        <w:pStyle w:val="ListBullet2"/>
      </w:pPr>
      <w:r w:rsidRPr="00EA55D0">
        <w:t>Leave provisions</w:t>
      </w:r>
    </w:p>
    <w:p w14:paraId="2F7E77A2" w14:textId="77777777" w:rsidR="004D192A" w:rsidRPr="00EA55D0" w:rsidRDefault="004D192A" w:rsidP="00E333F2">
      <w:pPr>
        <w:pStyle w:val="ListBullet2"/>
      </w:pPr>
      <w:r w:rsidRPr="00EA55D0">
        <w:t>Termination payments, retirement payments and leave encashment</w:t>
      </w:r>
    </w:p>
    <w:p w14:paraId="21C04870" w14:textId="77777777" w:rsidR="004D192A" w:rsidRPr="00EA55D0" w:rsidRDefault="004D192A" w:rsidP="00E333F2">
      <w:pPr>
        <w:pStyle w:val="ListBullet2"/>
      </w:pPr>
      <w:r w:rsidRPr="00EA55D0">
        <w:t>Value of Fringe Benefits/salary sacrifice</w:t>
      </w:r>
    </w:p>
    <w:p w14:paraId="68A7A835" w14:textId="77777777" w:rsidR="004D192A" w:rsidRPr="00EA55D0" w:rsidRDefault="004D192A" w:rsidP="00E333F2">
      <w:pPr>
        <w:pStyle w:val="ListBullet2"/>
      </w:pPr>
      <w:r w:rsidRPr="00EA55D0">
        <w:t>Uniforms and/or laundry reimbursements</w:t>
      </w:r>
    </w:p>
    <w:p w14:paraId="02ECE9F3" w14:textId="77777777" w:rsidR="004D192A" w:rsidRPr="00EA55D0" w:rsidRDefault="004D192A" w:rsidP="00E333F2">
      <w:pPr>
        <w:pStyle w:val="ListBullet2"/>
      </w:pPr>
      <w:r w:rsidRPr="00EA55D0">
        <w:t>Staff training.</w:t>
      </w:r>
    </w:p>
    <w:p w14:paraId="55D7C9F2" w14:textId="77777777" w:rsidR="004D192A" w:rsidRPr="00EA55D0" w:rsidRDefault="004D192A" w:rsidP="004D192A">
      <w:pPr>
        <w:rPr>
          <w:rFonts w:cs="Arial"/>
        </w:rPr>
      </w:pPr>
      <w:r w:rsidRPr="00EA55D0">
        <w:rPr>
          <w:rFonts w:cs="Arial"/>
        </w:rPr>
        <w:t>Do not include staff amenities, staff recruitment, agency staff, workers compensation premiums or payroll tax.</w:t>
      </w:r>
    </w:p>
    <w:p w14:paraId="606C3646" w14:textId="2A580B9B" w:rsidR="00160880" w:rsidRPr="00EA55D0" w:rsidRDefault="00200F2D" w:rsidP="00200F2D">
      <w:r w:rsidRPr="00EA55D0">
        <w:rPr>
          <w:rFonts w:eastAsiaTheme="minorHAnsi"/>
        </w:rPr>
        <w:t xml:space="preserve">There is a new expense item for “Employee superannuation and on-costs” under </w:t>
      </w:r>
      <w:r w:rsidR="00686EBC" w:rsidRPr="00EA55D0">
        <w:t>“</w:t>
      </w:r>
      <w:r w:rsidRPr="00EA55D0">
        <w:rPr>
          <w:rFonts w:eastAsiaTheme="minorHAnsi"/>
        </w:rPr>
        <w:t>Administration and Support</w:t>
      </w:r>
      <w:r w:rsidR="00686EBC" w:rsidRPr="00EA55D0">
        <w:t>”</w:t>
      </w:r>
      <w:r w:rsidRPr="00EA55D0">
        <w:t>.</w:t>
      </w:r>
      <w:r w:rsidR="001A7337" w:rsidRPr="00EA55D0">
        <w:t xml:space="preserve"> </w:t>
      </w:r>
    </w:p>
    <w:p w14:paraId="5BCB2524" w14:textId="77777777" w:rsidR="002C2462" w:rsidRPr="00EA55D0" w:rsidRDefault="00200F2D" w:rsidP="00200F2D">
      <w:r w:rsidRPr="00EA55D0">
        <w:t xml:space="preserve">There is a new expense item under </w:t>
      </w:r>
      <w:r w:rsidR="00686EBC" w:rsidRPr="00EA55D0">
        <w:t>“</w:t>
      </w:r>
      <w:r w:rsidRPr="00EA55D0">
        <w:t>Other expenses</w:t>
      </w:r>
      <w:r w:rsidR="00686EBC" w:rsidRPr="00EA55D0">
        <w:t>”</w:t>
      </w:r>
      <w:r w:rsidRPr="00EA55D0">
        <w:t xml:space="preserve"> for “Participant top-ups and private clients”.</w:t>
      </w:r>
      <w:r w:rsidR="001A7337" w:rsidRPr="00EA55D0">
        <w:t xml:space="preserve"> </w:t>
      </w:r>
    </w:p>
    <w:p w14:paraId="7F320602" w14:textId="45CC2DC5" w:rsidR="00200F2D" w:rsidRPr="00EA55D0" w:rsidRDefault="00200F2D" w:rsidP="00200F2D">
      <w:r w:rsidRPr="00EA55D0">
        <w:t>Care management labour costs are to be split by those undertaken by clinical staff and those undertaken by non-clinical staff.</w:t>
      </w:r>
    </w:p>
    <w:p w14:paraId="3D1D70E4" w14:textId="17F9D0CC" w:rsidR="00200F2D" w:rsidRPr="00EA55D0" w:rsidRDefault="00200F2D" w:rsidP="00200F2D">
      <w:r w:rsidRPr="00EA55D0">
        <w:t xml:space="preserve">More granular reporting of allied health expense items is required </w:t>
      </w:r>
      <w:r w:rsidR="008A6659" w:rsidRPr="00EA55D0">
        <w:t>for</w:t>
      </w:r>
      <w:r w:rsidRPr="00EA55D0">
        <w:t xml:space="preserve"> six categories:</w:t>
      </w:r>
    </w:p>
    <w:p w14:paraId="2D809F8A" w14:textId="77777777" w:rsidR="00200F2D" w:rsidRPr="00F32566" w:rsidRDefault="00200F2D" w:rsidP="00F32566">
      <w:pPr>
        <w:pStyle w:val="ListBullet"/>
        <w:rPr>
          <w:rFonts w:eastAsiaTheme="minorHAnsi"/>
        </w:rPr>
      </w:pPr>
      <w:r w:rsidRPr="00F32566">
        <w:rPr>
          <w:rFonts w:eastAsiaTheme="minorHAnsi"/>
        </w:rPr>
        <w:t>Physiotherapist</w:t>
      </w:r>
    </w:p>
    <w:p w14:paraId="3A753A43" w14:textId="77777777" w:rsidR="00200F2D" w:rsidRPr="00F32566" w:rsidRDefault="00200F2D" w:rsidP="00F32566">
      <w:pPr>
        <w:pStyle w:val="ListBullet"/>
        <w:rPr>
          <w:rFonts w:eastAsiaTheme="minorHAnsi"/>
        </w:rPr>
      </w:pPr>
      <w:r w:rsidRPr="00F32566">
        <w:rPr>
          <w:rFonts w:eastAsiaTheme="minorHAnsi"/>
        </w:rPr>
        <w:t>Occupational therapist</w:t>
      </w:r>
    </w:p>
    <w:p w14:paraId="3E4900F8" w14:textId="77777777" w:rsidR="00200F2D" w:rsidRPr="00F32566" w:rsidRDefault="00200F2D" w:rsidP="00F32566">
      <w:pPr>
        <w:pStyle w:val="ListBullet"/>
        <w:rPr>
          <w:rFonts w:eastAsiaTheme="minorHAnsi"/>
        </w:rPr>
      </w:pPr>
      <w:r w:rsidRPr="00F32566">
        <w:rPr>
          <w:rFonts w:eastAsiaTheme="minorHAnsi"/>
        </w:rPr>
        <w:t>Speech pathologist</w:t>
      </w:r>
    </w:p>
    <w:p w14:paraId="11B701C3" w14:textId="77777777" w:rsidR="00200F2D" w:rsidRPr="00F32566" w:rsidRDefault="00200F2D" w:rsidP="00F32566">
      <w:pPr>
        <w:pStyle w:val="ListBullet"/>
        <w:rPr>
          <w:rFonts w:eastAsiaTheme="minorHAnsi"/>
        </w:rPr>
      </w:pPr>
      <w:r w:rsidRPr="00F32566">
        <w:rPr>
          <w:rFonts w:eastAsiaTheme="minorHAnsi"/>
        </w:rPr>
        <w:t>Podiatrist</w:t>
      </w:r>
    </w:p>
    <w:p w14:paraId="34CB5D3F" w14:textId="77777777" w:rsidR="00200F2D" w:rsidRPr="00F32566" w:rsidRDefault="00200F2D" w:rsidP="00F32566">
      <w:pPr>
        <w:pStyle w:val="ListBullet"/>
        <w:rPr>
          <w:rFonts w:eastAsiaTheme="minorHAnsi"/>
        </w:rPr>
      </w:pPr>
      <w:r w:rsidRPr="00F32566">
        <w:rPr>
          <w:rFonts w:eastAsiaTheme="minorHAnsi"/>
        </w:rPr>
        <w:t>Dietic are</w:t>
      </w:r>
    </w:p>
    <w:p w14:paraId="78C517B2" w14:textId="77777777" w:rsidR="00200F2D" w:rsidRPr="00E333F2" w:rsidRDefault="00200F2D" w:rsidP="00E333F2">
      <w:pPr>
        <w:pStyle w:val="ListBullet"/>
      </w:pPr>
      <w:r w:rsidRPr="00E333F2">
        <w:rPr>
          <w:rFonts w:eastAsiaTheme="minorHAnsi"/>
        </w:rPr>
        <w:t>Other allied health</w:t>
      </w:r>
    </w:p>
    <w:p w14:paraId="154E0196" w14:textId="7D37E6BF" w:rsidR="00C279D6" w:rsidRPr="00EA55D0" w:rsidRDefault="00C56408" w:rsidP="00ED3ABB">
      <w:pPr>
        <w:pStyle w:val="Heading2"/>
      </w:pPr>
      <w:bookmarkStart w:id="65" w:name="_Toc209622227"/>
      <w:r w:rsidRPr="00EA55D0">
        <w:t xml:space="preserve">Labour </w:t>
      </w:r>
      <w:r w:rsidR="000D58E2" w:rsidRPr="00EA55D0">
        <w:t>Hours reporting</w:t>
      </w:r>
      <w:bookmarkEnd w:id="65"/>
    </w:p>
    <w:p w14:paraId="0C297178" w14:textId="77777777" w:rsidR="004D68C1" w:rsidRPr="00F32566" w:rsidRDefault="004D68C1" w:rsidP="00F32566">
      <w:pPr>
        <w:pStyle w:val="ListBullet"/>
        <w:rPr>
          <w:rFonts w:eastAsiaTheme="minorHAnsi"/>
        </w:rPr>
      </w:pPr>
      <w:r w:rsidRPr="00F32566">
        <w:rPr>
          <w:rFonts w:eastAsiaTheme="minorHAnsi"/>
        </w:rPr>
        <w:t>Labour hours reporting includes direct care, care management, administration and support and non-worked hours.</w:t>
      </w:r>
    </w:p>
    <w:p w14:paraId="2CF2AE5C" w14:textId="77777777" w:rsidR="004D68C1" w:rsidRPr="00F32566" w:rsidRDefault="004D68C1" w:rsidP="00F32566">
      <w:pPr>
        <w:pStyle w:val="ListBullet"/>
        <w:rPr>
          <w:rFonts w:eastAsiaTheme="minorHAnsi"/>
        </w:rPr>
      </w:pPr>
      <w:r w:rsidRPr="00F32566">
        <w:rPr>
          <w:rFonts w:eastAsiaTheme="minorHAnsi"/>
        </w:rPr>
        <w:t>Labour hours reporting for direct care is aligned to the Support at Home Service List. This reporting is only for internal direct care – employee care staff and is not required for agency or brokered care staff.</w:t>
      </w:r>
    </w:p>
    <w:p w14:paraId="7517C7E0" w14:textId="77777777" w:rsidR="004D68C1" w:rsidRPr="00F32566" w:rsidRDefault="004D68C1" w:rsidP="00F32566">
      <w:pPr>
        <w:pStyle w:val="ListBullet"/>
        <w:rPr>
          <w:rFonts w:eastAsiaTheme="minorHAnsi"/>
        </w:rPr>
      </w:pPr>
      <w:r w:rsidRPr="00F32566">
        <w:rPr>
          <w:rFonts w:eastAsiaTheme="minorHAnsi"/>
        </w:rPr>
        <w:t>Care management labour hours are to be split by those undertaken by clinical staff and those undertaken by non-clinical staff.</w:t>
      </w:r>
    </w:p>
    <w:p w14:paraId="2C5BCF04" w14:textId="77777777" w:rsidR="004D68C1" w:rsidRPr="00F32566" w:rsidRDefault="004D68C1" w:rsidP="00F32566">
      <w:pPr>
        <w:pStyle w:val="ListBullet"/>
        <w:rPr>
          <w:rFonts w:eastAsiaTheme="minorHAnsi"/>
        </w:rPr>
      </w:pPr>
      <w:r w:rsidRPr="00F32566">
        <w:rPr>
          <w:rFonts w:eastAsiaTheme="minorHAnsi"/>
        </w:rPr>
        <w:t xml:space="preserve">Non-worked hours reporting is only for internal direct care – employee care staff for leave and training. </w:t>
      </w:r>
    </w:p>
    <w:p w14:paraId="5BD665B0" w14:textId="77777777" w:rsidR="00C06FCD" w:rsidRPr="00EA55D0" w:rsidRDefault="00C06FCD" w:rsidP="00ED3ABB">
      <w:pPr>
        <w:pStyle w:val="Heading2"/>
        <w:rPr>
          <w:rFonts w:eastAsiaTheme="minorHAnsi"/>
        </w:rPr>
      </w:pPr>
      <w:bookmarkStart w:id="66" w:name="_Toc209622228"/>
      <w:r w:rsidRPr="00EA55D0">
        <w:rPr>
          <w:rFonts w:eastAsiaTheme="minorHAnsi"/>
        </w:rPr>
        <w:t>Difference in financial reporting for Support at Home in QFR and ACFR</w:t>
      </w:r>
      <w:bookmarkEnd w:id="66"/>
    </w:p>
    <w:p w14:paraId="4B080B25" w14:textId="77777777" w:rsidR="00C06FCD" w:rsidRPr="00F32566" w:rsidRDefault="00C06FCD" w:rsidP="00F32566">
      <w:pPr>
        <w:pStyle w:val="ListBullet"/>
      </w:pPr>
      <w:r w:rsidRPr="00F32566">
        <w:rPr>
          <w:rFonts w:eastAsiaTheme="minorHAnsi"/>
        </w:rPr>
        <w:t xml:space="preserve">There are differences in the way that providers of Support at Home will report their financial information in the QFR and ACFR in 2025-26. </w:t>
      </w:r>
    </w:p>
    <w:p w14:paraId="6F535C3F" w14:textId="77777777" w:rsidR="001533BD" w:rsidRPr="00F32566" w:rsidRDefault="001533BD" w:rsidP="00F32566">
      <w:pPr>
        <w:pStyle w:val="ListBullet"/>
        <w:rPr>
          <w:rFonts w:eastAsiaTheme="minorHAnsi"/>
        </w:rPr>
      </w:pPr>
      <w:r w:rsidRPr="00F32566">
        <w:rPr>
          <w:rFonts w:eastAsiaTheme="minorHAnsi"/>
        </w:rPr>
        <w:lastRenderedPageBreak/>
        <w:t xml:space="preserve">The new “Support at Home Income and Expenditure Statement” in the ACFR has been designed to align income and expense reporting with the Support at Home Service List categories. </w:t>
      </w:r>
    </w:p>
    <w:p w14:paraId="0EA06E19" w14:textId="77777777" w:rsidR="00C06FCD" w:rsidRPr="00F32566" w:rsidRDefault="00C06FCD" w:rsidP="00F32566">
      <w:pPr>
        <w:pStyle w:val="ListBullet"/>
      </w:pPr>
      <w:r w:rsidRPr="00F32566">
        <w:rPr>
          <w:rFonts w:eastAsiaTheme="minorHAnsi"/>
        </w:rPr>
        <w:t>The QFR for 2025-26 will continue to reflect labour cost reporting by worker type, which has been used for Home Care Packages reporting. Reporting by Aged Care Planning Regions and labour hours ha</w:t>
      </w:r>
      <w:r w:rsidRPr="00F32566">
        <w:t xml:space="preserve">s been removed. </w:t>
      </w:r>
      <w:r w:rsidRPr="00F32566">
        <w:rPr>
          <w:rFonts w:eastAsiaTheme="minorHAnsi"/>
        </w:rPr>
        <w:t xml:space="preserve">The QFR labour costs </w:t>
      </w:r>
      <w:r w:rsidRPr="00F32566">
        <w:rPr>
          <w:rFonts w:eastAsia="Calibri"/>
        </w:rPr>
        <w:t>definitions have been updated to align reporting to the Support at Home service list.</w:t>
      </w:r>
    </w:p>
    <w:p w14:paraId="638CA115" w14:textId="77777777" w:rsidR="00C06FCD" w:rsidRPr="00F32566" w:rsidRDefault="00C06FCD" w:rsidP="00F32566">
      <w:pPr>
        <w:pStyle w:val="ListBullet"/>
        <w:rPr>
          <w:rFonts w:eastAsiaTheme="minorHAnsi"/>
        </w:rPr>
      </w:pPr>
      <w:r w:rsidRPr="00F32566">
        <w:rPr>
          <w:rFonts w:eastAsiaTheme="minorHAnsi"/>
        </w:rPr>
        <w:t xml:space="preserve">An example of the structure of the QFR Quarter 2 Support at Home Labour Costs form and ACFR Support at Home Income and Expenditure Statement can be found below. </w:t>
      </w:r>
    </w:p>
    <w:p w14:paraId="5459D892" w14:textId="77777777" w:rsidR="00F80A09" w:rsidRPr="00F32566" w:rsidRDefault="00F80A09" w:rsidP="00F32566">
      <w:pPr>
        <w:pStyle w:val="ListBullet"/>
        <w:rPr>
          <w:rFonts w:eastAsiaTheme="minorHAnsi"/>
        </w:rPr>
      </w:pPr>
      <w:r w:rsidRPr="00F32566">
        <w:rPr>
          <w:rFonts w:eastAsiaTheme="minorHAnsi"/>
        </w:rPr>
        <w:t xml:space="preserve">There are differences in what costs are included in the definition of labour costs in the QFR vs the ACFR. See below for an example of Support at Home labour costs and hours reporting QFR vs ACFR </w:t>
      </w:r>
    </w:p>
    <w:p w14:paraId="250C7B92" w14:textId="77777777" w:rsidR="00C06FCD" w:rsidRPr="00F32566" w:rsidRDefault="00C06FCD" w:rsidP="00F32566">
      <w:pPr>
        <w:pStyle w:val="ListBullet"/>
        <w:rPr>
          <w:rFonts w:eastAsiaTheme="minorHAnsi"/>
        </w:rPr>
      </w:pPr>
      <w:r w:rsidRPr="00F32566">
        <w:rPr>
          <w:rFonts w:eastAsiaTheme="minorHAnsi"/>
        </w:rPr>
        <w:t xml:space="preserve">You are encouraged to review the QFR and ACFR non-uploadable templates in more detail, which are available on the department’s webpage. </w:t>
      </w:r>
    </w:p>
    <w:p w14:paraId="6AED5AD1" w14:textId="77777777" w:rsidR="00C06FCD" w:rsidRPr="00EA55D0" w:rsidRDefault="00C06FCD" w:rsidP="00F32566">
      <w:pPr>
        <w:pStyle w:val="ListBullet"/>
        <w:rPr>
          <w:rFonts w:eastAsiaTheme="minorHAnsi"/>
        </w:rPr>
      </w:pPr>
      <w:r w:rsidRPr="00F32566">
        <w:rPr>
          <w:rFonts w:eastAsiaTheme="minorHAnsi"/>
        </w:rPr>
        <w:t>In future financial years, financial reporting for providers of Support at Home will be aligned</w:t>
      </w:r>
      <w:r w:rsidRPr="00EA55D0">
        <w:rPr>
          <w:rFonts w:eastAsiaTheme="minorHAnsi"/>
        </w:rPr>
        <w:t xml:space="preserve"> between the two reports. </w:t>
      </w:r>
    </w:p>
    <w:p w14:paraId="21986854" w14:textId="77777777" w:rsidR="007F2FD3" w:rsidRPr="00F32566" w:rsidRDefault="007F2FD3" w:rsidP="00F32566">
      <w:pPr>
        <w:rPr>
          <w:rFonts w:eastAsiaTheme="minorHAnsi"/>
        </w:rPr>
      </w:pPr>
    </w:p>
    <w:p w14:paraId="49316932" w14:textId="77777777" w:rsidR="00225A05" w:rsidRPr="00F32566" w:rsidRDefault="00225A05" w:rsidP="00F32566">
      <w:pPr>
        <w:rPr>
          <w:rFonts w:eastAsiaTheme="minorHAnsi"/>
        </w:rPr>
        <w:sectPr w:rsidR="00225A05" w:rsidRPr="00F32566" w:rsidSect="007F7A3F">
          <w:headerReference w:type="even" r:id="rId36"/>
          <w:footerReference w:type="even" r:id="rId37"/>
          <w:pgSz w:w="11910" w:h="16840"/>
          <w:pgMar w:top="1440" w:right="1440" w:bottom="1440" w:left="1440" w:header="567" w:footer="806" w:gutter="0"/>
          <w:cols w:space="720"/>
          <w:docGrid w:linePitch="326"/>
        </w:sectPr>
      </w:pPr>
    </w:p>
    <w:p w14:paraId="770335B2" w14:textId="5821A0B7" w:rsidR="0073167D" w:rsidRPr="00EA55D0" w:rsidRDefault="007877DB" w:rsidP="002A6742">
      <w:pPr>
        <w:pStyle w:val="TableTitle"/>
      </w:pPr>
      <w:r w:rsidRPr="00EA55D0">
        <w:lastRenderedPageBreak/>
        <w:t>Example: D</w:t>
      </w:r>
      <w:r w:rsidR="0073167D" w:rsidRPr="00EA55D0">
        <w:t>ifference in expense reporting in QFR and ACFR for Support at Home</w:t>
      </w:r>
    </w:p>
    <w:tbl>
      <w:tblPr>
        <w:tblStyle w:val="TableGrid"/>
        <w:tblW w:w="15735" w:type="dxa"/>
        <w:tblInd w:w="-998" w:type="dxa"/>
        <w:tblLook w:val="04A0" w:firstRow="1" w:lastRow="0" w:firstColumn="1" w:lastColumn="0" w:noHBand="0" w:noVBand="1"/>
      </w:tblPr>
      <w:tblGrid>
        <w:gridCol w:w="7449"/>
        <w:gridCol w:w="8286"/>
      </w:tblGrid>
      <w:tr w:rsidR="00212623" w:rsidRPr="00EA55D0" w14:paraId="1E537373" w14:textId="77777777" w:rsidTr="002A6742">
        <w:trPr>
          <w:cnfStyle w:val="100000000000" w:firstRow="1" w:lastRow="0" w:firstColumn="0" w:lastColumn="0" w:oddVBand="0" w:evenVBand="0" w:oddHBand="0" w:evenHBand="0" w:firstRowFirstColumn="0" w:firstRowLastColumn="0" w:lastRowFirstColumn="0" w:lastRowLastColumn="0"/>
          <w:trHeight w:val="806"/>
        </w:trPr>
        <w:tc>
          <w:tcPr>
            <w:tcW w:w="7449" w:type="dxa"/>
          </w:tcPr>
          <w:p w14:paraId="19B1ED6C" w14:textId="0042A465" w:rsidR="00212623" w:rsidRPr="00F32566" w:rsidRDefault="00212623" w:rsidP="00F32566">
            <w:pPr>
              <w:rPr>
                <w:rStyle w:val="Strong"/>
              </w:rPr>
            </w:pPr>
            <w:r w:rsidRPr="00F32566">
              <w:rPr>
                <w:rStyle w:val="Strong"/>
              </w:rPr>
              <w:t>QFR</w:t>
            </w:r>
            <w:r w:rsidR="005A50DF" w:rsidRPr="00F32566">
              <w:rPr>
                <w:rStyle w:val="Strong"/>
              </w:rPr>
              <w:t xml:space="preserve"> </w:t>
            </w:r>
            <w:proofErr w:type="spellStart"/>
            <w:r w:rsidR="005A50DF" w:rsidRPr="00F32566">
              <w:rPr>
                <w:rStyle w:val="Strong"/>
              </w:rPr>
              <w:t>Qtr</w:t>
            </w:r>
            <w:proofErr w:type="spellEnd"/>
            <w:r w:rsidR="005A50DF" w:rsidRPr="00F32566">
              <w:rPr>
                <w:rStyle w:val="Strong"/>
              </w:rPr>
              <w:t xml:space="preserve"> 2 Support at Home Labour costs</w:t>
            </w:r>
          </w:p>
        </w:tc>
        <w:tc>
          <w:tcPr>
            <w:tcW w:w="8286" w:type="dxa"/>
          </w:tcPr>
          <w:p w14:paraId="59EE1975" w14:textId="5D0377CD" w:rsidR="00212623" w:rsidRPr="00F32566" w:rsidRDefault="00212623" w:rsidP="00F32566">
            <w:pPr>
              <w:rPr>
                <w:rStyle w:val="Strong"/>
              </w:rPr>
            </w:pPr>
            <w:r w:rsidRPr="00F32566">
              <w:rPr>
                <w:rStyle w:val="Strong"/>
              </w:rPr>
              <w:t>ACFR</w:t>
            </w:r>
            <w:r w:rsidR="005A50DF" w:rsidRPr="00F32566">
              <w:rPr>
                <w:rStyle w:val="Strong"/>
              </w:rPr>
              <w:t xml:space="preserve"> Support at Home Income and Expenditure Statement</w:t>
            </w:r>
          </w:p>
        </w:tc>
      </w:tr>
      <w:tr w:rsidR="00212623" w:rsidRPr="00EA55D0" w14:paraId="00C2F2CA" w14:textId="77777777" w:rsidTr="002A6742">
        <w:trPr>
          <w:trHeight w:val="5836"/>
        </w:trPr>
        <w:tc>
          <w:tcPr>
            <w:tcW w:w="7449" w:type="dxa"/>
          </w:tcPr>
          <w:p w14:paraId="0280C35F" w14:textId="77777777" w:rsidR="00212623" w:rsidRPr="00F32566" w:rsidRDefault="00212623" w:rsidP="00F32566">
            <w:r w:rsidRPr="00F32566">
              <w:rPr>
                <w:noProof/>
              </w:rPr>
              <w:drawing>
                <wp:inline distT="0" distB="0" distL="0" distR="0" wp14:anchorId="51E8E40E" wp14:editId="6B1D736C">
                  <wp:extent cx="4532244" cy="3475977"/>
                  <wp:effectExtent l="0" t="0" r="1905" b="0"/>
                  <wp:docPr id="78256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3178"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545251" cy="3485953"/>
                          </a:xfrm>
                          <a:prstGeom prst="rect">
                            <a:avLst/>
                          </a:prstGeom>
                        </pic:spPr>
                      </pic:pic>
                    </a:graphicData>
                  </a:graphic>
                </wp:inline>
              </w:drawing>
            </w:r>
          </w:p>
        </w:tc>
        <w:tc>
          <w:tcPr>
            <w:tcW w:w="8286" w:type="dxa"/>
          </w:tcPr>
          <w:p w14:paraId="20D3B6A8" w14:textId="77777777" w:rsidR="00212623" w:rsidRPr="00F32566" w:rsidRDefault="00212623" w:rsidP="00F32566">
            <w:r w:rsidRPr="00F32566">
              <w:rPr>
                <w:noProof/>
              </w:rPr>
              <w:drawing>
                <wp:inline distT="0" distB="0" distL="0" distR="0" wp14:anchorId="07B5C154" wp14:editId="7F4FCB90">
                  <wp:extent cx="5124203" cy="3112770"/>
                  <wp:effectExtent l="0" t="0" r="635" b="0"/>
                  <wp:docPr id="1339589988" name="Picture 1" descr="A screenshot of a list of ser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9988" name="Picture 1" descr="A screenshot of a list of services&#10;&#10;AI-generated content may be incorrect."/>
                          <pic:cNvPicPr/>
                        </pic:nvPicPr>
                        <pic:blipFill rotWithShape="1">
                          <a:blip r:embed="rId39">
                            <a:extLst>
                              <a:ext uri="{28A0092B-C50C-407E-A947-70E740481C1C}">
                                <a14:useLocalDpi xmlns:a14="http://schemas.microsoft.com/office/drawing/2010/main" val="0"/>
                              </a:ext>
                            </a:extLst>
                          </a:blip>
                          <a:srcRect l="1" t="1131" r="561"/>
                          <a:stretch>
                            <a:fillRect/>
                          </a:stretch>
                        </pic:blipFill>
                        <pic:spPr bwMode="auto">
                          <a:xfrm>
                            <a:off x="0" y="0"/>
                            <a:ext cx="5125301" cy="3113437"/>
                          </a:xfrm>
                          <a:prstGeom prst="rect">
                            <a:avLst/>
                          </a:prstGeom>
                          <a:ln>
                            <a:noFill/>
                          </a:ln>
                          <a:extLst>
                            <a:ext uri="{53640926-AAD7-44D8-BBD7-CCE9431645EC}">
                              <a14:shadowObscured xmlns:a14="http://schemas.microsoft.com/office/drawing/2010/main"/>
                            </a:ext>
                          </a:extLst>
                        </pic:spPr>
                      </pic:pic>
                    </a:graphicData>
                  </a:graphic>
                </wp:inline>
              </w:drawing>
            </w:r>
          </w:p>
          <w:p w14:paraId="75D17D5B" w14:textId="77777777" w:rsidR="00212623" w:rsidRPr="00F32566" w:rsidRDefault="00212623" w:rsidP="00F32566">
            <w:r w:rsidRPr="00F32566">
              <w:t>This example is only of independence services.</w:t>
            </w:r>
          </w:p>
        </w:tc>
      </w:tr>
    </w:tbl>
    <w:p w14:paraId="7CD7F6F0" w14:textId="77777777" w:rsidR="00710801" w:rsidRPr="00EA55D0" w:rsidRDefault="00710801" w:rsidP="000D27B0">
      <w:pPr>
        <w:pStyle w:val="TableTitle"/>
        <w:keepNext/>
        <w:keepLines/>
        <w:rPr>
          <w:rFonts w:eastAsiaTheme="minorHAnsi"/>
        </w:rPr>
      </w:pPr>
      <w:r w:rsidRPr="00EA55D0">
        <w:rPr>
          <w:rFonts w:eastAsiaTheme="minorHAnsi"/>
        </w:rPr>
        <w:lastRenderedPageBreak/>
        <w:t xml:space="preserve">Example: Support at Home labour cost and hours reporting QFR vs ACFR </w:t>
      </w:r>
    </w:p>
    <w:tbl>
      <w:tblPr>
        <w:tblW w:w="15451" w:type="dxa"/>
        <w:tblInd w:w="-861" w:type="dxa"/>
        <w:tblCellMar>
          <w:left w:w="0" w:type="dxa"/>
          <w:right w:w="0" w:type="dxa"/>
        </w:tblCellMar>
        <w:tblLook w:val="0420" w:firstRow="1" w:lastRow="0" w:firstColumn="0" w:lastColumn="0" w:noHBand="0" w:noVBand="1"/>
      </w:tblPr>
      <w:tblGrid>
        <w:gridCol w:w="2360"/>
        <w:gridCol w:w="7846"/>
        <w:gridCol w:w="5245"/>
      </w:tblGrid>
      <w:tr w:rsidR="00B95A2F" w:rsidRPr="00EA55D0" w14:paraId="19CE2F71" w14:textId="77777777" w:rsidTr="00F5479B">
        <w:trPr>
          <w:trHeight w:val="584"/>
          <w:tblHeader/>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30AB8C" w14:textId="77777777" w:rsidR="00B95A2F" w:rsidRPr="00F32566" w:rsidRDefault="00B95A2F" w:rsidP="00F32566">
            <w:pPr>
              <w:pStyle w:val="Tabletext"/>
              <w:rPr>
                <w:rStyle w:val="Strong"/>
              </w:rPr>
            </w:pP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3202C3" w14:textId="77777777" w:rsidR="00B95A2F" w:rsidRPr="00F32566" w:rsidRDefault="00B95A2F" w:rsidP="00F32566">
            <w:pPr>
              <w:pStyle w:val="Tabletext"/>
              <w:rPr>
                <w:rStyle w:val="Strong"/>
              </w:rPr>
            </w:pPr>
            <w:r w:rsidRPr="00F32566">
              <w:rPr>
                <w:rStyle w:val="Strong"/>
              </w:rPr>
              <w:t xml:space="preserve">How to report in QFR from </w:t>
            </w:r>
            <w:proofErr w:type="spellStart"/>
            <w:r w:rsidRPr="00F32566">
              <w:rPr>
                <w:rStyle w:val="Strong"/>
              </w:rPr>
              <w:t>Qtr</w:t>
            </w:r>
            <w:proofErr w:type="spellEnd"/>
            <w:r w:rsidRPr="00F32566">
              <w:rPr>
                <w:rStyle w:val="Strong"/>
              </w:rPr>
              <w:t xml:space="preserve"> 2</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0B1B4" w14:textId="77777777" w:rsidR="00B95A2F" w:rsidRPr="00F32566" w:rsidRDefault="00B95A2F" w:rsidP="00F32566">
            <w:pPr>
              <w:pStyle w:val="Tabletext"/>
              <w:rPr>
                <w:rStyle w:val="Strong"/>
              </w:rPr>
            </w:pPr>
            <w:r w:rsidRPr="00F32566">
              <w:rPr>
                <w:rStyle w:val="Strong"/>
              </w:rPr>
              <w:t xml:space="preserve">How to report in new Support at Home Income and Expenditure Statement in ACFR 2025-26 </w:t>
            </w:r>
          </w:p>
        </w:tc>
      </w:tr>
      <w:tr w:rsidR="00B95A2F" w:rsidRPr="00EA55D0" w14:paraId="1EA8ABBC" w14:textId="77777777" w:rsidTr="00F5479B">
        <w:trPr>
          <w:trHeight w:val="584"/>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FECF01" w14:textId="77777777" w:rsidR="00B95A2F" w:rsidRPr="00EA55D0" w:rsidRDefault="00B95A2F" w:rsidP="00F32566">
            <w:pPr>
              <w:pStyle w:val="Tabletext"/>
              <w:rPr>
                <w:b/>
                <w:bCs/>
              </w:rPr>
            </w:pPr>
            <w:r w:rsidRPr="00EA55D0">
              <w:t>Labour cost for a Personal Care Worker employee</w:t>
            </w: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5821BE" w14:textId="77777777" w:rsidR="00B95A2F" w:rsidRPr="00F32566" w:rsidRDefault="00B95A2F" w:rsidP="00F32566">
            <w:pPr>
              <w:pStyle w:val="Tabletext"/>
            </w:pPr>
            <w:r w:rsidRPr="00F32566">
              <w:t>Labour Cost – Internal Direct Care – Employee</w:t>
            </w:r>
          </w:p>
          <w:p w14:paraId="2F1361B2" w14:textId="77777777" w:rsidR="00B95A2F" w:rsidRPr="00EA55D0" w:rsidRDefault="00B95A2F" w:rsidP="00F32566">
            <w:pPr>
              <w:pStyle w:val="Tablelistbullet"/>
              <w:rPr>
                <w:b/>
                <w:bCs/>
              </w:rPr>
            </w:pPr>
            <w:r w:rsidRPr="00EA55D0">
              <w:t xml:space="preserve">Personal Care Workers </w:t>
            </w:r>
          </w:p>
          <w:p w14:paraId="1597C441" w14:textId="51473792" w:rsidR="00B95A2F" w:rsidRPr="00EA55D0" w:rsidRDefault="00B95A2F" w:rsidP="00F32566">
            <w:pPr>
              <w:pStyle w:val="Tabletext"/>
              <w:rPr>
                <w:b/>
                <w:bCs/>
                <w:sz w:val="22"/>
                <w:szCs w:val="22"/>
              </w:rPr>
            </w:pPr>
            <w:r w:rsidRPr="00F32566">
              <w:t xml:space="preserve">for assistance with selfcare and activities of daily living, assistance with the </w:t>
            </w:r>
            <w:r w:rsidR="004F1262" w:rsidRPr="00F32566">
              <w:t>self-administration</w:t>
            </w:r>
            <w:r w:rsidRPr="00F32566">
              <w:t xml:space="preserve"> of medication, continence</w:t>
            </w:r>
            <w:r w:rsidRPr="00EA55D0">
              <w:rPr>
                <w:sz w:val="22"/>
                <w:szCs w:val="22"/>
              </w:rPr>
              <w:t xml:space="preserve"> management (non-clinical)</w:t>
            </w:r>
          </w:p>
          <w:p w14:paraId="7A50BC3D" w14:textId="77777777" w:rsidR="00B95A2F" w:rsidRPr="00EA55D0" w:rsidRDefault="00B95A2F" w:rsidP="00F32566">
            <w:pPr>
              <w:pStyle w:val="Tablelistbullet"/>
              <w:rPr>
                <w:b/>
                <w:bCs/>
              </w:rPr>
            </w:pPr>
            <w:r w:rsidRPr="00EA55D0">
              <w:t>Other employee staff (employed in a direct care role)</w:t>
            </w:r>
          </w:p>
          <w:p w14:paraId="06526D12" w14:textId="77777777" w:rsidR="00B95A2F" w:rsidRPr="00F32566" w:rsidRDefault="00B95A2F" w:rsidP="00F32566">
            <w:pPr>
              <w:pStyle w:val="Tabletext"/>
            </w:pPr>
            <w:r w:rsidRPr="00EA55D0">
              <w:rPr>
                <w:sz w:val="22"/>
                <w:szCs w:val="22"/>
              </w:rPr>
              <w:t xml:space="preserve">for social </w:t>
            </w:r>
            <w:r w:rsidRPr="00F32566">
              <w:t>support and community engagement, respite, transport, assistive technology and home modifications, domestic assistance, meals, nutrition</w:t>
            </w:r>
          </w:p>
          <w:p w14:paraId="232EF739" w14:textId="77777777" w:rsidR="00B95A2F" w:rsidRPr="00EA55D0" w:rsidRDefault="00B95A2F" w:rsidP="00F32566">
            <w:pPr>
              <w:pStyle w:val="Tabletext"/>
              <w:rPr>
                <w:b/>
                <w:bCs/>
                <w:sz w:val="22"/>
                <w:szCs w:val="22"/>
              </w:rPr>
            </w:pPr>
            <w:r w:rsidRPr="00F32566">
              <w:t>Labour cost definition</w:t>
            </w:r>
            <w:r w:rsidRPr="00EA55D0">
              <w:rPr>
                <w:sz w:val="22"/>
                <w:szCs w:val="22"/>
              </w:rPr>
              <w:t xml:space="preserve"> includes salaries and superannuation for:</w:t>
            </w:r>
          </w:p>
          <w:p w14:paraId="5BCF1B93" w14:textId="77777777" w:rsidR="00B95A2F" w:rsidRPr="00EA55D0" w:rsidRDefault="00B95A2F" w:rsidP="00F32566">
            <w:pPr>
              <w:pStyle w:val="Tablelistbullet"/>
              <w:rPr>
                <w:b/>
                <w:bCs/>
              </w:rPr>
            </w:pPr>
            <w:r w:rsidRPr="00EA55D0">
              <w:t>direct care</w:t>
            </w:r>
          </w:p>
          <w:p w14:paraId="3361B663" w14:textId="77777777" w:rsidR="00B95A2F" w:rsidRPr="00EA55D0" w:rsidRDefault="00B95A2F" w:rsidP="00F32566">
            <w:pPr>
              <w:pStyle w:val="Tablelistbullet"/>
              <w:rPr>
                <w:b/>
                <w:bCs/>
              </w:rPr>
            </w:pPr>
            <w:r w:rsidRPr="00EA55D0">
              <w:t>staff travel to and from recipient residences</w:t>
            </w:r>
          </w:p>
          <w:p w14:paraId="469EC197" w14:textId="77777777" w:rsidR="00B95A2F" w:rsidRPr="00EA55D0" w:rsidRDefault="00B95A2F" w:rsidP="00F32566">
            <w:pPr>
              <w:pStyle w:val="Tablelistbullet"/>
              <w:rPr>
                <w:b/>
                <w:bCs/>
              </w:rPr>
            </w:pPr>
            <w:r w:rsidRPr="00EA55D0">
              <w:t>staff time completing administrative tasks / paperwork before and/or after a care recipient visit</w:t>
            </w:r>
          </w:p>
          <w:p w14:paraId="53759E96" w14:textId="77777777" w:rsidR="00B95A2F" w:rsidRPr="00EA55D0" w:rsidRDefault="00B95A2F" w:rsidP="00F32566">
            <w:pPr>
              <w:pStyle w:val="Tabletext"/>
              <w:rPr>
                <w:b/>
                <w:bCs/>
              </w:rPr>
            </w:pPr>
            <w:r w:rsidRPr="00EA55D0">
              <w:t xml:space="preserve">This expense item </w:t>
            </w:r>
            <w:r w:rsidRPr="00F32566">
              <w:t>should</w:t>
            </w:r>
            <w:r w:rsidRPr="00EA55D0">
              <w:t xml:space="preserve"> also include the payment of:</w:t>
            </w:r>
          </w:p>
          <w:p w14:paraId="6251CD70" w14:textId="77777777" w:rsidR="00B95A2F" w:rsidRPr="00F32566" w:rsidRDefault="00B95A2F" w:rsidP="00F32566">
            <w:pPr>
              <w:pStyle w:val="Tablelistbullet"/>
            </w:pPr>
            <w:r w:rsidRPr="00F32566">
              <w:t>Bonuses, incentive pay and commissions</w:t>
            </w:r>
          </w:p>
          <w:p w14:paraId="77431F92" w14:textId="77777777" w:rsidR="00B95A2F" w:rsidRPr="00F32566" w:rsidRDefault="00B95A2F" w:rsidP="00F32566">
            <w:pPr>
              <w:pStyle w:val="Tablelistbullet"/>
            </w:pPr>
            <w:r w:rsidRPr="00F32566">
              <w:t>Allowances and reimbursements</w:t>
            </w:r>
          </w:p>
          <w:p w14:paraId="651F14BB" w14:textId="77777777" w:rsidR="00B95A2F" w:rsidRPr="00F32566" w:rsidRDefault="00B95A2F" w:rsidP="00F32566">
            <w:pPr>
              <w:pStyle w:val="Tablelistbullet"/>
            </w:pPr>
            <w:r w:rsidRPr="00F32566">
              <w:t>Annual leave, long service leave and medical leave</w:t>
            </w:r>
          </w:p>
          <w:p w14:paraId="746B2AF6" w14:textId="77777777" w:rsidR="00B95A2F" w:rsidRPr="00F32566" w:rsidRDefault="00B95A2F" w:rsidP="00F32566">
            <w:pPr>
              <w:pStyle w:val="Tablelistbullet"/>
            </w:pPr>
            <w:r w:rsidRPr="00F32566">
              <w:t>Leave provisions</w:t>
            </w:r>
          </w:p>
          <w:p w14:paraId="4E5C2830" w14:textId="77777777" w:rsidR="00B95A2F" w:rsidRPr="00F32566" w:rsidRDefault="00B95A2F" w:rsidP="00F32566">
            <w:pPr>
              <w:pStyle w:val="Tablelistbullet"/>
            </w:pPr>
            <w:r w:rsidRPr="00F32566">
              <w:t>Termination payments, retirement payments and leave encashment</w:t>
            </w:r>
          </w:p>
          <w:p w14:paraId="407E86FD" w14:textId="77777777" w:rsidR="00B95A2F" w:rsidRPr="00F32566" w:rsidRDefault="00B95A2F" w:rsidP="00F32566">
            <w:pPr>
              <w:pStyle w:val="Tablelistbullet"/>
            </w:pPr>
            <w:r w:rsidRPr="00F32566">
              <w:t>Value of Fringe Benefits/salary sacrifice</w:t>
            </w:r>
          </w:p>
          <w:p w14:paraId="510D71AC" w14:textId="77777777" w:rsidR="00B95A2F" w:rsidRPr="00F32566" w:rsidRDefault="00B95A2F" w:rsidP="00F32566">
            <w:pPr>
              <w:pStyle w:val="Tablelistbullet"/>
            </w:pPr>
            <w:r w:rsidRPr="00F32566">
              <w:lastRenderedPageBreak/>
              <w:t>Uniforms and/or laundry reimbursements</w:t>
            </w:r>
          </w:p>
          <w:p w14:paraId="0BCEC48E" w14:textId="77777777" w:rsidR="00B95A2F" w:rsidRPr="00F32566" w:rsidRDefault="00B95A2F" w:rsidP="00F32566">
            <w:pPr>
              <w:pStyle w:val="Tablelistbullet"/>
            </w:pPr>
            <w:r w:rsidRPr="00F32566">
              <w:t>Staff training.</w:t>
            </w:r>
          </w:p>
          <w:p w14:paraId="2A422426" w14:textId="7C2001C9" w:rsidR="00B95A2F" w:rsidRPr="00F32566" w:rsidRDefault="00B95A2F" w:rsidP="00F32566">
            <w:pPr>
              <w:pStyle w:val="Tabletext"/>
            </w:pPr>
            <w:r w:rsidRPr="00EA55D0">
              <w:t>Do not include staff amenities, staff recruitment, agency staff, workers compensation premiums or payroll tax.</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719514" w14:textId="77777777" w:rsidR="00B95A2F" w:rsidRPr="00F32566" w:rsidRDefault="00B95A2F" w:rsidP="00F32566">
            <w:pPr>
              <w:pStyle w:val="Tabletext"/>
            </w:pPr>
            <w:r w:rsidRPr="00F32566">
              <w:lastRenderedPageBreak/>
              <w:t xml:space="preserve">Labour cost reporting is determined by the service provided </w:t>
            </w:r>
          </w:p>
          <w:p w14:paraId="0E7100DA" w14:textId="77777777" w:rsidR="00B95A2F" w:rsidRPr="00F32566" w:rsidRDefault="00B95A2F" w:rsidP="00F32566">
            <w:pPr>
              <w:pStyle w:val="Tabletext"/>
            </w:pPr>
            <w:r w:rsidRPr="00F32566">
              <w:t>e.g. personal care, social support and community engagement, domestic assistance etc</w:t>
            </w:r>
          </w:p>
          <w:p w14:paraId="7B15153B" w14:textId="309C6D75" w:rsidR="00B95A2F" w:rsidRPr="00F32566" w:rsidRDefault="00B95A2F" w:rsidP="00F32566">
            <w:pPr>
              <w:pStyle w:val="Tabletext"/>
            </w:pPr>
            <w:r w:rsidRPr="00F32566">
              <w:t>Labour cost definition includes salaries paid to employees providing services that are in-scope on the Support at Home service list for the relevant item.</w:t>
            </w:r>
          </w:p>
          <w:p w14:paraId="72DC6860" w14:textId="77777777" w:rsidR="00B95A2F" w:rsidRPr="00EA55D0" w:rsidRDefault="00B95A2F" w:rsidP="00F32566">
            <w:pPr>
              <w:pStyle w:val="Tabletext"/>
              <w:rPr>
                <w:b/>
                <w:bCs/>
                <w:sz w:val="22"/>
                <w:szCs w:val="22"/>
              </w:rPr>
            </w:pPr>
            <w:r w:rsidRPr="00F32566">
              <w:t>This expense</w:t>
            </w:r>
            <w:r w:rsidRPr="00EA55D0">
              <w:rPr>
                <w:sz w:val="22"/>
                <w:szCs w:val="22"/>
              </w:rPr>
              <w:t xml:space="preserve"> item should also include salaries for:</w:t>
            </w:r>
          </w:p>
          <w:p w14:paraId="0C9D131B" w14:textId="0C99D9A8" w:rsidR="00B95A2F" w:rsidRPr="00EA55D0" w:rsidRDefault="00B95A2F" w:rsidP="00F32566">
            <w:pPr>
              <w:pStyle w:val="Tablelistbullet"/>
              <w:rPr>
                <w:b/>
                <w:bCs/>
              </w:rPr>
            </w:pPr>
            <w:r w:rsidRPr="00EA55D0">
              <w:t xml:space="preserve">staff travel to and from participant's </w:t>
            </w:r>
            <w:r w:rsidR="004F1262" w:rsidRPr="00EA55D0">
              <w:t>residences.</w:t>
            </w:r>
            <w:r w:rsidRPr="00EA55D0">
              <w:t xml:space="preserve">  </w:t>
            </w:r>
          </w:p>
          <w:p w14:paraId="00F29967" w14:textId="77777777" w:rsidR="00B95A2F" w:rsidRPr="00EA55D0" w:rsidRDefault="00B95A2F" w:rsidP="00F32566">
            <w:pPr>
              <w:pStyle w:val="Tablelistbullet"/>
              <w:rPr>
                <w:b/>
                <w:bCs/>
              </w:rPr>
            </w:pPr>
            <w:r w:rsidRPr="00EA55D0">
              <w:t>staff time completing administrative tasks/paperwork before and/or after a participant visit.</w:t>
            </w:r>
          </w:p>
          <w:p w14:paraId="75F3A66F" w14:textId="77777777" w:rsidR="00B95A2F" w:rsidRPr="00EA55D0" w:rsidRDefault="00B95A2F" w:rsidP="00F32566">
            <w:pPr>
              <w:pStyle w:val="Tabletext"/>
              <w:rPr>
                <w:b/>
                <w:bCs/>
                <w:sz w:val="22"/>
                <w:szCs w:val="22"/>
              </w:rPr>
            </w:pPr>
            <w:r w:rsidRPr="00F32566">
              <w:t>Do not include superannuation or other employee on-costs, which are to be reported separately under Administration &amp; Support Expenses (two separate</w:t>
            </w:r>
            <w:r w:rsidRPr="00EA55D0">
              <w:rPr>
                <w:sz w:val="22"/>
                <w:szCs w:val="22"/>
              </w:rPr>
              <w:t xml:space="preserve"> items for 1. administration and non-care staff and 2. care staff. Please note that </w:t>
            </w:r>
            <w:r w:rsidRPr="00F32566">
              <w:t>these</w:t>
            </w:r>
            <w:r w:rsidRPr="00EA55D0">
              <w:rPr>
                <w:sz w:val="22"/>
                <w:szCs w:val="22"/>
              </w:rPr>
              <w:t xml:space="preserve"> items will also: </w:t>
            </w:r>
          </w:p>
          <w:p w14:paraId="1F44DC00" w14:textId="77777777" w:rsidR="00B95A2F" w:rsidRPr="00F32566" w:rsidRDefault="00B95A2F" w:rsidP="00F32566">
            <w:pPr>
              <w:pStyle w:val="Tablelistbullet"/>
            </w:pPr>
            <w:r w:rsidRPr="00F32566">
              <w:t>include the eight dot points in the left-hand side column commencing with bonuses, incentive pay and commissions, and</w:t>
            </w:r>
          </w:p>
          <w:p w14:paraId="5AA247C8" w14:textId="7B6D8C49" w:rsidR="00B95A2F" w:rsidRPr="00F32566" w:rsidRDefault="00B95A2F" w:rsidP="00F32566">
            <w:pPr>
              <w:pStyle w:val="Tablelistbullet"/>
              <w:rPr>
                <w:sz w:val="22"/>
                <w:szCs w:val="22"/>
              </w:rPr>
            </w:pPr>
            <w:r w:rsidRPr="00F32566">
              <w:t>maintain</w:t>
            </w:r>
            <w:r w:rsidRPr="00EA55D0">
              <w:rPr>
                <w:sz w:val="22"/>
                <w:szCs w:val="22"/>
              </w:rPr>
              <w:t xml:space="preserve"> the exclusions </w:t>
            </w:r>
          </w:p>
        </w:tc>
      </w:tr>
      <w:tr w:rsidR="00B95A2F" w:rsidRPr="00EA55D0" w14:paraId="1A56AFCE" w14:textId="77777777" w:rsidTr="00F5479B">
        <w:trPr>
          <w:trHeight w:val="584"/>
        </w:trPr>
        <w:tc>
          <w:tcPr>
            <w:tcW w:w="23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D10A3D" w14:textId="77777777" w:rsidR="00B95A2F" w:rsidRPr="00EA55D0" w:rsidRDefault="00B95A2F" w:rsidP="00F32566">
            <w:pPr>
              <w:pStyle w:val="Tabletext"/>
              <w:rPr>
                <w:b/>
                <w:bCs/>
              </w:rPr>
            </w:pPr>
            <w:r w:rsidRPr="00EA55D0">
              <w:t>Labour hours for a Personal Care Worker employee</w:t>
            </w:r>
          </w:p>
        </w:tc>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828FD1" w14:textId="77777777" w:rsidR="00B95A2F" w:rsidRPr="00EA55D0" w:rsidRDefault="00B95A2F" w:rsidP="00F32566">
            <w:pPr>
              <w:pStyle w:val="Tabletext"/>
              <w:rPr>
                <w:b/>
                <w:bCs/>
              </w:rPr>
            </w:pPr>
            <w:r w:rsidRPr="00EA55D0">
              <w:t>Labour hours no longer need to be reported in the QFR</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40D9B" w14:textId="77777777" w:rsidR="00B95A2F" w:rsidRPr="00F32566" w:rsidRDefault="00B95A2F" w:rsidP="00F32566">
            <w:pPr>
              <w:pStyle w:val="Tabletext"/>
            </w:pPr>
            <w:r w:rsidRPr="00EA55D0">
              <w:t xml:space="preserve">Labour hours reporting is for employee care staff only and is determined by the service being provided </w:t>
            </w:r>
          </w:p>
          <w:p w14:paraId="421AD47E" w14:textId="77777777" w:rsidR="00B95A2F" w:rsidRPr="00EA55D0" w:rsidRDefault="00B95A2F" w:rsidP="00F32566">
            <w:pPr>
              <w:pStyle w:val="Tabletext"/>
              <w:rPr>
                <w:b/>
                <w:bCs/>
              </w:rPr>
            </w:pPr>
            <w:r w:rsidRPr="00EA55D0">
              <w:t xml:space="preserve">e.g. personal </w:t>
            </w:r>
            <w:r w:rsidRPr="00F32566">
              <w:t>care</w:t>
            </w:r>
            <w:r w:rsidRPr="00EA55D0">
              <w:t>, social support and community engagement, domestic assistance etc</w:t>
            </w:r>
          </w:p>
        </w:tc>
      </w:tr>
    </w:tbl>
    <w:p w14:paraId="2181DC8F" w14:textId="77777777" w:rsidR="000D4C4F" w:rsidRPr="00EA55D0" w:rsidRDefault="000D4C4F" w:rsidP="0002565D"/>
    <w:p w14:paraId="546BB2DE" w14:textId="77777777" w:rsidR="0073167D" w:rsidRPr="00EA55D0" w:rsidRDefault="0073167D" w:rsidP="0002565D">
      <w:pPr>
        <w:sectPr w:rsidR="0073167D" w:rsidRPr="00EA55D0" w:rsidSect="0073167D">
          <w:pgSz w:w="16840" w:h="11910" w:orient="landscape"/>
          <w:pgMar w:top="1440" w:right="1440" w:bottom="1440" w:left="1440" w:header="567" w:footer="806" w:gutter="0"/>
          <w:cols w:space="720"/>
          <w:docGrid w:linePitch="326"/>
        </w:sectPr>
      </w:pPr>
    </w:p>
    <w:p w14:paraId="7FC15ACD" w14:textId="77777777" w:rsidR="00D55EFE" w:rsidRPr="00F32566" w:rsidRDefault="00D55EFE" w:rsidP="00ED3ABB">
      <w:pPr>
        <w:pStyle w:val="Heading2"/>
      </w:pPr>
      <w:bookmarkStart w:id="67" w:name="_Toc209622229"/>
      <w:r w:rsidRPr="00EA55D0">
        <w:lastRenderedPageBreak/>
        <w:t>Government providers</w:t>
      </w:r>
      <w:bookmarkEnd w:id="67"/>
      <w:r w:rsidRPr="00EA55D0">
        <w:t xml:space="preserve"> </w:t>
      </w:r>
    </w:p>
    <w:p w14:paraId="2BCDFE45" w14:textId="3A9EB8FB" w:rsidR="00D55EFE" w:rsidRPr="00EA55D0" w:rsidRDefault="00D55EFE" w:rsidP="00D55EFE">
      <w:r w:rsidRPr="00EA55D0">
        <w:t xml:space="preserve">All government providers must complete the </w:t>
      </w:r>
      <w:r w:rsidR="002E7C99" w:rsidRPr="00EA55D0">
        <w:t>Home Care</w:t>
      </w:r>
      <w:r w:rsidR="00FE7DC7" w:rsidRPr="00EA55D0">
        <w:t xml:space="preserve"> Packages</w:t>
      </w:r>
      <w:r w:rsidR="002E7C99" w:rsidRPr="00EA55D0">
        <w:t xml:space="preserve"> Income and Expenditure Statement and the Support at Home</w:t>
      </w:r>
      <w:r w:rsidR="00FE7DC7" w:rsidRPr="00EA55D0">
        <w:t xml:space="preserve"> Income and Expenditure Statement</w:t>
      </w:r>
      <w:r w:rsidRPr="00EA55D0">
        <w:t xml:space="preserve"> covering </w:t>
      </w:r>
      <w:proofErr w:type="gramStart"/>
      <w:r w:rsidRPr="00EA55D0">
        <w:t>all of</w:t>
      </w:r>
      <w:proofErr w:type="gramEnd"/>
      <w:r w:rsidRPr="00EA55D0">
        <w:t xml:space="preserve"> their home care</w:t>
      </w:r>
      <w:r w:rsidR="003B1543" w:rsidRPr="00EA55D0">
        <w:t xml:space="preserve"> and Support at Home</w:t>
      </w:r>
      <w:r w:rsidRPr="00EA55D0">
        <w:t xml:space="preserve"> services. </w:t>
      </w:r>
    </w:p>
    <w:p w14:paraId="5E26B9B4" w14:textId="38F4850F" w:rsidR="00D55EFE" w:rsidRPr="00EA55D0" w:rsidRDefault="00D55EFE" w:rsidP="000D27B0">
      <w:pPr>
        <w:pStyle w:val="FigureTitle"/>
        <w:rPr>
          <w:rFonts w:eastAsiaTheme="minorHAnsi" w:cs="Arial"/>
        </w:rPr>
      </w:pPr>
      <w:r w:rsidRPr="00EA55D0">
        <w:rPr>
          <w:rFonts w:eastAsiaTheme="minorHAnsi" w:cs="Arial"/>
        </w:rPr>
        <w:t xml:space="preserve">Support at Home </w:t>
      </w:r>
      <w:r w:rsidR="005F4206" w:rsidRPr="00EA55D0">
        <w:rPr>
          <w:rFonts w:eastAsiaTheme="minorHAnsi" w:cs="Arial"/>
        </w:rPr>
        <w:t>reporting</w:t>
      </w:r>
      <w:r w:rsidRPr="00EA55D0">
        <w:rPr>
          <w:rFonts w:eastAsiaTheme="minorHAnsi" w:cs="Arial"/>
        </w:rPr>
        <w:t xml:space="preserve"> FAQs</w:t>
      </w:r>
    </w:p>
    <w:p w14:paraId="0EAF28C0" w14:textId="56BC019E" w:rsidR="00D55EFE" w:rsidRPr="00EA55D0" w:rsidRDefault="00D55EFE" w:rsidP="00E333F2">
      <w:pPr>
        <w:pStyle w:val="Heading2"/>
        <w:rPr>
          <w:rFonts w:eastAsia="Calibri Light"/>
        </w:rPr>
      </w:pPr>
      <w:bookmarkStart w:id="68" w:name="_Toc209622230"/>
      <w:r w:rsidRPr="00EA55D0">
        <w:rPr>
          <w:rFonts w:eastAsia="Calibri Light"/>
        </w:rPr>
        <w:t>Are Support at Home providers required to complete the ‘Financial Support Statement’?</w:t>
      </w:r>
      <w:bookmarkEnd w:id="68"/>
    </w:p>
    <w:p w14:paraId="70BB18FA" w14:textId="040B9041" w:rsidR="00D55EFE" w:rsidRPr="00EA55D0" w:rsidRDefault="00D55EFE" w:rsidP="00D55EFE">
      <w:r w:rsidRPr="00EA55D0">
        <w:t xml:space="preserve">No. Registered providers of Support at Home services </w:t>
      </w:r>
      <w:r w:rsidR="009A149A" w:rsidRPr="00EA55D0">
        <w:t xml:space="preserve">only </w:t>
      </w:r>
      <w:r w:rsidRPr="00EA55D0">
        <w:t>are not required to complete the ‘Financial Support Statement’.</w:t>
      </w:r>
    </w:p>
    <w:p w14:paraId="54BA16BF" w14:textId="5E93B1E5" w:rsidR="00D55EFE" w:rsidRPr="00EA55D0" w:rsidRDefault="00D55EFE" w:rsidP="00E333F2">
      <w:pPr>
        <w:pStyle w:val="Heading2"/>
        <w:rPr>
          <w:rFonts w:eastAsia="Calibri Light"/>
        </w:rPr>
      </w:pPr>
      <w:bookmarkStart w:id="69" w:name="_Toc209622231"/>
      <w:r w:rsidRPr="00EA55D0">
        <w:rPr>
          <w:rFonts w:eastAsia="Calibri Light"/>
        </w:rPr>
        <w:t>Does the </w:t>
      </w:r>
      <w:r w:rsidR="004056EB" w:rsidRPr="00EA55D0">
        <w:rPr>
          <w:rFonts w:eastAsia="Calibri Light"/>
        </w:rPr>
        <w:t>Home Care</w:t>
      </w:r>
      <w:r w:rsidR="00DB1EE9" w:rsidRPr="00EA55D0">
        <w:rPr>
          <w:rFonts w:eastAsia="Calibri Light"/>
        </w:rPr>
        <w:t xml:space="preserve"> Packages</w:t>
      </w:r>
      <w:r w:rsidR="004056EB" w:rsidRPr="00EA55D0">
        <w:rPr>
          <w:rFonts w:eastAsia="Calibri Light"/>
        </w:rPr>
        <w:t xml:space="preserve"> </w:t>
      </w:r>
      <w:r w:rsidR="00DB1EE9" w:rsidRPr="00EA55D0">
        <w:rPr>
          <w:rFonts w:eastAsia="Calibri Light"/>
        </w:rPr>
        <w:t>and</w:t>
      </w:r>
      <w:r w:rsidR="004056EB" w:rsidRPr="00EA55D0">
        <w:rPr>
          <w:rFonts w:eastAsia="Calibri Light"/>
        </w:rPr>
        <w:t xml:space="preserve"> </w:t>
      </w:r>
      <w:r w:rsidRPr="00EA55D0">
        <w:rPr>
          <w:rFonts w:eastAsia="Calibri Light"/>
        </w:rPr>
        <w:t xml:space="preserve">Support at Home Income and Expenditure </w:t>
      </w:r>
      <w:r w:rsidR="008B70B6" w:rsidRPr="00EA55D0">
        <w:rPr>
          <w:rFonts w:eastAsia="Calibri Light"/>
        </w:rPr>
        <w:t>S</w:t>
      </w:r>
      <w:r w:rsidRPr="00EA55D0">
        <w:rPr>
          <w:rFonts w:eastAsia="Calibri Light"/>
        </w:rPr>
        <w:t>tatement need to include DVA, NDIS or CHSP services?</w:t>
      </w:r>
      <w:bookmarkEnd w:id="69"/>
      <w:r w:rsidRPr="00EA55D0">
        <w:rPr>
          <w:rFonts w:eastAsia="Calibri Light"/>
        </w:rPr>
        <w:t xml:space="preserve"> </w:t>
      </w:r>
    </w:p>
    <w:p w14:paraId="020774D5" w14:textId="64B2455F" w:rsidR="00D55EFE" w:rsidRPr="00EA55D0" w:rsidRDefault="00D55EFE" w:rsidP="00D55EFE">
      <w:r w:rsidRPr="00EA55D0">
        <w:t>No. DVA, NDIS and CHSP services information is only reported in the Consolidated Segment Report under the ‘Community’ segment.</w:t>
      </w:r>
    </w:p>
    <w:p w14:paraId="0D4619A1" w14:textId="51C3626E" w:rsidR="002D73FF" w:rsidRPr="00EA55D0" w:rsidRDefault="002D73FF" w:rsidP="00E333F2">
      <w:pPr>
        <w:pStyle w:val="Heading2"/>
        <w:rPr>
          <w:rFonts w:eastAsia="Calibri Light"/>
        </w:rPr>
      </w:pPr>
      <w:bookmarkStart w:id="70" w:name="_Toc209622232"/>
      <w:r w:rsidRPr="00EA55D0">
        <w:rPr>
          <w:rFonts w:eastAsia="Calibri Light"/>
        </w:rPr>
        <w:t>Reconciling the Home Care Packages</w:t>
      </w:r>
      <w:r w:rsidR="008B4883" w:rsidRPr="00EA55D0">
        <w:rPr>
          <w:rFonts w:eastAsia="Calibri Light"/>
        </w:rPr>
        <w:t>, STRC</w:t>
      </w:r>
      <w:r w:rsidRPr="00EA55D0">
        <w:rPr>
          <w:rFonts w:eastAsia="Calibri Light"/>
        </w:rPr>
        <w:t xml:space="preserve"> and Support at Home Income and Expenditure Statement</w:t>
      </w:r>
      <w:r w:rsidR="0099673D" w:rsidRPr="00EA55D0">
        <w:rPr>
          <w:rFonts w:eastAsia="Calibri Light"/>
        </w:rPr>
        <w:t>s</w:t>
      </w:r>
      <w:r w:rsidRPr="00EA55D0">
        <w:rPr>
          <w:rFonts w:eastAsia="Calibri Light"/>
        </w:rPr>
        <w:t xml:space="preserve"> to the </w:t>
      </w:r>
      <w:r w:rsidR="00143922" w:rsidRPr="00EA55D0">
        <w:rPr>
          <w:rFonts w:eastAsia="Calibri Light"/>
        </w:rPr>
        <w:t>Consolidated Segment Report</w:t>
      </w:r>
      <w:r w:rsidR="00AF49A3" w:rsidRPr="00EA55D0">
        <w:rPr>
          <w:rFonts w:eastAsia="Calibri Light"/>
        </w:rPr>
        <w:t xml:space="preserve"> and Registered Provider reporting</w:t>
      </w:r>
      <w:bookmarkEnd w:id="70"/>
      <w:r w:rsidRPr="00EA55D0">
        <w:rPr>
          <w:rFonts w:eastAsia="Calibri Light"/>
        </w:rPr>
        <w:t xml:space="preserve"> </w:t>
      </w:r>
    </w:p>
    <w:p w14:paraId="7319C1E1" w14:textId="2D5714D7" w:rsidR="00D55EFE" w:rsidRPr="00EA55D0" w:rsidRDefault="00D55EFE" w:rsidP="00D55EFE">
      <w:r w:rsidRPr="00EA55D0">
        <w:t>The</w:t>
      </w:r>
      <w:r w:rsidR="00171659" w:rsidRPr="00EA55D0">
        <w:t xml:space="preserve"> </w:t>
      </w:r>
      <w:r w:rsidR="00892B13" w:rsidRPr="00EA55D0">
        <w:t>sum of the</w:t>
      </w:r>
      <w:r w:rsidRPr="00EA55D0">
        <w:t xml:space="preserve"> ‘Total </w:t>
      </w:r>
      <w:r w:rsidR="00D547E4" w:rsidRPr="00EA55D0">
        <w:t>Income</w:t>
      </w:r>
      <w:r w:rsidRPr="00EA55D0">
        <w:t>’ and ‘Total Expenses’ in th</w:t>
      </w:r>
      <w:r w:rsidR="00B1754D" w:rsidRPr="00EA55D0">
        <w:t xml:space="preserve">e </w:t>
      </w:r>
      <w:r w:rsidR="00DB1EE9" w:rsidRPr="00EA55D0">
        <w:t>Home Care Packages</w:t>
      </w:r>
      <w:r w:rsidR="008B4883" w:rsidRPr="00EA55D0">
        <w:t>, STRC</w:t>
      </w:r>
      <w:r w:rsidR="00DB1EE9" w:rsidRPr="00EA55D0">
        <w:t xml:space="preserve"> and Support at Home Income and </w:t>
      </w:r>
      <w:r w:rsidR="0005070C" w:rsidRPr="00EA55D0">
        <w:t xml:space="preserve">Expenditure Statements </w:t>
      </w:r>
      <w:r w:rsidRPr="00EA55D0">
        <w:t>should match the Consolidated Segment Report’s ‘</w:t>
      </w:r>
      <w:r w:rsidR="00171659" w:rsidRPr="00EA55D0">
        <w:t>Support at Home</w:t>
      </w:r>
      <w:r w:rsidR="00D17953" w:rsidRPr="00EA55D0">
        <w:t>’</w:t>
      </w:r>
      <w:r w:rsidRPr="00EA55D0">
        <w:t xml:space="preserve"> </w:t>
      </w:r>
      <w:r w:rsidR="00F447A3" w:rsidRPr="00EA55D0">
        <w:t xml:space="preserve">segment </w:t>
      </w:r>
      <w:r w:rsidR="00D17953" w:rsidRPr="00EA55D0">
        <w:t>Income and Expenses</w:t>
      </w:r>
      <w:r w:rsidRPr="00EA55D0">
        <w:t xml:space="preserve"> if the provider does not have a parent entity. </w:t>
      </w:r>
    </w:p>
    <w:p w14:paraId="251BD286" w14:textId="49C3990B" w:rsidR="005121B6" w:rsidRPr="00EA55D0" w:rsidRDefault="00D17953" w:rsidP="00ED3ABB">
      <w:r w:rsidRPr="00EA55D0">
        <w:t xml:space="preserve">If </w:t>
      </w:r>
      <w:r w:rsidR="00694F45" w:rsidRPr="00EA55D0">
        <w:t>a</w:t>
      </w:r>
      <w:r w:rsidRPr="00EA55D0">
        <w:t xml:space="preserve"> provider only delivers</w:t>
      </w:r>
      <w:r w:rsidR="007A34A2" w:rsidRPr="00EA55D0">
        <w:t xml:space="preserve"> </w:t>
      </w:r>
      <w:r w:rsidR="00F4705C" w:rsidRPr="00EA55D0">
        <w:t xml:space="preserve">the </w:t>
      </w:r>
      <w:r w:rsidR="007A34A2" w:rsidRPr="00EA55D0">
        <w:t>Home Care Packages</w:t>
      </w:r>
      <w:r w:rsidR="00F4705C" w:rsidRPr="00EA55D0">
        <w:t xml:space="preserve"> Program</w:t>
      </w:r>
      <w:r w:rsidR="008B4883" w:rsidRPr="00EA55D0">
        <w:t>, STRC and the</w:t>
      </w:r>
      <w:r w:rsidR="00F4705C" w:rsidRPr="00EA55D0">
        <w:t xml:space="preserve"> </w:t>
      </w:r>
      <w:r w:rsidR="007A34A2" w:rsidRPr="00EA55D0">
        <w:t>Support at Home</w:t>
      </w:r>
      <w:r w:rsidR="00F4705C" w:rsidRPr="00EA55D0">
        <w:t xml:space="preserve"> program </w:t>
      </w:r>
      <w:r w:rsidR="007C13A4" w:rsidRPr="00EA55D0">
        <w:t xml:space="preserve">the </w:t>
      </w:r>
      <w:r w:rsidR="00C1099D" w:rsidRPr="00EA55D0">
        <w:t>sum of the ‘Total Income’ and ‘Total Expenses’ in the Home Care Packages</w:t>
      </w:r>
      <w:r w:rsidR="000701F8" w:rsidRPr="00EA55D0">
        <w:t>, STRC</w:t>
      </w:r>
      <w:r w:rsidR="00C1099D" w:rsidRPr="00EA55D0">
        <w:t xml:space="preserve"> and Support at Home Income and Expenditure Statements should match the Registered Provider </w:t>
      </w:r>
      <w:r w:rsidR="00C9426B" w:rsidRPr="00EA55D0">
        <w:t>r</w:t>
      </w:r>
      <w:r w:rsidR="00C1099D" w:rsidRPr="00EA55D0">
        <w:t>eporting</w:t>
      </w:r>
      <w:r w:rsidR="003B59B3" w:rsidRPr="00EA55D0">
        <w:t>.</w:t>
      </w:r>
    </w:p>
    <w:p w14:paraId="3C269E75" w14:textId="1112F4E8" w:rsidR="0015395A" w:rsidRPr="00EA55D0" w:rsidRDefault="0015395A" w:rsidP="000D27B0">
      <w:pPr>
        <w:pStyle w:val="SubjectHeading"/>
      </w:pPr>
      <w:r w:rsidRPr="00EA55D0">
        <w:t>Home Care Income and Expenditure Statement</w:t>
      </w:r>
    </w:p>
    <w:p w14:paraId="3E2FBEEA" w14:textId="32E99BF3" w:rsidR="00D55EFE" w:rsidRPr="00EA55D0" w:rsidRDefault="00D55EFE" w:rsidP="00E333F2">
      <w:pPr>
        <w:pStyle w:val="Heading2"/>
        <w:rPr>
          <w:rFonts w:eastAsia="Calibri Light"/>
        </w:rPr>
      </w:pPr>
      <w:bookmarkStart w:id="71" w:name="_Toc209622233"/>
      <w:bookmarkStart w:id="72" w:name="_Hlk194312938"/>
      <w:r w:rsidRPr="00EA55D0">
        <w:rPr>
          <w:rFonts w:eastAsia="Calibri Light"/>
        </w:rPr>
        <w:t xml:space="preserve">If a provider has had some recipients transfer out prior to 30 June, and the Home Care Account Balance still shows these clients (due to the </w:t>
      </w:r>
      <w:r w:rsidR="004F1262" w:rsidRPr="00EA55D0">
        <w:rPr>
          <w:rFonts w:eastAsia="Calibri Light"/>
        </w:rPr>
        <w:t>70-day</w:t>
      </w:r>
      <w:r w:rsidRPr="00EA55D0">
        <w:rPr>
          <w:rFonts w:eastAsia="Calibri Light"/>
        </w:rPr>
        <w:t xml:space="preserve"> delay in the system updating), should the provider include those </w:t>
      </w:r>
      <w:r w:rsidRPr="00EA55D0">
        <w:t>recipients</w:t>
      </w:r>
      <w:r w:rsidR="0039735D" w:rsidRPr="00EA55D0">
        <w:t>’</w:t>
      </w:r>
      <w:r w:rsidRPr="00EA55D0">
        <w:rPr>
          <w:rFonts w:eastAsia="Calibri Light"/>
        </w:rPr>
        <w:t xml:space="preserve"> dollars in the Home Care Account Balance section for Unspent Funds?</w:t>
      </w:r>
      <w:bookmarkEnd w:id="71"/>
    </w:p>
    <w:p w14:paraId="48BBF03F" w14:textId="30553DF2" w:rsidR="00D55EFE" w:rsidRPr="00EA55D0" w:rsidRDefault="00D55EFE" w:rsidP="00D55EFE">
      <w:pPr>
        <w:rPr>
          <w:rFonts w:eastAsia="Calibri Light"/>
        </w:rPr>
      </w:pPr>
      <w:r w:rsidRPr="00EA55D0">
        <w:rPr>
          <w:rFonts w:eastAsia="Calibri Light"/>
        </w:rPr>
        <w:t xml:space="preserve">Yes. The provider should include all recipients’ amounts included in their Home Care Account Balance </w:t>
      </w:r>
      <w:r w:rsidR="004F1262">
        <w:rPr>
          <w:rFonts w:eastAsia="Calibri Light"/>
        </w:rPr>
        <w:t>a</w:t>
      </w:r>
      <w:r w:rsidR="00F653C9">
        <w:rPr>
          <w:rFonts w:eastAsia="Calibri Light"/>
        </w:rPr>
        <w:t xml:space="preserve">s </w:t>
      </w:r>
      <w:proofErr w:type="gramStart"/>
      <w:r w:rsidRPr="00EA55D0">
        <w:rPr>
          <w:rFonts w:eastAsia="Calibri Light"/>
        </w:rPr>
        <w:t>at</w:t>
      </w:r>
      <w:proofErr w:type="gramEnd"/>
      <w:r w:rsidRPr="00EA55D0">
        <w:rPr>
          <w:rFonts w:eastAsia="Calibri Light"/>
        </w:rPr>
        <w:t xml:space="preserve"> 30 June</w:t>
      </w:r>
      <w:r w:rsidR="00230C49" w:rsidRPr="00EA55D0">
        <w:rPr>
          <w:rFonts w:eastAsia="Calibri Light"/>
        </w:rPr>
        <w:t xml:space="preserve"> as these balances remained available to the provider for any claim</w:t>
      </w:r>
      <w:r w:rsidR="000864F4" w:rsidRPr="00EA55D0">
        <w:rPr>
          <w:rFonts w:eastAsia="Calibri Light"/>
        </w:rPr>
        <w:t>s and</w:t>
      </w:r>
      <w:r w:rsidR="00230C49" w:rsidRPr="00EA55D0" w:rsidDel="006C1637">
        <w:rPr>
          <w:rFonts w:eastAsia="Calibri Light"/>
        </w:rPr>
        <w:t xml:space="preserve"> </w:t>
      </w:r>
      <w:r w:rsidR="00230C49" w:rsidRPr="00EA55D0">
        <w:rPr>
          <w:rFonts w:eastAsia="Calibri Light"/>
        </w:rPr>
        <w:t xml:space="preserve">variations </w:t>
      </w:r>
      <w:r w:rsidR="006C1637" w:rsidRPr="00EA55D0">
        <w:rPr>
          <w:rFonts w:eastAsia="Calibri Light"/>
        </w:rPr>
        <w:t xml:space="preserve">of claims </w:t>
      </w:r>
      <w:r w:rsidR="00230C49" w:rsidRPr="00EA55D0">
        <w:rPr>
          <w:rFonts w:eastAsia="Calibri Light"/>
        </w:rPr>
        <w:t xml:space="preserve">within </w:t>
      </w:r>
      <w:r w:rsidR="000864F4" w:rsidRPr="00EA55D0">
        <w:rPr>
          <w:rFonts w:eastAsia="Calibri Light"/>
        </w:rPr>
        <w:t>60</w:t>
      </w:r>
      <w:r w:rsidR="00230C49" w:rsidRPr="00EA55D0">
        <w:rPr>
          <w:rFonts w:eastAsia="Calibri Light"/>
        </w:rPr>
        <w:t xml:space="preserve"> days of departure</w:t>
      </w:r>
      <w:r w:rsidRPr="00EA55D0">
        <w:rPr>
          <w:rFonts w:eastAsia="Calibri Light"/>
        </w:rPr>
        <w:t xml:space="preserve">. </w:t>
      </w:r>
    </w:p>
    <w:p w14:paraId="6CFC8789" w14:textId="33EDF958" w:rsidR="00D55EFE" w:rsidRPr="00EA55D0" w:rsidRDefault="00D55EFE" w:rsidP="00E333F2">
      <w:pPr>
        <w:pStyle w:val="Heading2"/>
        <w:rPr>
          <w:rFonts w:eastAsia="Calibri Light"/>
        </w:rPr>
      </w:pPr>
      <w:bookmarkStart w:id="73" w:name="_Toc209622234"/>
      <w:bookmarkEnd w:id="72"/>
      <w:r w:rsidRPr="00EA55D0">
        <w:rPr>
          <w:rFonts w:eastAsia="Calibri Light"/>
        </w:rPr>
        <w:lastRenderedPageBreak/>
        <w:t>When a new client transfers in from another provider what amounts do we include in the ‘Funds Transferred in With New Clients’ in the ‘From Consolidated Client Statement’ section?</w:t>
      </w:r>
      <w:bookmarkEnd w:id="73"/>
      <w:r w:rsidRPr="00EA55D0">
        <w:rPr>
          <w:rFonts w:eastAsia="Calibri Light"/>
        </w:rPr>
        <w:t xml:space="preserve"> </w:t>
      </w:r>
    </w:p>
    <w:p w14:paraId="2EE88D21" w14:textId="77777777" w:rsidR="00D55EFE" w:rsidRPr="00EA55D0" w:rsidRDefault="00D55EFE" w:rsidP="00D55EFE">
      <w:pPr>
        <w:rPr>
          <w:rFonts w:eastAsia="Calibri Light"/>
        </w:rPr>
      </w:pPr>
      <w:r w:rsidRPr="00EA55D0">
        <w:rPr>
          <w:rFonts w:eastAsia="Calibri Light"/>
        </w:rPr>
        <w:t xml:space="preserve">The funds that have been transferred in should be at the total package level and include the amount that is held by Services Australia and the funds transferred over from the other provider. These amounts add to the ‘Home Care Account Balance plus Unspent Package Funds Closing Balance’ in the section. </w:t>
      </w:r>
    </w:p>
    <w:p w14:paraId="6DBBFD71" w14:textId="5B4F0FA2" w:rsidR="00642DE3" w:rsidRPr="00EA55D0" w:rsidRDefault="006974C4" w:rsidP="00E333F2">
      <w:pPr>
        <w:pStyle w:val="Heading2"/>
        <w:rPr>
          <w:rFonts w:eastAsia="Calibri Light"/>
        </w:rPr>
      </w:pPr>
      <w:bookmarkStart w:id="74" w:name="_Toc209622235"/>
      <w:r w:rsidRPr="00EA55D0">
        <w:t xml:space="preserve">If I have income or expenses </w:t>
      </w:r>
      <w:r w:rsidR="004F0CBE" w:rsidRPr="00EA55D0">
        <w:t>received or due after 1 November 2025, where should I record these?</w:t>
      </w:r>
      <w:bookmarkEnd w:id="74"/>
    </w:p>
    <w:p w14:paraId="77F34F2F" w14:textId="03179C16" w:rsidR="00280529" w:rsidRPr="00EA55D0" w:rsidRDefault="00642DE3" w:rsidP="00ED3ABB">
      <w:pPr>
        <w:rPr>
          <w:rFonts w:eastAsia="Calibri Light"/>
        </w:rPr>
      </w:pPr>
      <w:r w:rsidRPr="00EA55D0">
        <w:rPr>
          <w:rFonts w:eastAsia="Calibri Light"/>
        </w:rPr>
        <w:t xml:space="preserve">Providers will need to attribute income and expenses received or incurred to the relevant program. </w:t>
      </w:r>
    </w:p>
    <w:p w14:paraId="2E0CC544" w14:textId="1E4D526F" w:rsidR="0015395A" w:rsidRPr="00EA55D0" w:rsidRDefault="0015395A" w:rsidP="00280529">
      <w:pPr>
        <w:pStyle w:val="SubjectHeading"/>
      </w:pPr>
      <w:r w:rsidRPr="00EA55D0">
        <w:t>Support at Home Income and Expenditure Statement</w:t>
      </w:r>
    </w:p>
    <w:p w14:paraId="40AF64C0" w14:textId="7370CAD3" w:rsidR="005569EE" w:rsidRPr="00EA55D0" w:rsidRDefault="005569EE" w:rsidP="00E333F2">
      <w:pPr>
        <w:pStyle w:val="Heading2"/>
        <w:rPr>
          <w:rFonts w:eastAsia="Calibri Light"/>
        </w:rPr>
      </w:pPr>
      <w:bookmarkStart w:id="75" w:name="_Toc209622236"/>
      <w:r w:rsidRPr="00EA55D0">
        <w:rPr>
          <w:rFonts w:eastAsia="Calibri Light"/>
        </w:rPr>
        <w:t>Why is the format of Support at Home reporting in the QFR and ACFR different in 2025-26?</w:t>
      </w:r>
      <w:bookmarkEnd w:id="75"/>
    </w:p>
    <w:p w14:paraId="322E9318" w14:textId="77777777" w:rsidR="00436289" w:rsidRPr="00EA55D0" w:rsidRDefault="00436289" w:rsidP="00436289">
      <w:pPr>
        <w:rPr>
          <w:rFonts w:eastAsia="Calibri Light"/>
          <w:szCs w:val="18"/>
        </w:rPr>
      </w:pPr>
      <w:r w:rsidRPr="00EA55D0">
        <w:rPr>
          <w:rFonts w:eastAsia="Calibri Light"/>
          <w:szCs w:val="18"/>
        </w:rPr>
        <w:t xml:space="preserve">The format for reporting labour costs in the QFR by type of worker has been continued from prior quarters. This quarterly data will be used by the department to monitor the new Support at Home program in the </w:t>
      </w:r>
      <w:proofErr w:type="gramStart"/>
      <w:r w:rsidRPr="00EA55D0">
        <w:rPr>
          <w:rFonts w:eastAsia="Calibri Light"/>
          <w:szCs w:val="18"/>
        </w:rPr>
        <w:t>short -term</w:t>
      </w:r>
      <w:proofErr w:type="gramEnd"/>
      <w:r w:rsidRPr="00EA55D0">
        <w:rPr>
          <w:rFonts w:eastAsia="Calibri Light"/>
          <w:szCs w:val="18"/>
        </w:rPr>
        <w:t xml:space="preserve"> as the more detailed data that will be collected in the ACFR for 2025-26 will not be submitted by providers until 31 October 2026.</w:t>
      </w:r>
    </w:p>
    <w:p w14:paraId="3C6343C5" w14:textId="77777777" w:rsidR="000F38B4" w:rsidRPr="00EA55D0" w:rsidRDefault="00436289" w:rsidP="00D55EFE">
      <w:pPr>
        <w:rPr>
          <w:rFonts w:eastAsia="Calibri Light"/>
          <w:szCs w:val="18"/>
        </w:rPr>
      </w:pPr>
      <w:r w:rsidRPr="00EA55D0">
        <w:rPr>
          <w:rFonts w:eastAsia="Calibri Light"/>
          <w:szCs w:val="18"/>
        </w:rPr>
        <w:t>The department understands that this reporting may be challenging for providers and does not expect that the sum of labour costs from the four QFRs to exactly match labour costs in the ACFR. The department will look to align the reporting in future years.</w:t>
      </w:r>
    </w:p>
    <w:p w14:paraId="2A7AF64B" w14:textId="75922E43" w:rsidR="00D55EFE" w:rsidRPr="00EA55D0" w:rsidRDefault="00D55EFE" w:rsidP="00E333F2">
      <w:pPr>
        <w:pStyle w:val="Heading2"/>
        <w:rPr>
          <w:rFonts w:eastAsia="Calibri Light"/>
        </w:rPr>
      </w:pPr>
      <w:bookmarkStart w:id="76" w:name="_Toc209622237"/>
      <w:r w:rsidRPr="006D27F3">
        <w:rPr>
          <w:rStyle w:val="Heading3Char"/>
          <w:rFonts w:eastAsia="Calibri Light"/>
        </w:rPr>
        <w:t>Where is the service list for each of the categories listed in the ACFR?</w:t>
      </w:r>
      <w:bookmarkEnd w:id="76"/>
      <w:r w:rsidRPr="00EA55D0">
        <w:rPr>
          <w:rFonts w:eastAsia="Calibri Light"/>
        </w:rPr>
        <w:t xml:space="preserve"> Providers should refer to the Support at Home </w:t>
      </w:r>
      <w:hyperlink r:id="rId40" w:history="1">
        <w:r w:rsidRPr="00EA55D0">
          <w:rPr>
            <w:rFonts w:eastAsia="Calibri Light"/>
            <w:color w:val="2AB1BB" w:themeColor="hyperlink"/>
            <w:u w:val="single"/>
          </w:rPr>
          <w:t>service list</w:t>
        </w:r>
      </w:hyperlink>
      <w:r w:rsidRPr="00EA55D0">
        <w:rPr>
          <w:rFonts w:eastAsia="Calibri Light"/>
        </w:rPr>
        <w:t xml:space="preserve">. Further information on the Support at Home program can be found </w:t>
      </w:r>
      <w:hyperlink r:id="rId41" w:history="1">
        <w:r w:rsidRPr="00EA55D0">
          <w:rPr>
            <w:rStyle w:val="Hyperlink"/>
            <w:rFonts w:eastAsia="Calibri Light"/>
          </w:rPr>
          <w:t>here</w:t>
        </w:r>
      </w:hyperlink>
      <w:r w:rsidR="00D33ED3" w:rsidRPr="00EA55D0">
        <w:rPr>
          <w:rFonts w:eastAsia="Calibri Light"/>
        </w:rPr>
        <w:t>.</w:t>
      </w:r>
      <w:r w:rsidRPr="00EA55D0">
        <w:rPr>
          <w:rFonts w:eastAsia="Calibri Light"/>
        </w:rPr>
        <w:t xml:space="preserve"> </w:t>
      </w:r>
    </w:p>
    <w:p w14:paraId="60FDA97A" w14:textId="3691D5FD" w:rsidR="00B80818" w:rsidRPr="00EA55D0" w:rsidRDefault="00B80818" w:rsidP="00E333F2">
      <w:pPr>
        <w:pStyle w:val="Heading2"/>
      </w:pPr>
      <w:bookmarkStart w:id="77" w:name="_Toc209622238"/>
      <w:r w:rsidRPr="00EA55D0">
        <w:t>Why are we required to report information in the ACFR when the information is received by the Department through Billing data?</w:t>
      </w:r>
      <w:bookmarkEnd w:id="77"/>
      <w:r w:rsidRPr="00EA55D0">
        <w:t xml:space="preserve"> </w:t>
      </w:r>
    </w:p>
    <w:p w14:paraId="7E5B95D8" w14:textId="0156AAE4" w:rsidR="00B80818" w:rsidRPr="00EA55D0" w:rsidRDefault="00B80818" w:rsidP="00B80818">
      <w:pPr>
        <w:rPr>
          <w:rFonts w:cs="Arial"/>
          <w:color w:val="auto"/>
        </w:rPr>
      </w:pPr>
      <w:r w:rsidRPr="00EA55D0">
        <w:rPr>
          <w:rFonts w:cs="Arial"/>
          <w:color w:val="auto"/>
        </w:rPr>
        <w:t xml:space="preserve">Billing information captures the </w:t>
      </w:r>
      <w:r w:rsidR="007E3CD6" w:rsidRPr="00EA55D0">
        <w:rPr>
          <w:rFonts w:cs="Arial"/>
          <w:color w:val="auto"/>
        </w:rPr>
        <w:t>hours and</w:t>
      </w:r>
      <w:r w:rsidRPr="00EA55D0">
        <w:rPr>
          <w:rFonts w:cs="Arial"/>
          <w:color w:val="auto"/>
        </w:rPr>
        <w:t xml:space="preserve"> price of face-to-face services </w:t>
      </w:r>
      <w:r w:rsidR="00544109" w:rsidRPr="00EA55D0">
        <w:rPr>
          <w:rFonts w:cs="Arial"/>
          <w:color w:val="auto"/>
        </w:rPr>
        <w:t>delivered</w:t>
      </w:r>
      <w:r w:rsidRPr="00EA55D0">
        <w:rPr>
          <w:rFonts w:cs="Arial"/>
          <w:color w:val="auto"/>
        </w:rPr>
        <w:t xml:space="preserve">. The information collected through the ACFR includes </w:t>
      </w:r>
      <w:r w:rsidR="002238C1" w:rsidRPr="00EA55D0">
        <w:rPr>
          <w:rFonts w:cs="Arial"/>
          <w:color w:val="auto"/>
        </w:rPr>
        <w:t xml:space="preserve">the full </w:t>
      </w:r>
      <w:r w:rsidRPr="00EA55D0">
        <w:rPr>
          <w:rFonts w:cs="Arial"/>
          <w:color w:val="auto"/>
        </w:rPr>
        <w:t>cost</w:t>
      </w:r>
      <w:r w:rsidR="009C4CDB" w:rsidRPr="00EA55D0">
        <w:rPr>
          <w:rFonts w:cs="Arial"/>
          <w:color w:val="auto"/>
        </w:rPr>
        <w:t xml:space="preserve"> and hours</w:t>
      </w:r>
      <w:r w:rsidRPr="00EA55D0">
        <w:rPr>
          <w:rFonts w:cs="Arial"/>
          <w:color w:val="auto"/>
        </w:rPr>
        <w:t xml:space="preserve"> of delivering the services, including e.g. travel time and administrative tasks.</w:t>
      </w:r>
      <w:r w:rsidR="00713EEF" w:rsidRPr="00EA55D0">
        <w:rPr>
          <w:rFonts w:cs="Arial"/>
          <w:color w:val="auto"/>
        </w:rPr>
        <w:t xml:space="preserve"> </w:t>
      </w:r>
    </w:p>
    <w:p w14:paraId="2D002137" w14:textId="3CBE29BF" w:rsidR="00FF2F6C" w:rsidRPr="00EA55D0" w:rsidRDefault="00FF2F6C" w:rsidP="00E333F2">
      <w:pPr>
        <w:pStyle w:val="Heading2"/>
      </w:pPr>
      <w:bookmarkStart w:id="78" w:name="_Toc209622239"/>
      <w:r w:rsidRPr="00EA55D0">
        <w:t xml:space="preserve">What if a worker attends a participant’s residence and completes </w:t>
      </w:r>
      <w:proofErr w:type="gramStart"/>
      <w:r w:rsidRPr="00EA55D0">
        <w:t>a number of</w:t>
      </w:r>
      <w:proofErr w:type="gramEnd"/>
      <w:r w:rsidRPr="00EA55D0">
        <w:t xml:space="preserve"> services on the services list including under clinical, </w:t>
      </w:r>
      <w:r w:rsidRPr="00EA55D0">
        <w:lastRenderedPageBreak/>
        <w:t>independence and everyday living services. How do I record these costs and hours?</w:t>
      </w:r>
      <w:bookmarkEnd w:id="78"/>
    </w:p>
    <w:p w14:paraId="790707A1" w14:textId="159E0892" w:rsidR="00FF2F6C" w:rsidRPr="00EA55D0" w:rsidRDefault="00FF2F6C" w:rsidP="00FF2F6C">
      <w:pPr>
        <w:rPr>
          <w:rFonts w:cs="Arial"/>
          <w:color w:val="000000"/>
          <w:shd w:val="clear" w:color="auto" w:fill="FFFFFF"/>
        </w:rPr>
      </w:pPr>
      <w:r w:rsidRPr="00EA55D0">
        <w:rPr>
          <w:rFonts w:cs="Arial"/>
          <w:color w:val="000000"/>
          <w:shd w:val="clear" w:color="auto" w:fill="FFFFFF"/>
        </w:rPr>
        <w:t xml:space="preserve">The </w:t>
      </w:r>
      <w:r w:rsidR="003D7345" w:rsidRPr="00EA55D0">
        <w:rPr>
          <w:rFonts w:cs="Arial"/>
          <w:color w:val="000000"/>
          <w:shd w:val="clear" w:color="auto" w:fill="FFFFFF"/>
        </w:rPr>
        <w:t xml:space="preserve">labour </w:t>
      </w:r>
      <w:r w:rsidRPr="00EA55D0">
        <w:rPr>
          <w:rFonts w:cs="Arial"/>
          <w:color w:val="000000"/>
          <w:shd w:val="clear" w:color="auto" w:fill="FFFFFF"/>
        </w:rPr>
        <w:t xml:space="preserve">costs and hours should be apportioned according to the proportion of </w:t>
      </w:r>
      <w:r w:rsidR="00DC5508" w:rsidRPr="00EA55D0">
        <w:rPr>
          <w:rFonts w:cs="Arial"/>
          <w:color w:val="000000"/>
          <w:shd w:val="clear" w:color="auto" w:fill="FFFFFF"/>
        </w:rPr>
        <w:t xml:space="preserve">time </w:t>
      </w:r>
      <w:r w:rsidRPr="00EA55D0">
        <w:rPr>
          <w:rFonts w:cs="Arial"/>
          <w:color w:val="000000"/>
          <w:shd w:val="clear" w:color="auto" w:fill="FFFFFF"/>
        </w:rPr>
        <w:t xml:space="preserve">spent on each of the services they perform during the one visit. </w:t>
      </w:r>
    </w:p>
    <w:p w14:paraId="59D72054" w14:textId="77777777" w:rsidR="00FF2F6C" w:rsidRPr="00EA55D0" w:rsidRDefault="00FF2F6C" w:rsidP="00D55EFE">
      <w:pPr>
        <w:rPr>
          <w:rFonts w:cs="Arial"/>
          <w:b/>
          <w:bCs/>
          <w:iCs/>
          <w:color w:val="1F848B" w:themeColor="accent1" w:themeShade="BF"/>
          <w:szCs w:val="28"/>
        </w:rPr>
      </w:pPr>
    </w:p>
    <w:p w14:paraId="4A4763C7" w14:textId="4A7B1CA3" w:rsidR="00D55EFE" w:rsidRPr="00EA55D0" w:rsidRDefault="00D55EFE" w:rsidP="00E333F2">
      <w:pPr>
        <w:pStyle w:val="Heading2"/>
      </w:pPr>
      <w:bookmarkStart w:id="79" w:name="_Toc209622240"/>
      <w:r w:rsidRPr="00EA55D0">
        <w:t xml:space="preserve">We employ both care workers that hold a Cert III, as well as care workers who do not yet have a Cert III (these workers only provide domestic assistance). For the purposes of the ACFR, are these workers covered under the ‘Assistants in Nursing’ category? Or </w:t>
      </w:r>
      <w:r w:rsidR="00AD3C1D" w:rsidRPr="00EA55D0">
        <w:t>is</w:t>
      </w:r>
      <w:r w:rsidRPr="00EA55D0">
        <w:t xml:space="preserve"> there another category covering these workers that only perform domestic assistance services.</w:t>
      </w:r>
      <w:bookmarkEnd w:id="79"/>
      <w:r w:rsidRPr="00EA55D0">
        <w:t> </w:t>
      </w:r>
    </w:p>
    <w:p w14:paraId="2FCB9C8A" w14:textId="77777777" w:rsidR="00D55EFE" w:rsidRPr="00EA55D0" w:rsidRDefault="00D55EFE" w:rsidP="00D55EFE">
      <w:pPr>
        <w:rPr>
          <w:rFonts w:eastAsia="Arial" w:cs="Arial"/>
        </w:rPr>
      </w:pPr>
      <w:r w:rsidRPr="00EA55D0">
        <w:rPr>
          <w:rFonts w:cs="Arial"/>
          <w:color w:val="000000"/>
          <w:shd w:val="clear" w:color="auto" w:fill="FFFFFF"/>
        </w:rPr>
        <w:t>Workers who perform services consistent with the “Nursing Assistant” service in the Support at Home Service List should be reported against that category. Workers who perform services in the Domestic Assistance service type (cleaning, etc) should be reported against that category. If the same worker completes different services, labour hours should be allocated to the service(s) they performed.</w:t>
      </w:r>
    </w:p>
    <w:p w14:paraId="305D3361" w14:textId="35F90D55" w:rsidR="00013983" w:rsidRPr="00EA55D0" w:rsidRDefault="00013983" w:rsidP="00E333F2">
      <w:pPr>
        <w:pStyle w:val="Heading2"/>
      </w:pPr>
      <w:bookmarkStart w:id="80" w:name="_Toc209622241"/>
      <w:r w:rsidRPr="00EA55D0">
        <w:t xml:space="preserve">A lot of our part-time workforce is based on a minimum </w:t>
      </w:r>
      <w:proofErr w:type="gramStart"/>
      <w:r w:rsidRPr="00EA55D0">
        <w:t>hours</w:t>
      </w:r>
      <w:proofErr w:type="gramEnd"/>
      <w:r w:rsidRPr="00EA55D0">
        <w:t xml:space="preserve"> arrangement as part of their EBA (i.e. if the total time worked plus the travel is below the minimum, they'll get paid the minimum). How do we tackle this when reporting?</w:t>
      </w:r>
      <w:bookmarkEnd w:id="80"/>
      <w:r w:rsidRPr="00EA55D0">
        <w:t> </w:t>
      </w:r>
      <w:r w:rsidRPr="00EA55D0" w:rsidDel="00366ADE">
        <w:t xml:space="preserve"> </w:t>
      </w:r>
    </w:p>
    <w:p w14:paraId="0288E536" w14:textId="77777777" w:rsidR="00013983" w:rsidRPr="00EA55D0" w:rsidRDefault="00013983" w:rsidP="00013983">
      <w:pPr>
        <w:rPr>
          <w:rFonts w:cs="Arial"/>
          <w:color w:val="000000"/>
          <w:shd w:val="clear" w:color="auto" w:fill="FFFFFF"/>
        </w:rPr>
      </w:pPr>
      <w:r w:rsidRPr="00EA55D0">
        <w:rPr>
          <w:rFonts w:cs="Arial"/>
          <w:color w:val="000000"/>
          <w:shd w:val="clear" w:color="auto" w:fill="FFFFFF"/>
        </w:rPr>
        <w:t xml:space="preserve">The minimum cost will need to be reported. If the worker was scheduled to perform domestic assistance services during their shift but did not meet the minimum hours arrangement, you should report this as a cost against domestic assistance. </w:t>
      </w:r>
    </w:p>
    <w:p w14:paraId="48A3F3B7" w14:textId="573DA8BD" w:rsidR="00D55EFE" w:rsidRPr="00EA55D0" w:rsidRDefault="00D55EFE" w:rsidP="00E333F2">
      <w:pPr>
        <w:pStyle w:val="Heading2"/>
      </w:pPr>
      <w:bookmarkStart w:id="81" w:name="_Toc209622242"/>
      <w:r w:rsidRPr="00EA55D0">
        <w:t xml:space="preserve">We do not provide cars </w:t>
      </w:r>
      <w:r w:rsidR="0079019D" w:rsidRPr="00EA55D0">
        <w:t>for</w:t>
      </w:r>
      <w:r w:rsidRPr="00EA55D0">
        <w:t xml:space="preserve"> our employees but rather provide a per-kilometre reimbursement. Is this categorised as a labour cost?</w:t>
      </w:r>
      <w:bookmarkEnd w:id="81"/>
      <w:r w:rsidRPr="00EA55D0">
        <w:t> </w:t>
      </w:r>
      <w:r w:rsidRPr="00EA55D0" w:rsidDel="00366ADE">
        <w:t xml:space="preserve"> </w:t>
      </w:r>
    </w:p>
    <w:p w14:paraId="54C9891F" w14:textId="255A9A09" w:rsidR="00D55EFE" w:rsidRPr="00EA55D0" w:rsidRDefault="00D55EFE" w:rsidP="00D55EFE">
      <w:pPr>
        <w:rPr>
          <w:color w:val="000000"/>
        </w:rPr>
      </w:pPr>
      <w:r w:rsidRPr="00EA55D0">
        <w:rPr>
          <w:rFonts w:cs="Arial"/>
          <w:color w:val="000000"/>
          <w:shd w:val="clear" w:color="auto" w:fill="FFFFFF"/>
        </w:rPr>
        <w:t xml:space="preserve">All motor vehicle costs including per-kilometre reimbursement associated with transport to and from a participant’s residence </w:t>
      </w:r>
      <w:r w:rsidR="00A819BB" w:rsidRPr="00EA55D0">
        <w:rPr>
          <w:rFonts w:cs="Arial"/>
          <w:color w:val="000000"/>
          <w:shd w:val="clear" w:color="auto" w:fill="FFFFFF"/>
        </w:rPr>
        <w:t>(</w:t>
      </w:r>
      <w:r w:rsidR="00435E90" w:rsidRPr="00EA55D0">
        <w:rPr>
          <w:rFonts w:cs="Arial"/>
          <w:color w:val="000000"/>
          <w:shd w:val="clear" w:color="auto" w:fill="FFFFFF"/>
        </w:rPr>
        <w:t xml:space="preserve">i.e. for non-patient transport services) </w:t>
      </w:r>
      <w:r w:rsidRPr="00EA55D0">
        <w:rPr>
          <w:rFonts w:cs="Arial"/>
          <w:color w:val="000000"/>
          <w:shd w:val="clear" w:color="auto" w:fill="FFFFFF"/>
        </w:rPr>
        <w:t xml:space="preserve">should be reported against Motor Vehicle Expenses (excluding Participant Transport Service expenses) </w:t>
      </w:r>
      <w:r w:rsidRPr="00EA55D0">
        <w:rPr>
          <w:color w:val="000000"/>
        </w:rPr>
        <w:t xml:space="preserve">under Administration &amp; Support expenses within the ACFR. </w:t>
      </w:r>
    </w:p>
    <w:p w14:paraId="529E5BB4" w14:textId="6C08C348" w:rsidR="00D55EFE" w:rsidRPr="00EA55D0" w:rsidRDefault="00D55EFE" w:rsidP="00D55EFE">
      <w:pPr>
        <w:rPr>
          <w:rFonts w:cs="Arial"/>
          <w:color w:val="000000"/>
          <w:shd w:val="clear" w:color="auto" w:fill="FFFFFF"/>
        </w:rPr>
      </w:pPr>
      <w:r w:rsidRPr="00EA55D0">
        <w:rPr>
          <w:color w:val="000000"/>
        </w:rPr>
        <w:t xml:space="preserve">Employee salary costs </w:t>
      </w:r>
      <w:r w:rsidRPr="00EA55D0">
        <w:rPr>
          <w:rFonts w:cs="Arial"/>
          <w:color w:val="000000"/>
          <w:shd w:val="clear" w:color="auto" w:fill="FFFFFF"/>
        </w:rPr>
        <w:t>associated with transport to and from a participant’s residence should be reported as Labour Costs against the service or services being delivered to the participant.</w:t>
      </w:r>
    </w:p>
    <w:p w14:paraId="2030E262" w14:textId="3A2D05B4" w:rsidR="00D55EFE" w:rsidRPr="00EA55D0" w:rsidRDefault="00D55EFE" w:rsidP="00E333F2">
      <w:pPr>
        <w:pStyle w:val="Heading2"/>
      </w:pPr>
      <w:bookmarkStart w:id="82" w:name="_Toc209622243"/>
      <w:r w:rsidRPr="00EA55D0">
        <w:t>Will the ‘Consumables – Clinical Support Services’ item cover anything that we are claiming under the Assisted Technology budget?</w:t>
      </w:r>
      <w:bookmarkEnd w:id="82"/>
      <w:r w:rsidRPr="00EA55D0">
        <w:t xml:space="preserve">  </w:t>
      </w:r>
    </w:p>
    <w:p w14:paraId="0E6982DA" w14:textId="6E761FB6" w:rsidR="00D55EFE" w:rsidRPr="00ED3ABB" w:rsidRDefault="106F8582" w:rsidP="00ED3ABB">
      <w:r w:rsidRPr="00ED3ABB">
        <w:t xml:space="preserve">The AT-HM scheme will provide separate funding to older people to support them to access the products, equipment, and home modifications </w:t>
      </w:r>
      <w:r w:rsidR="7ED5282A" w:rsidRPr="00ED3ABB">
        <w:t xml:space="preserve">they require </w:t>
      </w:r>
      <w:r w:rsidRPr="00ED3ABB">
        <w:t xml:space="preserve">to </w:t>
      </w:r>
      <w:r w:rsidR="06070643" w:rsidRPr="00ED3ABB">
        <w:t xml:space="preserve">meet </w:t>
      </w:r>
      <w:r w:rsidRPr="00ED3ABB">
        <w:t>their</w:t>
      </w:r>
      <w:r w:rsidR="4C75BEDA" w:rsidRPr="00ED3ABB">
        <w:t xml:space="preserve"> needs</w:t>
      </w:r>
      <w:r w:rsidR="0A931E27" w:rsidRPr="00ED3ABB">
        <w:t>,</w:t>
      </w:r>
      <w:r w:rsidR="4C75BEDA" w:rsidRPr="00ED3ABB">
        <w:t xml:space="preserve"> as</w:t>
      </w:r>
      <w:r w:rsidRPr="00ED3ABB">
        <w:t xml:space="preserve"> </w:t>
      </w:r>
      <w:r w:rsidR="0E857ECC" w:rsidRPr="00ED3ABB">
        <w:t>indicated in their aged care assessment</w:t>
      </w:r>
      <w:r w:rsidRPr="00ED3ABB">
        <w:t xml:space="preserve">. </w:t>
      </w:r>
      <w:r w:rsidR="00D55EFE" w:rsidRPr="00ED3ABB">
        <w:t xml:space="preserve">The </w:t>
      </w:r>
      <w:hyperlink r:id="rId42" w:history="1">
        <w:r w:rsidR="00D55EFE" w:rsidRPr="00ED3ABB">
          <w:rPr>
            <w:rStyle w:val="Hyperlink"/>
          </w:rPr>
          <w:t>AT-HM List</w:t>
        </w:r>
      </w:hyperlink>
      <w:r w:rsidR="00D55EFE" w:rsidRPr="00ED3ABB">
        <w:t xml:space="preserve"> sets out a </w:t>
      </w:r>
      <w:r w:rsidR="00D55EFE" w:rsidRPr="00ED3ABB">
        <w:lastRenderedPageBreak/>
        <w:t xml:space="preserve">definitive list of the products, equipment, and </w:t>
      </w:r>
      <w:r w:rsidR="35BD45FF" w:rsidRPr="00ED3ABB">
        <w:t>home modifications</w:t>
      </w:r>
      <w:r w:rsidR="00D55EFE" w:rsidRPr="00ED3ABB">
        <w:t xml:space="preserve"> that Support at Home participants can access through the AT-HM scheme. Many consumables, including continence support products (Clinical supports – Nursing Care – Nursing care consumables) will be available from the Support at Home service list</w:t>
      </w:r>
      <w:r w:rsidR="261D3997" w:rsidRPr="00ED3ABB">
        <w:t xml:space="preserve">. These products are not duplicated on the AT-HM </w:t>
      </w:r>
      <w:r w:rsidR="1C22CD9F" w:rsidRPr="00ED3ABB">
        <w:t>Li</w:t>
      </w:r>
      <w:r w:rsidR="09ACD3E0" w:rsidRPr="00ED3ABB">
        <w:t>st</w:t>
      </w:r>
      <w:r w:rsidR="00D55EFE" w:rsidRPr="00ED3ABB" w:rsidDel="00D55EFE">
        <w:t>.</w:t>
      </w:r>
    </w:p>
    <w:p w14:paraId="0CF15C88" w14:textId="44AE47C2" w:rsidR="00D55EFE" w:rsidRPr="00EA55D0" w:rsidRDefault="00D55EFE" w:rsidP="00E333F2">
      <w:pPr>
        <w:pStyle w:val="Heading2"/>
      </w:pPr>
      <w:bookmarkStart w:id="83" w:name="_Toc209622244"/>
      <w:r w:rsidRPr="00EA55D0">
        <w:t xml:space="preserve">Do labour costs include </w:t>
      </w:r>
      <w:r w:rsidR="00D220AE" w:rsidRPr="00EA55D0">
        <w:t xml:space="preserve">employee </w:t>
      </w:r>
      <w:r w:rsidRPr="00EA55D0">
        <w:t>superannuation and worker’s compensation costs?</w:t>
      </w:r>
      <w:bookmarkEnd w:id="83"/>
      <w:r w:rsidRPr="00EA55D0">
        <w:t> </w:t>
      </w:r>
      <w:r w:rsidRPr="00EA55D0" w:rsidDel="00366ADE">
        <w:t xml:space="preserve"> </w:t>
      </w:r>
    </w:p>
    <w:p w14:paraId="2277945E" w14:textId="47E7C171" w:rsidR="00D55EFE" w:rsidRPr="00EA55D0" w:rsidRDefault="00B14482" w:rsidP="00D55EFE">
      <w:pPr>
        <w:rPr>
          <w:color w:val="000000"/>
        </w:rPr>
      </w:pPr>
      <w:r w:rsidRPr="00EA55D0">
        <w:rPr>
          <w:color w:val="000000"/>
        </w:rPr>
        <w:t xml:space="preserve">No. </w:t>
      </w:r>
      <w:r w:rsidR="007C4F8C" w:rsidRPr="00EA55D0">
        <w:rPr>
          <w:color w:val="000000"/>
        </w:rPr>
        <w:t>In the ACFR l</w:t>
      </w:r>
      <w:r w:rsidR="00D55EFE" w:rsidRPr="00EA55D0">
        <w:rPr>
          <w:color w:val="000000"/>
        </w:rPr>
        <w:t xml:space="preserve">abour costs should only include the employee’s salary. The amount of superannuation that is owed to an employee (along with other employee on-costs) should be reported against the </w:t>
      </w:r>
      <w:r w:rsidR="0069737D" w:rsidRPr="00EA55D0">
        <w:rPr>
          <w:color w:val="000000"/>
        </w:rPr>
        <w:t>“</w:t>
      </w:r>
      <w:r w:rsidR="00D55EFE" w:rsidRPr="00EA55D0">
        <w:rPr>
          <w:color w:val="000000"/>
        </w:rPr>
        <w:t>Superannuation &amp; Employee On-Costs</w:t>
      </w:r>
      <w:r w:rsidR="0069737D" w:rsidRPr="00EA55D0">
        <w:rPr>
          <w:color w:val="000000"/>
        </w:rPr>
        <w:t>”</w:t>
      </w:r>
      <w:r w:rsidR="00D55EFE" w:rsidRPr="00EA55D0">
        <w:rPr>
          <w:color w:val="000000"/>
        </w:rPr>
        <w:t xml:space="preserve"> expense items under Administration &amp; Support expenses. </w:t>
      </w:r>
      <w:r w:rsidR="00F96217" w:rsidRPr="00EA55D0">
        <w:rPr>
          <w:color w:val="000000"/>
        </w:rPr>
        <w:t>This</w:t>
      </w:r>
      <w:r w:rsidR="00314CB0" w:rsidRPr="00EA55D0">
        <w:rPr>
          <w:color w:val="000000"/>
        </w:rPr>
        <w:t xml:space="preserve"> is to avoid having to apportion superannuation and on-cost expenses across </w:t>
      </w:r>
      <w:r w:rsidR="003B7502" w:rsidRPr="00EA55D0">
        <w:rPr>
          <w:color w:val="000000"/>
        </w:rPr>
        <w:t>multiple labour cost</w:t>
      </w:r>
      <w:r w:rsidR="00513D89" w:rsidRPr="00EA55D0">
        <w:rPr>
          <w:color w:val="000000"/>
        </w:rPr>
        <w:t xml:space="preserve"> service list</w:t>
      </w:r>
      <w:r w:rsidR="003B7502" w:rsidRPr="00EA55D0">
        <w:rPr>
          <w:color w:val="000000"/>
        </w:rPr>
        <w:t xml:space="preserve"> items.</w:t>
      </w:r>
    </w:p>
    <w:p w14:paraId="60838E26" w14:textId="60367618" w:rsidR="00D55EFE" w:rsidRPr="00ED3ABB" w:rsidRDefault="00F653C9" w:rsidP="00ED3ABB">
      <w:pPr>
        <w:rPr>
          <w:rFonts w:eastAsia="Arial"/>
        </w:rPr>
      </w:pPr>
      <w:r w:rsidRPr="00ED3ABB">
        <w:t>Workers’</w:t>
      </w:r>
      <w:r w:rsidR="00D55EFE" w:rsidRPr="00ED3ABB">
        <w:t xml:space="preserve"> compensation</w:t>
      </w:r>
      <w:r w:rsidR="004E7FD8" w:rsidRPr="00ED3ABB">
        <w:t xml:space="preserve"> costs</w:t>
      </w:r>
      <w:r w:rsidR="00D55EFE" w:rsidRPr="00ED3ABB">
        <w:t xml:space="preserve"> for all employees should be reported against the Workers Compensation Insurance expense item under Administration &amp; Support expenses. </w:t>
      </w:r>
    </w:p>
    <w:p w14:paraId="31F123E5" w14:textId="1A1F350D" w:rsidR="00D55EFE" w:rsidRPr="00EA55D0" w:rsidRDefault="00D55EFE" w:rsidP="00E333F2">
      <w:pPr>
        <w:pStyle w:val="Heading2"/>
      </w:pPr>
      <w:bookmarkStart w:id="84" w:name="_Toc209622245"/>
      <w:r w:rsidRPr="00EA55D0">
        <w:t>Where should I report meal services provided by organisations like Meals on Wheels or Light and Easy.</w:t>
      </w:r>
      <w:bookmarkEnd w:id="84"/>
      <w:r w:rsidRPr="00EA55D0">
        <w:t xml:space="preserve">  </w:t>
      </w:r>
    </w:p>
    <w:p w14:paraId="0AFAC4BD" w14:textId="5C63ACD3" w:rsidR="00D55EFE" w:rsidRPr="00EA55D0" w:rsidRDefault="00881C2B" w:rsidP="00D55EFE">
      <w:pPr>
        <w:rPr>
          <w:rFonts w:cs="Arial"/>
          <w:color w:val="auto"/>
        </w:rPr>
      </w:pPr>
      <w:r w:rsidRPr="00EA55D0">
        <w:rPr>
          <w:rFonts w:cs="Arial"/>
          <w:color w:val="auto"/>
        </w:rPr>
        <w:t xml:space="preserve">These costs should be reported under Everyday Living Services in the applicable Meal Delivery and Meal Preparation categories. </w:t>
      </w:r>
    </w:p>
    <w:p w14:paraId="30B3667A" w14:textId="098D9C90" w:rsidR="00D55EFE" w:rsidRPr="00EA55D0" w:rsidRDefault="00D55EFE" w:rsidP="00E333F2">
      <w:pPr>
        <w:pStyle w:val="Heading2"/>
      </w:pPr>
      <w:bookmarkStart w:id="85" w:name="_Toc209622246"/>
      <w:r w:rsidRPr="00EA55D0">
        <w:t>How should gardening and maintenance be reported?</w:t>
      </w:r>
      <w:bookmarkEnd w:id="85"/>
      <w:r w:rsidRPr="00EA55D0">
        <w:t xml:space="preserve"> </w:t>
      </w:r>
    </w:p>
    <w:p w14:paraId="6D6F1DF3" w14:textId="72E0E510" w:rsidR="00D55EFE" w:rsidRPr="00EA55D0" w:rsidRDefault="00D55EFE" w:rsidP="00D55EFE">
      <w:pPr>
        <w:rPr>
          <w:rFonts w:cs="Arial"/>
          <w:b/>
          <w:bCs/>
          <w:color w:val="auto"/>
        </w:rPr>
      </w:pPr>
      <w:r w:rsidRPr="00EA55D0">
        <w:rPr>
          <w:rFonts w:cs="Arial"/>
          <w:color w:val="auto"/>
        </w:rPr>
        <w:t xml:space="preserve">Gardening and maintenance should be reported under the </w:t>
      </w:r>
      <w:r w:rsidR="00703584" w:rsidRPr="00EA55D0">
        <w:rPr>
          <w:rFonts w:cs="Arial"/>
          <w:color w:val="auto"/>
        </w:rPr>
        <w:t>E</w:t>
      </w:r>
      <w:r w:rsidRPr="00EA55D0">
        <w:rPr>
          <w:rFonts w:cs="Arial"/>
          <w:color w:val="auto"/>
        </w:rPr>
        <w:t xml:space="preserve">veryday </w:t>
      </w:r>
      <w:r w:rsidR="00703584" w:rsidRPr="00EA55D0">
        <w:rPr>
          <w:rFonts w:cs="Arial"/>
          <w:color w:val="auto"/>
        </w:rPr>
        <w:t>L</w:t>
      </w:r>
      <w:r w:rsidRPr="00EA55D0">
        <w:rPr>
          <w:rFonts w:cs="Arial"/>
          <w:color w:val="auto"/>
        </w:rPr>
        <w:t xml:space="preserve">iving, </w:t>
      </w:r>
      <w:r w:rsidR="00703584" w:rsidRPr="00EA55D0">
        <w:rPr>
          <w:rFonts w:cs="Arial"/>
          <w:color w:val="auto"/>
        </w:rPr>
        <w:t>H</w:t>
      </w:r>
      <w:r w:rsidRPr="00EA55D0">
        <w:rPr>
          <w:rFonts w:cs="Arial"/>
          <w:color w:val="auto"/>
        </w:rPr>
        <w:t xml:space="preserve">ome </w:t>
      </w:r>
      <w:r w:rsidR="00703584" w:rsidRPr="00EA55D0">
        <w:rPr>
          <w:rFonts w:cs="Arial"/>
          <w:color w:val="auto"/>
        </w:rPr>
        <w:t>M</w:t>
      </w:r>
      <w:r w:rsidRPr="00EA55D0">
        <w:rPr>
          <w:rFonts w:cs="Arial"/>
          <w:color w:val="auto"/>
        </w:rPr>
        <w:t xml:space="preserve">aintenance and repairs category. </w:t>
      </w:r>
    </w:p>
    <w:p w14:paraId="5ADCE5FE" w14:textId="0AFA5856" w:rsidR="00D55EFE" w:rsidRPr="00EA55D0" w:rsidRDefault="00D55EFE" w:rsidP="00E333F2">
      <w:pPr>
        <w:pStyle w:val="Heading2"/>
      </w:pPr>
      <w:bookmarkStart w:id="86" w:name="_Toc209622247"/>
      <w:r w:rsidRPr="00EA55D0">
        <w:t xml:space="preserve">If </w:t>
      </w:r>
      <w:r w:rsidR="003B67C1" w:rsidRPr="00EA55D0">
        <w:t>a</w:t>
      </w:r>
      <w:r w:rsidRPr="00EA55D0">
        <w:t xml:space="preserve"> R</w:t>
      </w:r>
      <w:r w:rsidR="003B67C1" w:rsidRPr="00EA55D0">
        <w:t xml:space="preserve">egistered Nurse or Enrolled Nurse </w:t>
      </w:r>
      <w:r w:rsidRPr="00EA55D0">
        <w:t>is providing clinical services as part of restorative care pathway and/or end of life pathway, how should these costs be reported?</w:t>
      </w:r>
      <w:bookmarkEnd w:id="86"/>
      <w:r w:rsidRPr="00EA55D0">
        <w:t xml:space="preserve"> </w:t>
      </w:r>
    </w:p>
    <w:p w14:paraId="67701EB5" w14:textId="77777777" w:rsidR="00D55EFE" w:rsidRPr="00EA55D0" w:rsidRDefault="00D55EFE" w:rsidP="00D55EFE">
      <w:pPr>
        <w:rPr>
          <w:rFonts w:cs="Arial"/>
          <w:b/>
          <w:bCs/>
          <w:color w:val="auto"/>
        </w:rPr>
      </w:pPr>
      <w:r w:rsidRPr="00EA55D0">
        <w:rPr>
          <w:rFonts w:cs="Arial"/>
          <w:color w:val="auto"/>
        </w:rPr>
        <w:t xml:space="preserve">These costs should be reported under the applicable staff category under the restorative care or end of life pathway. </w:t>
      </w:r>
    </w:p>
    <w:p w14:paraId="13EC5FF6" w14:textId="41A151CF" w:rsidR="00D55EFE" w:rsidRPr="00EA55D0" w:rsidRDefault="00D55EFE" w:rsidP="00E333F2">
      <w:pPr>
        <w:pStyle w:val="Heading2"/>
      </w:pPr>
      <w:bookmarkStart w:id="87" w:name="_Toc209622248"/>
      <w:r w:rsidRPr="00EA55D0">
        <w:t xml:space="preserve">How </w:t>
      </w:r>
      <w:r w:rsidR="0096070E" w:rsidRPr="00EA55D0">
        <w:t xml:space="preserve">should </w:t>
      </w:r>
      <w:r w:rsidR="004F5DF6" w:rsidRPr="00EA55D0">
        <w:t xml:space="preserve">labour </w:t>
      </w:r>
      <w:r w:rsidRPr="00EA55D0">
        <w:t xml:space="preserve">costs for management and administration staff </w:t>
      </w:r>
      <w:r w:rsidR="004373AE" w:rsidRPr="00EA55D0">
        <w:t>(including the CEO) of</w:t>
      </w:r>
      <w:r w:rsidRPr="00EA55D0">
        <w:t xml:space="preserve"> Support at Home </w:t>
      </w:r>
      <w:r w:rsidR="004373AE" w:rsidRPr="00EA55D0">
        <w:t>providers</w:t>
      </w:r>
      <w:r w:rsidRPr="00EA55D0">
        <w:t xml:space="preserve"> be </w:t>
      </w:r>
      <w:r w:rsidR="004373AE" w:rsidRPr="00EA55D0">
        <w:t>reported</w:t>
      </w:r>
      <w:r w:rsidRPr="00EA55D0">
        <w:t>?</w:t>
      </w:r>
      <w:bookmarkEnd w:id="87"/>
    </w:p>
    <w:p w14:paraId="6E2A20A7" w14:textId="76D42CD0" w:rsidR="00D55EFE" w:rsidRPr="00EA55D0" w:rsidRDefault="00D55EFE" w:rsidP="00D55EFE">
      <w:pPr>
        <w:rPr>
          <w:rFonts w:eastAsia="Calibri"/>
        </w:rPr>
      </w:pPr>
      <w:r w:rsidRPr="00EA55D0">
        <w:rPr>
          <w:rFonts w:eastAsia="Calibri"/>
        </w:rPr>
        <w:t xml:space="preserve">The </w:t>
      </w:r>
      <w:r w:rsidR="00C4761F" w:rsidRPr="00EA55D0">
        <w:rPr>
          <w:rFonts w:eastAsia="Calibri"/>
        </w:rPr>
        <w:t>labour costs of</w:t>
      </w:r>
      <w:r w:rsidRPr="00EA55D0">
        <w:rPr>
          <w:rFonts w:eastAsia="Calibri"/>
          <w:spacing w:val="-5"/>
        </w:rPr>
        <w:t xml:space="preserve"> </w:t>
      </w:r>
      <w:r w:rsidR="00C56C34" w:rsidRPr="00EA55D0">
        <w:rPr>
          <w:rFonts w:eastAsia="Calibri"/>
          <w:spacing w:val="-5"/>
        </w:rPr>
        <w:t xml:space="preserve">management and </w:t>
      </w:r>
      <w:r w:rsidRPr="00EA55D0">
        <w:rPr>
          <w:rFonts w:eastAsia="Calibri"/>
        </w:rPr>
        <w:t>administrative</w:t>
      </w:r>
      <w:r w:rsidRPr="00EA55D0">
        <w:rPr>
          <w:rFonts w:eastAsia="Calibri"/>
          <w:spacing w:val="-4"/>
        </w:rPr>
        <w:t xml:space="preserve"> </w:t>
      </w:r>
      <w:r w:rsidR="00C56C34" w:rsidRPr="00EA55D0">
        <w:rPr>
          <w:rFonts w:eastAsia="Calibri"/>
          <w:spacing w:val="-4"/>
        </w:rPr>
        <w:t>staff</w:t>
      </w:r>
      <w:r w:rsidRPr="00EA55D0">
        <w:rPr>
          <w:rFonts w:eastAsia="Calibri"/>
          <w:spacing w:val="-5"/>
        </w:rPr>
        <w:t xml:space="preserve"> </w:t>
      </w:r>
      <w:r w:rsidRPr="00EA55D0">
        <w:rPr>
          <w:rFonts w:eastAsia="Calibri"/>
        </w:rPr>
        <w:t>(including senior management and director fees) should be included in</w:t>
      </w:r>
      <w:r w:rsidR="003E75BC" w:rsidRPr="00EA55D0">
        <w:rPr>
          <w:rFonts w:eastAsia="Calibri"/>
        </w:rPr>
        <w:t xml:space="preserve"> “Labour Costs – Administration and non-care staff”</w:t>
      </w:r>
      <w:r w:rsidR="008F558E" w:rsidRPr="00EA55D0">
        <w:rPr>
          <w:rFonts w:eastAsia="Calibri"/>
        </w:rPr>
        <w:t xml:space="preserve"> under</w:t>
      </w:r>
      <w:r w:rsidRPr="00EA55D0">
        <w:rPr>
          <w:rFonts w:eastAsia="Calibri"/>
        </w:rPr>
        <w:t xml:space="preserve"> </w:t>
      </w:r>
      <w:r w:rsidR="008F558E" w:rsidRPr="00EA55D0">
        <w:rPr>
          <w:rFonts w:eastAsia="Calibri"/>
        </w:rPr>
        <w:t>“</w:t>
      </w:r>
      <w:r w:rsidRPr="00EA55D0">
        <w:rPr>
          <w:rFonts w:eastAsia="Calibri"/>
        </w:rPr>
        <w:t xml:space="preserve">Administration and </w:t>
      </w:r>
      <w:r w:rsidR="00C4761F" w:rsidRPr="00EA55D0">
        <w:rPr>
          <w:rFonts w:eastAsia="Calibri"/>
        </w:rPr>
        <w:t>Support</w:t>
      </w:r>
      <w:r w:rsidRPr="00EA55D0">
        <w:rPr>
          <w:rFonts w:eastAsia="Calibri"/>
        </w:rPr>
        <w:t xml:space="preserve"> </w:t>
      </w:r>
      <w:r w:rsidR="00C4761F" w:rsidRPr="00EA55D0">
        <w:rPr>
          <w:rFonts w:eastAsia="Calibri"/>
        </w:rPr>
        <w:t>Expenses</w:t>
      </w:r>
      <w:r w:rsidR="008F558E" w:rsidRPr="00EA55D0">
        <w:rPr>
          <w:rFonts w:eastAsia="Calibri"/>
        </w:rPr>
        <w:t>”</w:t>
      </w:r>
      <w:r w:rsidRPr="00EA55D0">
        <w:rPr>
          <w:rFonts w:eastAsia="Calibri"/>
        </w:rPr>
        <w:t xml:space="preserve">. </w:t>
      </w:r>
    </w:p>
    <w:p w14:paraId="6133A106" w14:textId="5C1EB39D" w:rsidR="00D55EFE" w:rsidRPr="00EA55D0" w:rsidRDefault="008F558E" w:rsidP="00D55EFE">
      <w:pPr>
        <w:rPr>
          <w:rFonts w:eastAsia="Calibri"/>
          <w:spacing w:val="-2"/>
        </w:rPr>
      </w:pPr>
      <w:r w:rsidRPr="00EA55D0">
        <w:rPr>
          <w:rFonts w:eastAsia="Calibri"/>
        </w:rPr>
        <w:lastRenderedPageBreak/>
        <w:t xml:space="preserve">An </w:t>
      </w:r>
      <w:r w:rsidR="00D55EFE" w:rsidRPr="00EA55D0">
        <w:rPr>
          <w:rFonts w:eastAsia="Calibri"/>
        </w:rPr>
        <w:t xml:space="preserve">apportionment of administration costs from </w:t>
      </w:r>
      <w:r w:rsidR="003D4C58" w:rsidRPr="00EA55D0">
        <w:rPr>
          <w:rFonts w:eastAsia="Calibri"/>
        </w:rPr>
        <w:t>an</w:t>
      </w:r>
      <w:r w:rsidR="00D55EFE" w:rsidRPr="00EA55D0">
        <w:rPr>
          <w:rFonts w:eastAsia="Calibri"/>
        </w:rPr>
        <w:t xml:space="preserve"> organisation's corporate</w:t>
      </w:r>
      <w:r w:rsidR="00D55EFE" w:rsidRPr="00EA55D0">
        <w:rPr>
          <w:rFonts w:eastAsia="Calibri"/>
          <w:spacing w:val="-1"/>
        </w:rPr>
        <w:t xml:space="preserve"> </w:t>
      </w:r>
      <w:r w:rsidR="00D55EFE" w:rsidRPr="00EA55D0">
        <w:rPr>
          <w:rFonts w:eastAsia="Calibri"/>
        </w:rPr>
        <w:t>head</w:t>
      </w:r>
      <w:r w:rsidR="00D55EFE" w:rsidRPr="00EA55D0">
        <w:rPr>
          <w:rFonts w:eastAsia="Calibri"/>
          <w:spacing w:val="-4"/>
        </w:rPr>
        <w:t xml:space="preserve"> </w:t>
      </w:r>
      <w:r w:rsidR="00D55EFE" w:rsidRPr="00EA55D0">
        <w:rPr>
          <w:rFonts w:eastAsia="Calibri"/>
        </w:rPr>
        <w:t>office</w:t>
      </w:r>
      <w:r w:rsidR="00D55EFE" w:rsidRPr="00EA55D0">
        <w:rPr>
          <w:rFonts w:eastAsia="Calibri"/>
          <w:spacing w:val="-1"/>
        </w:rPr>
        <w:t xml:space="preserve"> </w:t>
      </w:r>
      <w:r w:rsidR="00D55EFE" w:rsidRPr="00EA55D0">
        <w:rPr>
          <w:rFonts w:eastAsia="Calibri"/>
        </w:rPr>
        <w:t>should be included in corporate recharge in the ACFR. Corporate</w:t>
      </w:r>
      <w:r w:rsidR="00D55EFE" w:rsidRPr="00EA55D0">
        <w:rPr>
          <w:rFonts w:eastAsia="Calibri"/>
          <w:spacing w:val="-2"/>
        </w:rPr>
        <w:t xml:space="preserve"> </w:t>
      </w:r>
      <w:r w:rsidR="00D55EFE" w:rsidRPr="00EA55D0">
        <w:rPr>
          <w:rFonts w:eastAsia="Calibri"/>
        </w:rPr>
        <w:t>recharge</w:t>
      </w:r>
      <w:r w:rsidR="00D55EFE" w:rsidRPr="00EA55D0">
        <w:rPr>
          <w:rFonts w:eastAsia="Calibri"/>
          <w:spacing w:val="-4"/>
        </w:rPr>
        <w:t xml:space="preserve"> </w:t>
      </w:r>
      <w:r w:rsidR="00D55EFE" w:rsidRPr="00EA55D0">
        <w:rPr>
          <w:rFonts w:eastAsia="Calibri"/>
        </w:rPr>
        <w:t>is</w:t>
      </w:r>
      <w:r w:rsidR="00D55EFE" w:rsidRPr="00EA55D0">
        <w:rPr>
          <w:rFonts w:eastAsia="Calibri"/>
          <w:spacing w:val="-2"/>
        </w:rPr>
        <w:t xml:space="preserve"> </w:t>
      </w:r>
      <w:r w:rsidR="00D55EFE" w:rsidRPr="00EA55D0">
        <w:rPr>
          <w:rFonts w:eastAsia="Calibri"/>
        </w:rPr>
        <w:t>not</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2"/>
        </w:rPr>
        <w:t xml:space="preserve"> </w:t>
      </w:r>
      <w:r w:rsidR="00D55EFE" w:rsidRPr="00EA55D0">
        <w:rPr>
          <w:rFonts w:eastAsia="Calibri"/>
        </w:rPr>
        <w:t>in</w:t>
      </w:r>
      <w:r w:rsidR="00D55EFE" w:rsidRPr="00EA55D0">
        <w:rPr>
          <w:rFonts w:eastAsia="Calibri"/>
          <w:spacing w:val="-3"/>
        </w:rPr>
        <w:t xml:space="preserve"> </w:t>
      </w:r>
      <w:r w:rsidR="00D55EFE" w:rsidRPr="00EA55D0">
        <w:rPr>
          <w:rFonts w:eastAsia="Calibri"/>
        </w:rPr>
        <w:t>the</w:t>
      </w:r>
      <w:r w:rsidR="00D55EFE" w:rsidRPr="00EA55D0">
        <w:rPr>
          <w:rFonts w:eastAsia="Calibri"/>
          <w:spacing w:val="-2"/>
        </w:rPr>
        <w:t xml:space="preserve"> </w:t>
      </w:r>
      <w:r w:rsidR="00D55EFE" w:rsidRPr="00EA55D0">
        <w:rPr>
          <w:rFonts w:eastAsia="Calibri"/>
        </w:rPr>
        <w:t>QFR</w:t>
      </w:r>
      <w:r w:rsidR="00D55EFE" w:rsidRPr="00EA55D0">
        <w:rPr>
          <w:rFonts w:eastAsia="Calibri"/>
          <w:spacing w:val="-5"/>
        </w:rPr>
        <w:t xml:space="preserve"> </w:t>
      </w:r>
      <w:r w:rsidR="00D55EFE" w:rsidRPr="00EA55D0">
        <w:rPr>
          <w:rFonts w:eastAsia="Calibri"/>
        </w:rPr>
        <w:t>but</w:t>
      </w:r>
      <w:r w:rsidR="00D55EFE" w:rsidRPr="00EA55D0">
        <w:rPr>
          <w:rFonts w:eastAsia="Calibri"/>
          <w:spacing w:val="-2"/>
        </w:rPr>
        <w:t xml:space="preserve"> </w:t>
      </w:r>
      <w:r w:rsidR="00D55EFE" w:rsidRPr="00EA55D0">
        <w:rPr>
          <w:rFonts w:eastAsia="Calibri"/>
        </w:rPr>
        <w:t>is</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3"/>
        </w:rPr>
        <w:t xml:space="preserve"> </w:t>
      </w:r>
      <w:r w:rsidR="00D55EFE" w:rsidRPr="00EA55D0">
        <w:rPr>
          <w:rFonts w:eastAsia="Calibri"/>
        </w:rPr>
        <w:t>in</w:t>
      </w:r>
      <w:r w:rsidR="00D55EFE" w:rsidRPr="00EA55D0">
        <w:rPr>
          <w:rFonts w:eastAsia="Calibri"/>
          <w:spacing w:val="-2"/>
        </w:rPr>
        <w:t xml:space="preserve"> </w:t>
      </w:r>
      <w:r w:rsidR="00D55EFE" w:rsidRPr="00EA55D0">
        <w:rPr>
          <w:rFonts w:eastAsia="Calibri"/>
        </w:rPr>
        <w:t>the</w:t>
      </w:r>
      <w:r w:rsidR="00D55EFE" w:rsidRPr="00EA55D0">
        <w:rPr>
          <w:rFonts w:eastAsia="Calibri"/>
          <w:spacing w:val="-1"/>
        </w:rPr>
        <w:t xml:space="preserve"> </w:t>
      </w:r>
      <w:r w:rsidR="00D55EFE" w:rsidRPr="00EA55D0">
        <w:rPr>
          <w:rFonts w:eastAsia="Calibri"/>
          <w:spacing w:val="-2"/>
        </w:rPr>
        <w:t>ACFR.</w:t>
      </w:r>
    </w:p>
    <w:p w14:paraId="14B554D9" w14:textId="035253EF" w:rsidR="00D55EFE" w:rsidRPr="00EA55D0" w:rsidRDefault="00D55EFE" w:rsidP="00E333F2">
      <w:pPr>
        <w:pStyle w:val="Heading2"/>
      </w:pPr>
      <w:bookmarkStart w:id="88" w:name="_Toc183446618"/>
      <w:bookmarkStart w:id="89" w:name="_Toc209622249"/>
      <w:r w:rsidRPr="00EA55D0">
        <w:t>What’s the difference between</w:t>
      </w:r>
      <w:r w:rsidR="00B9400F" w:rsidRPr="00EA55D0">
        <w:t xml:space="preserve"> agency, brokerage and</w:t>
      </w:r>
      <w:r w:rsidRPr="00EA55D0">
        <w:t xml:space="preserve"> franchise?</w:t>
      </w:r>
      <w:bookmarkEnd w:id="88"/>
      <w:bookmarkEnd w:id="89"/>
    </w:p>
    <w:p w14:paraId="34C62308" w14:textId="77777777" w:rsidR="00B9400F" w:rsidRPr="00EA55D0" w:rsidRDefault="00B9400F" w:rsidP="00D1424D">
      <w:pPr>
        <w:numPr>
          <w:ilvl w:val="0"/>
          <w:numId w:val="19"/>
        </w:numPr>
      </w:pPr>
      <w:r w:rsidRPr="00EA55D0">
        <w:t>Agency is a short-term solution to seek external provision of services that are usually delivered internally.</w:t>
      </w:r>
    </w:p>
    <w:p w14:paraId="53D34DB9" w14:textId="77777777" w:rsidR="005047DD" w:rsidRPr="00EA55D0" w:rsidRDefault="005047DD" w:rsidP="00D1424D">
      <w:pPr>
        <w:numPr>
          <w:ilvl w:val="0"/>
          <w:numId w:val="19"/>
        </w:numPr>
      </w:pPr>
      <w:r w:rsidRPr="00EA55D0">
        <w:t>Brokerage is an arrangement where the provider responsible for servicing participants selects someone external to their business to deliver specific services, however the provider is still usually in control of the care management and administration of Support at Home services.</w:t>
      </w:r>
    </w:p>
    <w:p w14:paraId="0160B009" w14:textId="516549A5" w:rsidR="00D55EFE" w:rsidRPr="00EA55D0" w:rsidRDefault="00D55EFE" w:rsidP="00D1424D">
      <w:pPr>
        <w:numPr>
          <w:ilvl w:val="0"/>
          <w:numId w:val="19"/>
        </w:numPr>
      </w:pPr>
      <w:r w:rsidRPr="00EA55D0">
        <w:t>A franchise is a business arrangement where an entity (the franchisee) enters an agreement to pay an established aged care provider (the franchisor) for the use of their brand name and other intangibles. The franchisor usually has no direct involvement with the service delivery and is simply paid a royalty for their brand reputation.</w:t>
      </w:r>
    </w:p>
    <w:p w14:paraId="0EA60AFD" w14:textId="6BD3D9E7" w:rsidR="00D8724E" w:rsidRPr="00EA55D0" w:rsidRDefault="00D8724E" w:rsidP="00E333F2">
      <w:pPr>
        <w:pStyle w:val="Heading2"/>
      </w:pPr>
      <w:bookmarkStart w:id="90" w:name="_Toc209622250"/>
      <w:r w:rsidRPr="00EA55D0">
        <w:t>What if a brokered allied health provider is not providing the required amount of detail in invoices?</w:t>
      </w:r>
      <w:bookmarkEnd w:id="90"/>
      <w:r w:rsidRPr="00EA55D0">
        <w:t xml:space="preserve">  </w:t>
      </w:r>
    </w:p>
    <w:p w14:paraId="130045AF" w14:textId="77777777" w:rsidR="00D8724E" w:rsidRPr="00EA55D0" w:rsidRDefault="00D8724E" w:rsidP="00D8724E">
      <w:pPr>
        <w:rPr>
          <w:rFonts w:cs="Arial"/>
          <w:color w:val="auto"/>
        </w:rPr>
      </w:pPr>
      <w:r w:rsidRPr="00EA55D0">
        <w:rPr>
          <w:rFonts w:cs="Arial"/>
          <w:color w:val="auto"/>
        </w:rPr>
        <w:t xml:space="preserve">The department encourages you to work with the allied health provider to explain the level of detail required on invoices to enable you to complete the Income and Expenditure Statement. </w:t>
      </w:r>
    </w:p>
    <w:p w14:paraId="08374ACF" w14:textId="2B3CC2F3" w:rsidR="00D55EFE" w:rsidRPr="00EA55D0" w:rsidRDefault="00226937" w:rsidP="00E333F2">
      <w:pPr>
        <w:pStyle w:val="Heading2"/>
      </w:pPr>
      <w:bookmarkStart w:id="91" w:name="_Toc209622251"/>
      <w:r w:rsidRPr="00EA55D0">
        <w:t>Can we</w:t>
      </w:r>
      <w:r w:rsidR="00D55EFE" w:rsidRPr="00EA55D0">
        <w:t xml:space="preserve"> charge the client for labour costs or admin</w:t>
      </w:r>
      <w:r w:rsidRPr="00EA55D0">
        <w:t>istration</w:t>
      </w:r>
      <w:r w:rsidR="00D55EFE" w:rsidRPr="00EA55D0">
        <w:t xml:space="preserve"> co-ordination under the Assisted Technology </w:t>
      </w:r>
      <w:r w:rsidR="00726778" w:rsidRPr="00EA55D0">
        <w:t xml:space="preserve">and Home Modification </w:t>
      </w:r>
      <w:r w:rsidRPr="00EA55D0">
        <w:t>Service List item</w:t>
      </w:r>
      <w:r w:rsidR="00D55EFE" w:rsidRPr="00EA55D0">
        <w:t>?</w:t>
      </w:r>
      <w:bookmarkEnd w:id="91"/>
    </w:p>
    <w:p w14:paraId="4C3DA46A" w14:textId="4CAC7883" w:rsidR="00D55EFE" w:rsidRPr="00EA55D0" w:rsidRDefault="00D55EFE" w:rsidP="00D55EFE">
      <w:r w:rsidRPr="00EA55D0">
        <w:t xml:space="preserve">We know that providers will incur administrative costs associated with the provision of assistive technology (AT) to </w:t>
      </w:r>
      <w:r w:rsidR="204CB336" w:rsidRPr="00EA55D0">
        <w:t>older people</w:t>
      </w:r>
      <w:r w:rsidRPr="00EA55D0">
        <w:t>, which is not included in care management. These activities, such as sourcing and ordering items, scheduling wrap-around services and</w:t>
      </w:r>
      <w:r w:rsidR="4FC519B8" w:rsidRPr="00EA55D0">
        <w:t xml:space="preserve"> managing quotes</w:t>
      </w:r>
      <w:r w:rsidRPr="00EA55D0">
        <w:t>, will be compensated through the participant’s AT funding tier. To prevent unreasonably high administration costs and to ensure most of a participant’s AT funding goes towards the cost of items and wrap-around services, providers may charge up to 10% of the cost of the item or item bundle or up to $500 (whichever is lower).</w:t>
      </w:r>
      <w:r w:rsidRPr="00EA55D0">
        <w:rPr>
          <w:b/>
          <w:bCs/>
        </w:rPr>
        <w:t> </w:t>
      </w:r>
      <w:r w:rsidRPr="00EA55D0">
        <w:t> </w:t>
      </w:r>
    </w:p>
    <w:p w14:paraId="55E192A7" w14:textId="77777777" w:rsidR="00AD3D5B" w:rsidRPr="00EA55D0" w:rsidRDefault="00D55EFE" w:rsidP="00D55EFE">
      <w:pPr>
        <w:rPr>
          <w:b/>
          <w:bCs/>
        </w:rPr>
      </w:pPr>
      <w:r w:rsidRPr="00EA55D0">
        <w:t>For the provision of home modifications (HM)</w:t>
      </w:r>
      <w:r w:rsidR="00C4259F" w:rsidRPr="00EA55D0">
        <w:t>,</w:t>
      </w:r>
      <w:r w:rsidRPr="00EA55D0">
        <w:t xml:space="preserve"> coordination and project management activities incurred by the provider will be compensated through the participant’s HM funding tier. Providers may charge up to 15% of the total quoted cost of the home modification, or up to $1,500 (whichever is lower).</w:t>
      </w:r>
      <w:r w:rsidRPr="00EA55D0">
        <w:rPr>
          <w:b/>
          <w:bCs/>
        </w:rPr>
        <w:t> </w:t>
      </w:r>
    </w:p>
    <w:p w14:paraId="73D95FB4" w14:textId="7A101424" w:rsidR="00D55EFE" w:rsidRDefault="00D55EFE" w:rsidP="00D55EFE">
      <w:r w:rsidRPr="00EA55D0">
        <w:t>Subsidies for a provider’s AT administration or HM coordination costs do not cover any care management tasks, business overheads or costs, marketing costs, or direct service charges (as per current HCP package management rules). </w:t>
      </w:r>
    </w:p>
    <w:p w14:paraId="182D9F22" w14:textId="77777777" w:rsidR="00F74C2C" w:rsidRPr="00EA55D0" w:rsidRDefault="00F74C2C" w:rsidP="00D55EFE"/>
    <w:p w14:paraId="268F3421" w14:textId="77777777" w:rsidR="00656E7E" w:rsidRPr="00EA55D0" w:rsidRDefault="00656E7E" w:rsidP="00F74C2C">
      <w:pPr>
        <w:pStyle w:val="SubjectHeading"/>
      </w:pPr>
      <w:r w:rsidRPr="00EA55D0">
        <w:t>Labour Hours</w:t>
      </w:r>
    </w:p>
    <w:p w14:paraId="5ECFAE07" w14:textId="0CC97191" w:rsidR="00656E7E" w:rsidRPr="00EA55D0" w:rsidRDefault="00656E7E" w:rsidP="00E333F2">
      <w:pPr>
        <w:pStyle w:val="Heading2"/>
      </w:pPr>
      <w:bookmarkStart w:id="92" w:name="_Toc209622252"/>
      <w:r w:rsidRPr="00EA55D0">
        <w:t>Will labour hours for employees, agency staff and brokered staff (split out by service type) be required in the ACFR?</w:t>
      </w:r>
      <w:bookmarkEnd w:id="92"/>
      <w:r w:rsidRPr="00EA55D0">
        <w:t>  </w:t>
      </w:r>
      <w:r w:rsidRPr="00EA55D0" w:rsidDel="00366ADE">
        <w:t xml:space="preserve"> </w:t>
      </w:r>
    </w:p>
    <w:p w14:paraId="5BC17DB1" w14:textId="77777777" w:rsidR="00745929" w:rsidRPr="00EA55D0" w:rsidRDefault="00656E7E" w:rsidP="00656E7E">
      <w:pPr>
        <w:rPr>
          <w:rFonts w:cs="Arial"/>
          <w:color w:val="auto"/>
        </w:rPr>
      </w:pPr>
      <w:r w:rsidRPr="00EA55D0">
        <w:rPr>
          <w:rFonts w:cs="Arial"/>
          <w:color w:val="auto"/>
        </w:rPr>
        <w:t>Labour hours for Support at Home agency and brokered staff will not be collected in the Support at Home Income and Expenditure Statement, however labour hours for employees (split by service type) will be collected. </w:t>
      </w:r>
    </w:p>
    <w:p w14:paraId="60542CCA" w14:textId="0F9812AF" w:rsidR="00656E7E" w:rsidRPr="00EA55D0" w:rsidRDefault="00656E7E" w:rsidP="00656E7E">
      <w:pPr>
        <w:rPr>
          <w:rFonts w:cs="Arial"/>
          <w:color w:val="auto"/>
        </w:rPr>
      </w:pPr>
      <w:r w:rsidRPr="00EA55D0">
        <w:rPr>
          <w:rFonts w:cs="Arial"/>
          <w:color w:val="auto"/>
        </w:rPr>
        <w:t xml:space="preserve">Labour hours will also be collected for Care Management, Administration and Non-Care staff. Non-worked hours (for direct care – employee care staff and other employee staff employed in a direct care role) will also be collected in the ACFR. </w:t>
      </w:r>
    </w:p>
    <w:p w14:paraId="184730F4" w14:textId="34492855" w:rsidR="00656E7E" w:rsidRPr="00EA55D0" w:rsidRDefault="00656E7E" w:rsidP="00E333F2">
      <w:pPr>
        <w:pStyle w:val="Heading2"/>
      </w:pPr>
      <w:bookmarkStart w:id="93" w:name="_Toc209622253"/>
      <w:r w:rsidRPr="00EA55D0">
        <w:t>Should travel time be included in non-worked hours?</w:t>
      </w:r>
      <w:bookmarkEnd w:id="93"/>
    </w:p>
    <w:p w14:paraId="75397D7D" w14:textId="73858760" w:rsidR="00D55EFE" w:rsidRPr="00F32566" w:rsidRDefault="00656E7E" w:rsidP="00F32566">
      <w:pPr>
        <w:rPr>
          <w:rFonts w:cs="Arial"/>
          <w:color w:val="auto"/>
        </w:rPr>
      </w:pPr>
      <w:r w:rsidRPr="00EA55D0">
        <w:rPr>
          <w:rFonts w:cs="Arial"/>
          <w:color w:val="auto"/>
        </w:rPr>
        <w:t>No. Travel time</w:t>
      </w:r>
      <w:r w:rsidR="00725D97" w:rsidRPr="00EA55D0">
        <w:rPr>
          <w:rFonts w:cs="Arial"/>
          <w:color w:val="auto"/>
        </w:rPr>
        <w:t xml:space="preserve"> to and from a </w:t>
      </w:r>
      <w:r w:rsidR="00564811" w:rsidRPr="00EA55D0">
        <w:rPr>
          <w:rFonts w:cs="Arial"/>
          <w:color w:val="auto"/>
        </w:rPr>
        <w:t>participant</w:t>
      </w:r>
      <w:r w:rsidRPr="00EA55D0">
        <w:rPr>
          <w:rFonts w:cs="Arial"/>
          <w:color w:val="auto"/>
        </w:rPr>
        <w:t xml:space="preserve"> should be included in labour costs and hours.</w:t>
      </w:r>
    </w:p>
    <w:p w14:paraId="413269A7" w14:textId="31E96F55" w:rsidR="00F42346" w:rsidRPr="00EA55D0" w:rsidRDefault="00F42346" w:rsidP="003B66FC">
      <w:pPr>
        <w:pStyle w:val="Heading1"/>
      </w:pPr>
      <w:bookmarkStart w:id="94" w:name="_Toc184198011"/>
      <w:bookmarkStart w:id="95" w:name="_Toc192694879"/>
      <w:bookmarkStart w:id="96" w:name="_Toc209774719"/>
      <w:r w:rsidRPr="00EA55D0">
        <w:t>Annual Prudential Compliance Statement</w:t>
      </w:r>
      <w:bookmarkEnd w:id="94"/>
      <w:bookmarkEnd w:id="95"/>
      <w:bookmarkEnd w:id="96"/>
    </w:p>
    <w:p w14:paraId="01BFF2AD" w14:textId="5CA894A3" w:rsidR="00F42346" w:rsidRPr="00EA55D0" w:rsidRDefault="00217EE3" w:rsidP="00F42346">
      <w:pPr>
        <w:rPr>
          <w:rFonts w:eastAsiaTheme="majorEastAsia"/>
          <w:b/>
          <w:bCs/>
          <w:i/>
          <w:iCs/>
          <w:color w:val="auto"/>
        </w:rPr>
      </w:pPr>
      <w:r w:rsidRPr="00EA55D0">
        <w:rPr>
          <w:b/>
          <w:bCs/>
          <w:i/>
          <w:iCs/>
        </w:rPr>
        <w:t>Placeholder – further information to be provided.</w:t>
      </w:r>
    </w:p>
    <w:p w14:paraId="688E0FB7" w14:textId="4941A899" w:rsidR="00801A50" w:rsidRPr="00EA55D0" w:rsidRDefault="00801A50" w:rsidP="003B66FC">
      <w:pPr>
        <w:pStyle w:val="Heading1"/>
        <w:rPr>
          <w:rFonts w:eastAsia="Calibri Light"/>
        </w:rPr>
      </w:pPr>
      <w:bookmarkStart w:id="97" w:name="_Toc205730284"/>
      <w:bookmarkStart w:id="98" w:name="_Toc209774720"/>
      <w:bookmarkStart w:id="99" w:name="_Toc488160257"/>
      <w:r w:rsidRPr="00EA55D0">
        <w:rPr>
          <w:rFonts w:eastAsia="Calibri Light"/>
        </w:rPr>
        <w:t>Survey of Aged Care Homes</w:t>
      </w:r>
      <w:bookmarkEnd w:id="97"/>
      <w:bookmarkEnd w:id="98"/>
    </w:p>
    <w:p w14:paraId="4E49E00E" w14:textId="694F71BA" w:rsidR="006C3FDF" w:rsidRPr="00EA55D0" w:rsidRDefault="00801A50" w:rsidP="00801A50">
      <w:r w:rsidRPr="00EA55D0">
        <w:t xml:space="preserve">The </w:t>
      </w:r>
      <w:r w:rsidR="00842C71" w:rsidRPr="00EA55D0">
        <w:t xml:space="preserve">Survey of Aged Care Homes (SACH) </w:t>
      </w:r>
      <w:r w:rsidR="006446EA" w:rsidRPr="00EA55D0">
        <w:t xml:space="preserve">is only required to be completed </w:t>
      </w:r>
      <w:r w:rsidR="00FA480F" w:rsidRPr="00EA55D0">
        <w:t>by residential aged care prov</w:t>
      </w:r>
      <w:r w:rsidR="006C3FDF" w:rsidRPr="00EA55D0">
        <w:t xml:space="preserve">iders and </w:t>
      </w:r>
      <w:r w:rsidR="006134F8" w:rsidRPr="00EA55D0">
        <w:t>includes details of</w:t>
      </w:r>
      <w:r w:rsidR="006C3FDF" w:rsidRPr="00EA55D0">
        <w:t>:</w:t>
      </w:r>
    </w:p>
    <w:p w14:paraId="4C01C7B7" w14:textId="1C588226" w:rsidR="006C3FDF" w:rsidRPr="00EA55D0" w:rsidRDefault="006134F8" w:rsidP="00F32566">
      <w:pPr>
        <w:pStyle w:val="ListBullet"/>
      </w:pPr>
      <w:r w:rsidRPr="00EA55D0">
        <w:t xml:space="preserve">Refundable </w:t>
      </w:r>
      <w:r w:rsidR="008B351D" w:rsidRPr="00EA55D0">
        <w:t>Accommodation Deposit</w:t>
      </w:r>
      <w:r w:rsidR="00F4480F" w:rsidRPr="00EA55D0">
        <w:t>s</w:t>
      </w:r>
      <w:r w:rsidR="008B351D" w:rsidRPr="00EA55D0">
        <w:t xml:space="preserve"> (RAD)</w:t>
      </w:r>
      <w:r w:rsidR="00F4480F" w:rsidRPr="00EA55D0">
        <w:t xml:space="preserve"> and Daily Accommodation Payments (DAP) of new non supported p</w:t>
      </w:r>
      <w:r w:rsidR="005B4B5C" w:rsidRPr="00EA55D0">
        <w:t>ermanent residents</w:t>
      </w:r>
    </w:p>
    <w:p w14:paraId="3B44C3B0" w14:textId="2E0A043B" w:rsidR="00280529" w:rsidRPr="00EA55D0" w:rsidRDefault="005B4B5C" w:rsidP="00F32566">
      <w:pPr>
        <w:pStyle w:val="ListBullet"/>
      </w:pPr>
      <w:r w:rsidRPr="00EA55D0">
        <w:t xml:space="preserve">Refundable Accommodation Contributions (RAC) and Daily Accommodation Contributions (DAC) of new </w:t>
      </w:r>
      <w:r w:rsidR="004971FD" w:rsidRPr="00EA55D0">
        <w:t>partially supported permanent residents</w:t>
      </w:r>
      <w:r w:rsidR="002E1759" w:rsidRPr="00EA55D0">
        <w:t>.</w:t>
      </w:r>
    </w:p>
    <w:p w14:paraId="5F697CAD" w14:textId="77777777" w:rsidR="00801A50" w:rsidRPr="00EA55D0" w:rsidRDefault="00801A50" w:rsidP="00280529">
      <w:pPr>
        <w:pStyle w:val="SubjectHeading"/>
      </w:pPr>
      <w:r w:rsidRPr="00EA55D0">
        <w:t xml:space="preserve">Refundable Accommodation Deposits (RAD) and Daily Accommodation Payments (DAP) of new permanent residents – </w:t>
      </w:r>
      <w:bookmarkEnd w:id="99"/>
      <w:r w:rsidRPr="00EA55D0">
        <w:t>non-supported</w:t>
      </w:r>
    </w:p>
    <w:p w14:paraId="6CE0F4B4" w14:textId="72B3CB59" w:rsidR="00801A50" w:rsidRPr="00F32566" w:rsidRDefault="00801A50" w:rsidP="00F32566">
      <w:pPr>
        <w:pStyle w:val="ListBullet"/>
      </w:pPr>
      <w:r w:rsidRPr="00EA55D0">
        <w:t xml:space="preserve">This </w:t>
      </w:r>
      <w:r w:rsidRPr="00F32566">
        <w:t xml:space="preserve">section relates to payments for accommodation received from all </w:t>
      </w:r>
      <w:r w:rsidR="00F653C9" w:rsidRPr="00F32566">
        <w:t>non-supported</w:t>
      </w:r>
      <w:r w:rsidRPr="00F32566">
        <w:t xml:space="preserve"> permanent residents who entered the service during the financial year, including residents transferring from another aged care service. </w:t>
      </w:r>
    </w:p>
    <w:p w14:paraId="0D1880E6" w14:textId="292EB757" w:rsidR="00801A50" w:rsidRPr="00F32566" w:rsidRDefault="00801A50" w:rsidP="00F32566">
      <w:pPr>
        <w:pStyle w:val="ListBullet"/>
      </w:pPr>
      <w:r w:rsidRPr="00F32566">
        <w:t xml:space="preserve">Information entered is for each new permanent resident admitted to this service in the financial year that paid, or agreed to pay a RAD, DAP, or a combination of the two (regardless of </w:t>
      </w:r>
      <w:proofErr w:type="gramStart"/>
      <w:r w:rsidRPr="00F32566">
        <w:t>whether or not</w:t>
      </w:r>
      <w:proofErr w:type="gramEnd"/>
      <w:r w:rsidRPr="00F32566">
        <w:t xml:space="preserve"> that amount has been paid). </w:t>
      </w:r>
    </w:p>
    <w:p w14:paraId="0015B36D" w14:textId="77777777" w:rsidR="00801A50" w:rsidRPr="00F32566" w:rsidRDefault="00801A50" w:rsidP="00F32566">
      <w:pPr>
        <w:pStyle w:val="ListBullet"/>
      </w:pPr>
      <w:r w:rsidRPr="00F32566">
        <w:lastRenderedPageBreak/>
        <w:t xml:space="preserve">Do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5B911518" w14:textId="77777777" w:rsidR="00801A50" w:rsidRPr="00EA55D0" w:rsidRDefault="00801A50" w:rsidP="00F32566">
      <w:pPr>
        <w:pStyle w:val="ListBullet"/>
      </w:pPr>
      <w:r w:rsidRPr="00F32566">
        <w:t>If a resident</w:t>
      </w:r>
      <w:r w:rsidRPr="00EA55D0">
        <w:t xml:space="preserve"> changes their method of payment part way through the year, do not put in another entry in the spreadsheet. The payment method agreed to at the point of initial entry is considered adequate.</w:t>
      </w:r>
    </w:p>
    <w:p w14:paraId="34454A1E" w14:textId="35B9698B" w:rsidR="00280529" w:rsidRPr="00EA55D0" w:rsidRDefault="00801A50" w:rsidP="00F32566">
      <w:pPr>
        <w:pStyle w:val="ListBullet"/>
      </w:pPr>
      <w:r w:rsidRPr="00EA55D0">
        <w:t xml:space="preserve">For residents that receive a </w:t>
      </w:r>
      <w:proofErr w:type="gramStart"/>
      <w:r w:rsidRPr="00EA55D0">
        <w:t>Government</w:t>
      </w:r>
      <w:proofErr w:type="gramEnd"/>
      <w:r w:rsidRPr="00EA55D0">
        <w:t xml:space="preserve"> accommodation supplement, please complete the “Partially Supported” tab relating to accommodation payments for partially supported residents. </w:t>
      </w:r>
    </w:p>
    <w:p w14:paraId="0D32F71B" w14:textId="77777777" w:rsidR="00801A50" w:rsidRPr="00EA55D0" w:rsidRDefault="00801A50" w:rsidP="00280529">
      <w:pPr>
        <w:pStyle w:val="SubjectHeading"/>
      </w:pPr>
      <w:bookmarkStart w:id="100" w:name="_Toc488160258"/>
      <w:r w:rsidRPr="00EA55D0">
        <w:t xml:space="preserve">Refundable Accommodation Contributions (RAC) and Daily Accommodation Contributions (DAC) of new permanent residents – partially supported </w:t>
      </w:r>
      <w:bookmarkEnd w:id="100"/>
    </w:p>
    <w:p w14:paraId="773E8A04" w14:textId="77777777" w:rsidR="00801A50" w:rsidRPr="00F32566" w:rsidRDefault="00801A50" w:rsidP="00F32566">
      <w:pPr>
        <w:pStyle w:val="ListBullet"/>
      </w:pPr>
      <w:r w:rsidRPr="00EA55D0">
        <w:t xml:space="preserve">This </w:t>
      </w:r>
      <w:r w:rsidRPr="00F32566">
        <w:t xml:space="preserve">section relates to contributions for accommodation received from all partially supported permanent residents who entered the service in the financial year, including by transfer from another aged care service. </w:t>
      </w:r>
    </w:p>
    <w:p w14:paraId="3541B909" w14:textId="77777777" w:rsidR="00801A50" w:rsidRPr="00EA55D0" w:rsidRDefault="00801A50" w:rsidP="00F32566">
      <w:pPr>
        <w:pStyle w:val="ListBullet"/>
      </w:pPr>
      <w:r w:rsidRPr="00F32566">
        <w:t>Information entered is for each new partially supported permanent resident admitted to the service in the financial year that paid a RAC or</w:t>
      </w:r>
      <w:r w:rsidRPr="00F32566" w:rsidDel="00D36086">
        <w:t xml:space="preserve"> </w:t>
      </w:r>
      <w:r w:rsidRPr="00F32566">
        <w:t>DAC, or a combination</w:t>
      </w:r>
      <w:r w:rsidRPr="00EA55D0">
        <w:t xml:space="preserve"> of the two (regardless of whether that amount has been paid). </w:t>
      </w:r>
    </w:p>
    <w:p w14:paraId="3564523B" w14:textId="77777777" w:rsidR="00801A50" w:rsidRPr="00F32566" w:rsidRDefault="00801A50" w:rsidP="00F32566">
      <w:pPr>
        <w:pStyle w:val="ListBullet"/>
      </w:pPr>
      <w:r w:rsidRPr="00EA55D0">
        <w:t xml:space="preserve">If a </w:t>
      </w:r>
      <w:r w:rsidRPr="00F32566">
        <w:t>resident changes their method of payment part way through the year, do not put in another entry in the spreadsheet. The payment method agreed to at the point of initial entry is considered adequate.</w:t>
      </w:r>
    </w:p>
    <w:p w14:paraId="64B3719B" w14:textId="77777777" w:rsidR="00801A50" w:rsidRPr="00F32566" w:rsidRDefault="00801A50" w:rsidP="00F32566">
      <w:pPr>
        <w:pStyle w:val="ListBullet"/>
      </w:pPr>
      <w:r w:rsidRPr="00F32566">
        <w:t>Where resident had multiple DAC amounts advised by Services Australia during the year, please enter the average DAC amount.</w:t>
      </w:r>
    </w:p>
    <w:p w14:paraId="531A2EC9" w14:textId="77777777" w:rsidR="00801A50" w:rsidRPr="00EA55D0" w:rsidRDefault="00801A50" w:rsidP="00F32566">
      <w:pPr>
        <w:pStyle w:val="ListBullet"/>
      </w:pPr>
      <w:r w:rsidRPr="00F32566">
        <w:t>There is no need to report on new fully supported residents. For non-supported residents please complete the “non-supported” tab relating to accommodation payments</w:t>
      </w:r>
      <w:r w:rsidRPr="00EA55D0">
        <w:t xml:space="preserve"> for non-supported residents.</w:t>
      </w:r>
    </w:p>
    <w:p w14:paraId="2B749EC6" w14:textId="0C77012A" w:rsidR="0027367F" w:rsidRPr="00EA55D0" w:rsidRDefault="000D13F0" w:rsidP="00F32566">
      <w:pPr>
        <w:pStyle w:val="Heading2"/>
      </w:pPr>
      <w:bookmarkStart w:id="101" w:name="_Toc209622256"/>
      <w:r w:rsidRPr="00EA55D0">
        <w:t>Entering SACH data</w:t>
      </w:r>
      <w:bookmarkEnd w:id="101"/>
    </w:p>
    <w:p w14:paraId="77856924" w14:textId="5006AFE7" w:rsidR="0027367F" w:rsidRPr="00EA55D0" w:rsidRDefault="0027367F" w:rsidP="0027367F">
      <w:r w:rsidRPr="00EA55D0">
        <w:t xml:space="preserve">SACH </w:t>
      </w:r>
      <w:r w:rsidR="00843D8B" w:rsidRPr="00EA55D0">
        <w:t xml:space="preserve">data </w:t>
      </w:r>
      <w:r w:rsidRPr="00EA55D0">
        <w:t xml:space="preserve">is completed on the ACFR portal via a downloadable Excel spreadsheet containing three parts: </w:t>
      </w:r>
    </w:p>
    <w:p w14:paraId="541F78E5" w14:textId="77777777" w:rsidR="0027367F" w:rsidRPr="00F32566" w:rsidRDefault="0027367F" w:rsidP="00F32566">
      <w:pPr>
        <w:pStyle w:val="ListBullet"/>
      </w:pPr>
      <w:r w:rsidRPr="00F32566">
        <w:t xml:space="preserve">the cover page </w:t>
      </w:r>
    </w:p>
    <w:p w14:paraId="566DDBE8" w14:textId="77777777" w:rsidR="0027367F" w:rsidRPr="00F32566" w:rsidRDefault="0027367F" w:rsidP="00F32566">
      <w:pPr>
        <w:pStyle w:val="ListBullet"/>
      </w:pPr>
      <w:r w:rsidRPr="00F32566">
        <w:t xml:space="preserve">non-supported tab </w:t>
      </w:r>
    </w:p>
    <w:p w14:paraId="4F9A30A4" w14:textId="77777777" w:rsidR="0027367F" w:rsidRPr="00EA55D0" w:rsidRDefault="0027367F" w:rsidP="00F32566">
      <w:pPr>
        <w:pStyle w:val="ListBullet"/>
      </w:pPr>
      <w:r w:rsidRPr="00F32566">
        <w:t>partially</w:t>
      </w:r>
      <w:r w:rsidRPr="00EA55D0">
        <w:t xml:space="preserve"> supported tab. </w:t>
      </w:r>
    </w:p>
    <w:p w14:paraId="6948E9DA" w14:textId="77777777" w:rsidR="0027367F" w:rsidRPr="00EA55D0" w:rsidRDefault="0027367F" w:rsidP="0027367F">
      <w:r w:rsidRPr="00EA55D0">
        <w:t xml:space="preserve">The Excel spreadsheet is available to download once a provider has logged into the portal and begun to complete the form online. </w:t>
      </w:r>
    </w:p>
    <w:p w14:paraId="2D404E14" w14:textId="77777777" w:rsidR="0027367F" w:rsidRPr="00EA55D0" w:rsidRDefault="0027367F" w:rsidP="0027367F">
      <w:r w:rsidRPr="00EA55D0">
        <w:t xml:space="preserve">Once they have finished entering the data into the spreadsheet, check for errors by scrolling to the right on each tab (each line should say “Complete” or “In Progress”). </w:t>
      </w:r>
    </w:p>
    <w:p w14:paraId="6B7EB8D3" w14:textId="1CE73174" w:rsidR="0027367F" w:rsidRPr="00F32566" w:rsidRDefault="0027367F" w:rsidP="00F32566">
      <w:r w:rsidRPr="00EA55D0">
        <w:lastRenderedPageBreak/>
        <w:t xml:space="preserve">When all data has been entered into the spreadsheet and there are no errors (check cover page for completeness), the complete file can be uploaded back into the portal on the same page that it was downloaded from. </w:t>
      </w:r>
    </w:p>
    <w:p w14:paraId="2E81A8F1" w14:textId="7B321433" w:rsidR="00801A50" w:rsidRPr="00A052F0" w:rsidRDefault="00801A50" w:rsidP="00A052F0">
      <w:pPr>
        <w:pStyle w:val="FigureTitle"/>
        <w:rPr>
          <w:rFonts w:eastAsiaTheme="minorHAnsi"/>
        </w:rPr>
      </w:pPr>
      <w:r w:rsidRPr="00A052F0">
        <w:rPr>
          <w:rFonts w:eastAsiaTheme="minorHAnsi"/>
        </w:rPr>
        <w:t xml:space="preserve">Survey of Aged Care </w:t>
      </w:r>
      <w:r w:rsidR="001A3ACB" w:rsidRPr="00A052F0">
        <w:rPr>
          <w:rFonts w:eastAsiaTheme="minorHAnsi"/>
        </w:rPr>
        <w:t>H</w:t>
      </w:r>
      <w:r w:rsidRPr="00A052F0">
        <w:rPr>
          <w:rFonts w:eastAsiaTheme="minorHAnsi"/>
        </w:rPr>
        <w:t>omes FAQs</w:t>
      </w:r>
    </w:p>
    <w:p w14:paraId="3F3AE9D0" w14:textId="677A69C7" w:rsidR="00801A50" w:rsidRPr="00EA55D0" w:rsidRDefault="00801A50" w:rsidP="00E333F2">
      <w:pPr>
        <w:pStyle w:val="Heading2"/>
        <w:rPr>
          <w:szCs w:val="24"/>
        </w:rPr>
      </w:pPr>
      <w:fldSimple w:instr=" STYLEREF 1 \s ">
        <w:r w:rsidR="003F5AC3">
          <w:rPr>
            <w:noProof/>
            <w:cs/>
          </w:rPr>
          <w:t>‎</w:t>
        </w:r>
        <w:r w:rsidR="003F5AC3">
          <w:rPr>
            <w:noProof/>
          </w:rPr>
          <w:t>11</w:t>
        </w:r>
      </w:fldSimple>
      <w:r w:rsidRPr="00F74C2C">
        <w:rPr>
          <w:rStyle w:val="Heading3Char"/>
          <w:b/>
          <w:bCs/>
        </w:rPr>
        <w:t>Providers are required to attach I</w:t>
      </w:r>
      <w:r w:rsidR="00FF6550" w:rsidRPr="00F74C2C">
        <w:rPr>
          <w:rStyle w:val="Heading3Char"/>
          <w:b/>
          <w:bCs/>
        </w:rPr>
        <w:t>ndepen</w:t>
      </w:r>
      <w:r w:rsidR="00D63926" w:rsidRPr="00F74C2C">
        <w:rPr>
          <w:rStyle w:val="Heading3Char"/>
          <w:b/>
          <w:bCs/>
        </w:rPr>
        <w:t xml:space="preserve">dent </w:t>
      </w:r>
      <w:r w:rsidRPr="00F74C2C">
        <w:rPr>
          <w:rStyle w:val="Heading3Char"/>
          <w:b/>
          <w:bCs/>
        </w:rPr>
        <w:t>H</w:t>
      </w:r>
      <w:r w:rsidR="00D63926" w:rsidRPr="00F74C2C">
        <w:rPr>
          <w:rStyle w:val="Heading3Char"/>
          <w:b/>
          <w:bCs/>
        </w:rPr>
        <w:t xml:space="preserve">ealth and Aged Care Pricing Authority (IHACPA) </w:t>
      </w:r>
      <w:r w:rsidR="00FF6550" w:rsidRPr="00F74C2C">
        <w:rPr>
          <w:rStyle w:val="Heading3Char"/>
          <w:b/>
          <w:bCs/>
        </w:rPr>
        <w:t>a</w:t>
      </w:r>
      <w:r w:rsidRPr="00F74C2C">
        <w:rPr>
          <w:rStyle w:val="Heading3Char"/>
          <w:b/>
          <w:bCs/>
        </w:rPr>
        <w:t>pproval documents for Agreed Accommodation Prices greater than the Maximum Amount</w:t>
      </w:r>
      <w:r w:rsidR="51A86824" w:rsidRPr="00F74C2C">
        <w:rPr>
          <w:rStyle w:val="Heading3Char"/>
          <w:b/>
          <w:bCs/>
        </w:rPr>
        <w:t>,</w:t>
      </w:r>
      <w:r w:rsidRPr="00F74C2C">
        <w:rPr>
          <w:rStyle w:val="Heading3Char"/>
          <w:b/>
          <w:bCs/>
        </w:rPr>
        <w:t xml:space="preserve"> </w:t>
      </w:r>
      <w:r w:rsidR="51A86824" w:rsidRPr="00F74C2C">
        <w:rPr>
          <w:rStyle w:val="Heading3Char"/>
          <w:b/>
          <w:bCs/>
        </w:rPr>
        <w:t>which is</w:t>
      </w:r>
      <w:r w:rsidR="6884957A" w:rsidRPr="00F74C2C">
        <w:rPr>
          <w:rStyle w:val="Heading3Char"/>
          <w:b/>
          <w:bCs/>
        </w:rPr>
        <w:t xml:space="preserve"> </w:t>
      </w:r>
      <w:r w:rsidRPr="00F74C2C">
        <w:rPr>
          <w:rStyle w:val="Heading3Char"/>
          <w:b/>
          <w:bCs/>
        </w:rPr>
        <w:t>determined by the Minister under section 52G-3 of the Aged Care Act 1997</w:t>
      </w:r>
      <w:r w:rsidR="72E1A1A8" w:rsidRPr="00F74C2C">
        <w:rPr>
          <w:rStyle w:val="Heading3Char"/>
          <w:b/>
          <w:bCs/>
        </w:rPr>
        <w:t xml:space="preserve"> and through section 29</w:t>
      </w:r>
      <w:r w:rsidR="00C26FA1" w:rsidRPr="00F74C2C">
        <w:rPr>
          <w:rStyle w:val="Heading3Char"/>
          <w:b/>
          <w:bCs/>
        </w:rPr>
        <w:t>0</w:t>
      </w:r>
      <w:r w:rsidR="72E1A1A8" w:rsidRPr="00F74C2C">
        <w:rPr>
          <w:rStyle w:val="Heading3Char"/>
          <w:b/>
          <w:bCs/>
        </w:rPr>
        <w:t xml:space="preserve"> of the Aged </w:t>
      </w:r>
      <w:r w:rsidR="0E63CB76" w:rsidRPr="00F74C2C">
        <w:rPr>
          <w:rStyle w:val="Heading3Char"/>
          <w:b/>
          <w:bCs/>
        </w:rPr>
        <w:t>Care Act 2024</w:t>
      </w:r>
      <w:r w:rsidR="6884957A" w:rsidRPr="00F74C2C">
        <w:rPr>
          <w:rStyle w:val="Heading3Char"/>
          <w:b/>
          <w:bCs/>
        </w:rPr>
        <w:t xml:space="preserve">. </w:t>
      </w:r>
      <w:r w:rsidRPr="00F74C2C">
        <w:rPr>
          <w:rStyle w:val="Heading3Char"/>
          <w:b/>
          <w:bCs/>
        </w:rPr>
        <w:t>Do providers exclude approvals provided by the Pricing Commissioner before IHACPA adopted its pricing responsibilities?</w:t>
      </w:r>
    </w:p>
    <w:p w14:paraId="5228963F" w14:textId="77777777" w:rsidR="00981376" w:rsidRPr="00EA55D0" w:rsidRDefault="00801A50" w:rsidP="00981376">
      <w:pPr>
        <w:rPr>
          <w:rFonts w:cs="Arial"/>
        </w:rPr>
      </w:pPr>
      <w:r w:rsidRPr="00EA55D0">
        <w:rPr>
          <w:rFonts w:cs="Arial"/>
        </w:rPr>
        <w:t>If a provider has an earlier approval from the Pricing Commissioner and it has not expired, and the provider has not already received re-approval from IHACPA, please attach the original approval from the Pricing Commissioner.</w:t>
      </w:r>
      <w:bookmarkStart w:id="102" w:name="_Toc184198013"/>
      <w:bookmarkStart w:id="103" w:name="_Toc205730285"/>
      <w:bookmarkStart w:id="104" w:name="_Toc488160260"/>
    </w:p>
    <w:p w14:paraId="236C1E29" w14:textId="64FB5788" w:rsidR="00801A50" w:rsidRPr="00EA55D0" w:rsidRDefault="00801A50" w:rsidP="00F74C2C">
      <w:pPr>
        <w:pStyle w:val="Heading1"/>
        <w:rPr>
          <w:rFonts w:eastAsia="Calibri Light"/>
        </w:rPr>
      </w:pPr>
      <w:bookmarkStart w:id="105" w:name="_Toc209774721"/>
      <w:r w:rsidRPr="00EA55D0">
        <w:rPr>
          <w:rFonts w:eastAsia="Calibri Light"/>
        </w:rPr>
        <w:t>Building activity by residential aged care service</w:t>
      </w:r>
      <w:bookmarkEnd w:id="102"/>
      <w:bookmarkEnd w:id="103"/>
      <w:bookmarkEnd w:id="105"/>
      <w:r w:rsidRPr="00EA55D0">
        <w:rPr>
          <w:rFonts w:eastAsia="Calibri Light"/>
        </w:rPr>
        <w:t xml:space="preserve"> </w:t>
      </w:r>
      <w:bookmarkEnd w:id="104"/>
    </w:p>
    <w:p w14:paraId="05CDC112" w14:textId="77777777" w:rsidR="00801A50" w:rsidRPr="00EA55D0" w:rsidRDefault="00801A50" w:rsidP="00F74C2C">
      <w:pPr>
        <w:pStyle w:val="SubjectHeading"/>
      </w:pPr>
      <w:bookmarkStart w:id="106" w:name="_Toc488160261"/>
      <w:r w:rsidRPr="00EA55D0">
        <w:t xml:space="preserve">Part A: Completed </w:t>
      </w:r>
      <w:bookmarkEnd w:id="106"/>
      <w:r w:rsidRPr="00EA55D0">
        <w:t>building activity</w:t>
      </w:r>
    </w:p>
    <w:p w14:paraId="41748F87" w14:textId="62699DB7" w:rsidR="00801A50" w:rsidRDefault="00801A50" w:rsidP="00801A50">
      <w:pPr>
        <w:rPr>
          <w:rFonts w:cs="Arial"/>
        </w:rPr>
      </w:pPr>
      <w:r w:rsidRPr="00EA55D0">
        <w:rPr>
          <w:rFonts w:cs="Arial"/>
        </w:rPr>
        <w:t>Complete this part of the ACFR for any service for which any building or upgrade work was completed in the year ending 30 June 202</w:t>
      </w:r>
      <w:r w:rsidR="00601A85" w:rsidRPr="00EA55D0">
        <w:rPr>
          <w:rFonts w:cs="Arial"/>
        </w:rPr>
        <w:t>6</w:t>
      </w:r>
      <w:r w:rsidRPr="00EA55D0">
        <w:rPr>
          <w:rFonts w:cs="Arial"/>
        </w:rPr>
        <w:t>.</w:t>
      </w:r>
    </w:p>
    <w:p w14:paraId="2FB30C87" w14:textId="77777777" w:rsidR="00801A50" w:rsidRPr="00EA55D0" w:rsidRDefault="00801A50" w:rsidP="00F74C2C">
      <w:pPr>
        <w:pStyle w:val="SubjectHeading"/>
      </w:pPr>
      <w:bookmarkStart w:id="107" w:name="_Toc488160262"/>
      <w:r w:rsidRPr="00EA55D0">
        <w:t xml:space="preserve">Part B: Building activity in </w:t>
      </w:r>
      <w:bookmarkEnd w:id="107"/>
      <w:r w:rsidRPr="00EA55D0">
        <w:t>progress</w:t>
      </w:r>
    </w:p>
    <w:p w14:paraId="02F472C2" w14:textId="5E8A1B3C" w:rsidR="00801A50" w:rsidRDefault="00801A50" w:rsidP="00801A50">
      <w:pPr>
        <w:rPr>
          <w:rFonts w:cs="Arial"/>
        </w:rPr>
      </w:pPr>
      <w:r w:rsidRPr="00EA55D0">
        <w:rPr>
          <w:rFonts w:cs="Arial"/>
        </w:rPr>
        <w:t xml:space="preserve">Complete this part of the ACFR for any service for which building or upgrading work was in progress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76E33C8A" w14:textId="77777777" w:rsidR="00801A50" w:rsidRPr="00EA55D0" w:rsidRDefault="00801A50" w:rsidP="00F74C2C">
      <w:pPr>
        <w:pStyle w:val="SubjectHeading"/>
      </w:pPr>
      <w:bookmarkStart w:id="108" w:name="_Toc488160263"/>
      <w:r w:rsidRPr="00EA55D0">
        <w:t xml:space="preserve">Part C: Planned </w:t>
      </w:r>
      <w:bookmarkEnd w:id="108"/>
      <w:r w:rsidRPr="00EA55D0">
        <w:t>building activity</w:t>
      </w:r>
    </w:p>
    <w:p w14:paraId="06965F98" w14:textId="55BFB9C5" w:rsidR="00801A50" w:rsidRPr="00EA55D0" w:rsidRDefault="00801A50" w:rsidP="00801A50">
      <w:pPr>
        <w:rPr>
          <w:rFonts w:cs="Arial"/>
        </w:rPr>
      </w:pPr>
      <w:r w:rsidRPr="00EA55D0">
        <w:rPr>
          <w:rFonts w:cs="Arial"/>
        </w:rPr>
        <w:t xml:space="preserve">Complete this part of the ACFR for any service for which building or upgrading work was planned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51DDEC29" w14:textId="77777777" w:rsidR="00801A50" w:rsidRPr="00F74C2C" w:rsidRDefault="00801A50" w:rsidP="00F74C2C">
      <w:pPr>
        <w:pStyle w:val="FigureTitle"/>
        <w:rPr>
          <w:rFonts w:eastAsiaTheme="minorHAnsi"/>
        </w:rPr>
      </w:pPr>
      <w:r w:rsidRPr="00F74C2C">
        <w:rPr>
          <w:rFonts w:eastAsiaTheme="minorHAnsi"/>
        </w:rPr>
        <w:t>Building activity by residential aged care service FAQs</w:t>
      </w:r>
    </w:p>
    <w:p w14:paraId="49B9C599" w14:textId="7584CEFF" w:rsidR="00801A50" w:rsidRPr="00EA55D0" w:rsidRDefault="00801A50" w:rsidP="00F32566">
      <w:pPr>
        <w:pStyle w:val="Heading2"/>
      </w:pPr>
      <w:r w:rsidRPr="00EA55D0">
        <w:t>What is the definition of</w:t>
      </w:r>
      <w:r w:rsidR="00E02919" w:rsidRPr="00EA55D0">
        <w:t xml:space="preserve"> Upgrading</w:t>
      </w:r>
      <w:r w:rsidRPr="00EA55D0">
        <w:t xml:space="preserve"> ‘Structural Renovation or Refurbishment’? </w:t>
      </w:r>
    </w:p>
    <w:p w14:paraId="76DE5D37" w14:textId="74BAEAA3" w:rsidR="00801A50" w:rsidRPr="00EA55D0" w:rsidRDefault="00801A50" w:rsidP="00801A50">
      <w:pPr>
        <w:rPr>
          <w:rFonts w:cs="Arial"/>
        </w:rPr>
      </w:pPr>
      <w:r w:rsidRPr="00EA55D0">
        <w:rPr>
          <w:rFonts w:cs="Arial"/>
        </w:rPr>
        <w:t>Upgrading (</w:t>
      </w:r>
      <w:r w:rsidR="002A253A" w:rsidRPr="00EA55D0">
        <w:rPr>
          <w:rFonts w:cs="Arial"/>
        </w:rPr>
        <w:t>s</w:t>
      </w:r>
      <w:r w:rsidRPr="00EA55D0">
        <w:rPr>
          <w:rFonts w:cs="Arial"/>
        </w:rPr>
        <w:t>tructural renovation or refurbishment) in the ACFR is the renovation or refurbishment of an existing facility, including extensions to an existing building or reconstruction of part of a building. Those work</w:t>
      </w:r>
      <w:r w:rsidR="0025315C" w:rsidRPr="00EA55D0">
        <w:rPr>
          <w:rFonts w:cs="Arial"/>
        </w:rPr>
        <w:t>s</w:t>
      </w:r>
      <w:r w:rsidRPr="00EA55D0">
        <w:rPr>
          <w:rFonts w:cs="Arial"/>
        </w:rPr>
        <w:t xml:space="preserve"> are capital in nature and potentially result in an increase to the facility’s value. </w:t>
      </w:r>
    </w:p>
    <w:p w14:paraId="77CB3DFD" w14:textId="01175532" w:rsidR="003018E7" w:rsidRPr="00EA55D0" w:rsidRDefault="00801A50" w:rsidP="00E75048">
      <w:pPr>
        <w:rPr>
          <w:rFonts w:cs="Arial"/>
        </w:rPr>
      </w:pPr>
      <w:r w:rsidRPr="00EA55D0">
        <w:rPr>
          <w:rFonts w:cs="Arial"/>
        </w:rPr>
        <w:lastRenderedPageBreak/>
        <w:t>This section does not include routine repairs and the maintenance of premises such as painting, plumbing, electrical work or gardening.</w:t>
      </w:r>
      <w:bookmarkEnd w:id="20"/>
    </w:p>
    <w:sectPr w:rsidR="003018E7" w:rsidRPr="00EA55D0" w:rsidSect="007F7A3F">
      <w:footerReference w:type="even" r:id="rId43"/>
      <w:pgSz w:w="11910" w:h="16840"/>
      <w:pgMar w:top="1440" w:right="1440" w:bottom="1440" w:left="1440" w:header="567"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28A3A" w14:textId="77777777" w:rsidR="00D46D2E" w:rsidRPr="00EA55D0" w:rsidRDefault="00D46D2E" w:rsidP="00934368">
      <w:r w:rsidRPr="00EA55D0">
        <w:separator/>
      </w:r>
    </w:p>
    <w:p w14:paraId="7D2D98AD" w14:textId="77777777" w:rsidR="00D46D2E" w:rsidRPr="00EA55D0" w:rsidRDefault="00D46D2E" w:rsidP="00934368"/>
  </w:endnote>
  <w:endnote w:type="continuationSeparator" w:id="0">
    <w:p w14:paraId="17ECA657" w14:textId="77777777" w:rsidR="00D46D2E" w:rsidRPr="00EA55D0" w:rsidRDefault="00D46D2E" w:rsidP="00934368">
      <w:r w:rsidRPr="00EA55D0">
        <w:continuationSeparator/>
      </w:r>
    </w:p>
    <w:p w14:paraId="6CB60D67" w14:textId="77777777" w:rsidR="00D46D2E" w:rsidRPr="00EA55D0" w:rsidRDefault="00D46D2E" w:rsidP="00934368"/>
  </w:endnote>
  <w:endnote w:type="continuationNotice" w:id="1">
    <w:p w14:paraId="1F23940D" w14:textId="77777777" w:rsidR="00D46D2E" w:rsidRPr="00EA55D0" w:rsidRDefault="00D46D2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EA55D0" w:rsidRDefault="000B134E" w:rsidP="00386805">
    <w:pPr>
      <w:pStyle w:val="Footer"/>
      <w:jc w:val="left"/>
    </w:pPr>
    <w:r w:rsidRPr="00EA55D0">
      <w:rPr>
        <w:b/>
        <w:bCs/>
        <w:noProof/>
        <w:sz w:val="21"/>
        <w:szCs w:val="21"/>
      </w:rPr>
      <mc:AlternateContent>
        <mc:Choice Requires="wps">
          <w:drawing>
            <wp:anchor distT="0" distB="0" distL="0" distR="0" simplePos="0" relativeHeight="251658249"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86805" w:rsidRPr="00EA55D0">
      <w:rPr>
        <w:b/>
        <w:bCs/>
        <w:sz w:val="21"/>
        <w:szCs w:val="21"/>
      </w:rPr>
      <w:fldChar w:fldCharType="begin"/>
    </w:r>
    <w:r w:rsidR="00386805" w:rsidRPr="00EA55D0">
      <w:rPr>
        <w:b/>
        <w:bCs/>
        <w:sz w:val="21"/>
        <w:szCs w:val="21"/>
      </w:rPr>
      <w:instrText xml:space="preserve"> PAGE   \* MERGEFORMAT </w:instrText>
    </w:r>
    <w:r w:rsidR="00386805" w:rsidRPr="00EA55D0">
      <w:rPr>
        <w:b/>
        <w:bCs/>
        <w:sz w:val="21"/>
        <w:szCs w:val="21"/>
      </w:rPr>
      <w:fldChar w:fldCharType="separate"/>
    </w:r>
    <w:r w:rsidR="00386805" w:rsidRPr="00EA55D0">
      <w:rPr>
        <w:b/>
        <w:bCs/>
        <w:sz w:val="21"/>
        <w:szCs w:val="21"/>
      </w:rPr>
      <w:t>2</w:t>
    </w:r>
    <w:r w:rsidR="00386805" w:rsidRPr="00EA55D0">
      <w:rPr>
        <w:b/>
        <w:bCs/>
        <w:sz w:val="21"/>
        <w:szCs w:val="21"/>
      </w:rPr>
      <w:fldChar w:fldCharType="end"/>
    </w:r>
    <w:r w:rsidR="00386805" w:rsidRPr="00EA55D0">
      <w:rPr>
        <w:b/>
        <w:bCs/>
        <w:sz w:val="21"/>
        <w:szCs w:val="21"/>
      </w:rPr>
      <w:t xml:space="preserve"> </w:t>
    </w:r>
    <w:r w:rsidR="00386805" w:rsidRPr="00EA55D0">
      <w:rPr>
        <w:color w:val="1E1545" w:themeColor="text1"/>
        <w:sz w:val="21"/>
        <w:szCs w:val="21"/>
      </w:rPr>
      <w:t xml:space="preserve">| </w:t>
    </w:r>
    <w:r w:rsidR="00411185" w:rsidRPr="00EA55D0">
      <w:rPr>
        <w:sz w:val="21"/>
        <w:szCs w:val="21"/>
      </w:rPr>
      <w:t xml:space="preserve">QFR </w:t>
    </w:r>
    <w:r w:rsidR="00357938" w:rsidRPr="00EA55D0">
      <w:rPr>
        <w:sz w:val="21"/>
        <w:szCs w:val="21"/>
      </w:rPr>
      <w:t>Guidance</w:t>
    </w:r>
    <w:r w:rsidR="00411185" w:rsidRPr="00EA55D0">
      <w:rPr>
        <w:sz w:val="21"/>
        <w:szCs w:val="21"/>
      </w:rPr>
      <w:t xml:space="preserve"> and Frequently Asked Questions</w:t>
    </w:r>
    <w:r w:rsidR="00411185" w:rsidRPr="00EA55D0"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507633"/>
      <w:docPartObj>
        <w:docPartGallery w:val="Page Numbers (Bottom of Page)"/>
        <w:docPartUnique/>
      </w:docPartObj>
    </w:sdtPr>
    <w:sdtEndPr>
      <w:rPr>
        <w:noProof/>
      </w:rPr>
    </w:sdtEndPr>
    <w:sdtContent>
      <w:p w14:paraId="20EF5BE9" w14:textId="1BD77E21" w:rsidR="00D32798" w:rsidRPr="00EA55D0" w:rsidRDefault="00544DAA" w:rsidP="00F3256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D4E2216" w:rsidR="00627385" w:rsidRPr="00EA55D0"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EA55D0" w14:paraId="5B44DE79" w14:textId="77777777" w:rsidTr="005D4A3F">
      <w:trPr>
        <w:cnfStyle w:val="100000000000" w:firstRow="1" w:lastRow="0" w:firstColumn="0" w:lastColumn="0" w:oddVBand="0" w:evenVBand="0" w:oddHBand="0" w:evenHBand="0" w:firstRowFirstColumn="0" w:firstRowLastColumn="0" w:lastRowFirstColumn="0" w:lastRowLastColumn="0"/>
      </w:trPr>
      <w:tc>
        <w:tcPr>
          <w:tcW w:w="704" w:type="dxa"/>
          <w:tcMar>
            <w:top w:w="113" w:type="dxa"/>
            <w:bottom w:w="113" w:type="dxa"/>
          </w:tcMar>
          <w:vAlign w:val="center"/>
        </w:tcPr>
        <w:p w14:paraId="6C5949E1" w14:textId="77777777" w:rsidR="00D0690C" w:rsidRPr="00EA55D0" w:rsidRDefault="000B134E" w:rsidP="00D0690C">
          <w:pPr>
            <w:spacing w:before="0" w:after="0" w:line="240" w:lineRule="auto"/>
          </w:pPr>
          <w:r w:rsidRPr="00EA55D0">
            <w:rPr>
              <w:noProof/>
            </w:rPr>
            <mc:AlternateContent>
              <mc:Choice Requires="wps">
                <w:drawing>
                  <wp:anchor distT="0" distB="0" distL="0" distR="0" simplePos="0" relativeHeight="251666432"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20955725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29" type="#_x0000_t202" alt="OFFICIAL" style="position:absolute;margin-left:0;margin-top:0;width:48pt;height:38.2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D0690C" w:rsidRPr="00EA55D0">
            <w:rPr>
              <w:noProof/>
            </w:rPr>
            <w:drawing>
              <wp:inline distT="0" distB="0" distL="0" distR="0" wp14:anchorId="1E1D1C46" wp14:editId="5DD2752E">
                <wp:extent cx="279400" cy="279400"/>
                <wp:effectExtent l="0" t="0" r="0" b="0"/>
                <wp:docPr id="102748921" name="Picture 10274892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8742890" w14:textId="40D37153" w:rsidR="00D0690C" w:rsidRPr="00EA55D0" w:rsidRDefault="00D0690C" w:rsidP="00D0690C">
          <w:r w:rsidRPr="00EA55D0">
            <w:t xml:space="preserve">Phone </w:t>
          </w:r>
          <w:r w:rsidRPr="00EA55D0">
            <w:rPr>
              <w:bCs/>
            </w:rPr>
            <w:t xml:space="preserve">1800 200 422 </w:t>
          </w:r>
          <w:r w:rsidRPr="00EA55D0">
            <w:rPr>
              <w:bCs/>
            </w:rPr>
            <w:br/>
          </w:r>
          <w:r w:rsidRPr="00EA55D0">
            <w:t xml:space="preserve">(My Aged Care’s </w:t>
          </w:r>
          <w:r w:rsidR="00D377EC" w:rsidRPr="00EA55D0">
            <w:t>free call</w:t>
          </w:r>
          <w:r w:rsidRPr="00EA55D0">
            <w:t xml:space="preserve"> phone line)</w:t>
          </w:r>
        </w:p>
      </w:tc>
    </w:tr>
    <w:tr w:rsidR="00D0690C" w:rsidRPr="00EA55D0" w14:paraId="22C6825D" w14:textId="77777777" w:rsidTr="005D4A3F">
      <w:tc>
        <w:tcPr>
          <w:tcW w:w="704" w:type="dxa"/>
          <w:tcMar>
            <w:top w:w="113" w:type="dxa"/>
            <w:bottom w:w="113" w:type="dxa"/>
          </w:tcMar>
          <w:vAlign w:val="center"/>
        </w:tcPr>
        <w:p w14:paraId="7C17B0B4" w14:textId="77777777" w:rsidR="00D0690C" w:rsidRPr="00EA55D0" w:rsidRDefault="00D0690C" w:rsidP="00D0690C">
          <w:pPr>
            <w:spacing w:before="0" w:after="0" w:line="240" w:lineRule="auto"/>
          </w:pPr>
          <w:r w:rsidRPr="00EA55D0">
            <w:rPr>
              <w:noProof/>
            </w:rPr>
            <w:drawing>
              <wp:inline distT="0" distB="0" distL="0" distR="0" wp14:anchorId="6DE6580D" wp14:editId="38CCCB9B">
                <wp:extent cx="279400" cy="279400"/>
                <wp:effectExtent l="0" t="0" r="0" b="0"/>
                <wp:docPr id="219308687" name="Picture 21930868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3E2E70C" w14:textId="77777777" w:rsidR="00D0690C" w:rsidRPr="00EA55D0" w:rsidRDefault="00D0690C" w:rsidP="00D0690C">
          <w:pPr>
            <w:spacing w:before="0" w:after="0" w:line="240" w:lineRule="auto"/>
          </w:pPr>
          <w:r w:rsidRPr="00EA55D0">
            <w:t xml:space="preserve">Visit </w:t>
          </w:r>
          <w:r w:rsidRPr="00EA55D0">
            <w:rPr>
              <w:b/>
              <w:bCs/>
            </w:rPr>
            <w:t>agedcareengagement.health.gov.au</w:t>
          </w:r>
        </w:p>
      </w:tc>
    </w:tr>
  </w:tbl>
  <w:p w14:paraId="3483FCCF" w14:textId="77777777" w:rsidR="005D4A3F" w:rsidRPr="00EA55D0" w:rsidRDefault="005D4A3F" w:rsidP="005D4A3F">
    <w:r w:rsidRPr="00EA55D0">
      <w:t xml:space="preserve">For translating and interpreting services, call </w:t>
    </w:r>
    <w:r w:rsidRPr="00EA55D0">
      <w:rPr>
        <w:b/>
        <w:bCs/>
      </w:rPr>
      <w:t>131 450</w:t>
    </w:r>
    <w:r w:rsidRPr="00EA55D0">
      <w:t xml:space="preserve"> and </w:t>
    </w:r>
    <w:r w:rsidRPr="00EA55D0">
      <w:br/>
      <w:t xml:space="preserve">ask for My Aged Care on </w:t>
    </w:r>
    <w:r w:rsidRPr="00EA55D0">
      <w:rPr>
        <w:b/>
        <w:bCs/>
      </w:rPr>
      <w:t>1800 200 422</w:t>
    </w:r>
    <w:r w:rsidRPr="00EA55D0">
      <w:t>.</w:t>
    </w:r>
  </w:p>
  <w:p w14:paraId="46864E91" w14:textId="77777777" w:rsidR="00D0690C" w:rsidRPr="00EA55D0" w:rsidRDefault="005D4A3F" w:rsidP="005D4A3F">
    <w:r w:rsidRPr="00EA55D0">
      <w:t xml:space="preserve">To use the National Relay Service, visit </w:t>
    </w:r>
    <w:r w:rsidRPr="00EA55D0">
      <w:rPr>
        <w:b/>
        <w:bCs/>
      </w:rPr>
      <w:t>nrschat.nrscall.gov.au/</w:t>
    </w:r>
    <w:proofErr w:type="spellStart"/>
    <w:r w:rsidRPr="00EA55D0">
      <w:rPr>
        <w:b/>
        <w:bCs/>
      </w:rPr>
      <w:t>nrs</w:t>
    </w:r>
    <w:proofErr w:type="spellEnd"/>
    <w:r w:rsidRPr="00EA55D0">
      <w:t xml:space="preserve"> </w:t>
    </w:r>
    <w:r w:rsidRPr="00EA55D0">
      <w:br/>
      <w:t xml:space="preserve">or call </w:t>
    </w:r>
    <w:r w:rsidRPr="00EA55D0">
      <w:rPr>
        <w:b/>
        <w:bCs/>
      </w:rPr>
      <w:t>1800 555 660</w:t>
    </w:r>
    <w:r w:rsidRPr="00EA55D0">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B43E" w14:textId="5A5BA387" w:rsidR="00D0690C" w:rsidRPr="00EA55D0"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69081" w14:textId="77777777" w:rsidR="00D46D2E" w:rsidRPr="00EA55D0" w:rsidRDefault="00D46D2E" w:rsidP="00934368">
      <w:r w:rsidRPr="00EA55D0">
        <w:separator/>
      </w:r>
    </w:p>
    <w:p w14:paraId="4A628A17" w14:textId="77777777" w:rsidR="00D46D2E" w:rsidRPr="00EA55D0" w:rsidRDefault="00D46D2E" w:rsidP="00934368"/>
  </w:footnote>
  <w:footnote w:type="continuationSeparator" w:id="0">
    <w:p w14:paraId="7ACFCB94" w14:textId="77777777" w:rsidR="00D46D2E" w:rsidRPr="00EA55D0" w:rsidRDefault="00D46D2E" w:rsidP="00934368">
      <w:r w:rsidRPr="00EA55D0">
        <w:continuationSeparator/>
      </w:r>
    </w:p>
    <w:p w14:paraId="10C1F3F1" w14:textId="77777777" w:rsidR="00D46D2E" w:rsidRPr="00EA55D0" w:rsidRDefault="00D46D2E" w:rsidP="00934368"/>
  </w:footnote>
  <w:footnote w:type="continuationNotice" w:id="1">
    <w:p w14:paraId="5EA72B6C" w14:textId="77777777" w:rsidR="00D46D2E" w:rsidRPr="00EA55D0" w:rsidRDefault="00D46D2E"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EA55D0" w:rsidRDefault="000B134E">
    <w:pPr>
      <w:pStyle w:val="Header"/>
    </w:pPr>
    <w:r w:rsidRPr="00EA55D0">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BFBC" w14:textId="04E5CBDD" w:rsidR="00751A23" w:rsidRPr="00EA55D0" w:rsidRDefault="003B66FC" w:rsidP="003B66FC">
    <w:pPr>
      <w:pStyle w:val="Header"/>
      <w:ind w:firstLine="720"/>
    </w:pPr>
    <w:r>
      <w:rPr>
        <w:noProof/>
      </w:rPr>
      <w:drawing>
        <wp:anchor distT="0" distB="0" distL="114300" distR="114300" simplePos="0" relativeHeight="251667456" behindDoc="0" locked="0" layoutInCell="1" allowOverlap="1" wp14:anchorId="7ECA9B53" wp14:editId="4ED717E1">
          <wp:simplePos x="0" y="0"/>
          <wp:positionH relativeFrom="column">
            <wp:posOffset>-1214120</wp:posOffset>
          </wp:positionH>
          <wp:positionV relativeFrom="paragraph">
            <wp:posOffset>-539750</wp:posOffset>
          </wp:positionV>
          <wp:extent cx="7873365" cy="2198370"/>
          <wp:effectExtent l="0" t="0" r="0" b="0"/>
          <wp:wrapSquare wrapText="bothSides"/>
          <wp:docPr id="278245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4529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3365" cy="2198370"/>
                  </a:xfrm>
                  <a:prstGeom prst="rect">
                    <a:avLst/>
                  </a:prstGeom>
                </pic:spPr>
              </pic:pic>
            </a:graphicData>
          </a:graphic>
          <wp14:sizeRelH relativeFrom="margin">
            <wp14:pctWidth>0</wp14:pctWidth>
          </wp14:sizeRelH>
          <wp14:sizeRelV relativeFrom="margin">
            <wp14:pctHeight>0</wp14:pctHeight>
          </wp14:sizeRelV>
        </wp:anchor>
      </w:drawing>
    </w:r>
    <w:r w:rsidR="00627385" w:rsidRPr="00EA55D0">
      <w:rPr>
        <w:noProof/>
      </w:rPr>
      <mc:AlternateContent>
        <mc:Choice Requires="wps">
          <w:drawing>
            <wp:anchor distT="0" distB="0" distL="114300" distR="114300" simplePos="0" relativeHeight="251658240" behindDoc="1" locked="0" layoutInCell="1" allowOverlap="1" wp14:anchorId="1D800D6F" wp14:editId="21EAA5D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7A70F"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00627385" w:rsidRPr="00EA55D0">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EA55D0" w:rsidRDefault="000B134E">
    <w:pPr>
      <w:pStyle w:val="Header"/>
    </w:pPr>
    <w:r w:rsidRPr="00EA55D0">
      <w:rPr>
        <w:noProof/>
      </w:rPr>
      <mc:AlternateContent>
        <mc:Choice Requires="wps">
          <w:drawing>
            <wp:anchor distT="0" distB="0" distL="0" distR="0" simplePos="0" relativeHeight="251660288"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4629369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12749" w:rsidRPr="00EA55D0">
      <w:rPr>
        <w:noProof/>
      </w:rPr>
      <mc:AlternateContent>
        <mc:Choice Requires="wps">
          <w:drawing>
            <wp:anchor distT="0" distB="0" distL="114300" distR="114300" simplePos="0" relativeHeight="251654144"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171546118" name="Rectangle 171546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C4EC" id="Rectangle 171546118"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08CF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E15EB"/>
    <w:multiLevelType w:val="hybridMultilevel"/>
    <w:tmpl w:val="2D94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C00C97"/>
    <w:multiLevelType w:val="hybridMultilevel"/>
    <w:tmpl w:val="753C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AFE52A4"/>
    <w:multiLevelType w:val="multilevel"/>
    <w:tmpl w:val="8B6AEFD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EFD3A96"/>
    <w:multiLevelType w:val="hybridMultilevel"/>
    <w:tmpl w:val="B3265E6E"/>
    <w:lvl w:ilvl="0" w:tplc="1F7C54F4">
      <w:start w:val="1"/>
      <w:numFmt w:val="bullet"/>
      <w:lvlText w:val="•"/>
      <w:lvlJc w:val="left"/>
      <w:pPr>
        <w:tabs>
          <w:tab w:val="num" w:pos="720"/>
        </w:tabs>
        <w:ind w:left="720" w:hanging="360"/>
      </w:pPr>
      <w:rPr>
        <w:rFonts w:ascii="Arial" w:hAnsi="Arial" w:hint="default"/>
      </w:rPr>
    </w:lvl>
    <w:lvl w:ilvl="1" w:tplc="9ECEDCD6" w:tentative="1">
      <w:start w:val="1"/>
      <w:numFmt w:val="bullet"/>
      <w:lvlText w:val="•"/>
      <w:lvlJc w:val="left"/>
      <w:pPr>
        <w:tabs>
          <w:tab w:val="num" w:pos="1440"/>
        </w:tabs>
        <w:ind w:left="1440" w:hanging="360"/>
      </w:pPr>
      <w:rPr>
        <w:rFonts w:ascii="Arial" w:hAnsi="Arial" w:hint="default"/>
      </w:rPr>
    </w:lvl>
    <w:lvl w:ilvl="2" w:tplc="ACBC4D54" w:tentative="1">
      <w:start w:val="1"/>
      <w:numFmt w:val="bullet"/>
      <w:lvlText w:val="•"/>
      <w:lvlJc w:val="left"/>
      <w:pPr>
        <w:tabs>
          <w:tab w:val="num" w:pos="2160"/>
        </w:tabs>
        <w:ind w:left="2160" w:hanging="360"/>
      </w:pPr>
      <w:rPr>
        <w:rFonts w:ascii="Arial" w:hAnsi="Arial" w:hint="default"/>
      </w:rPr>
    </w:lvl>
    <w:lvl w:ilvl="3" w:tplc="FAA8A922" w:tentative="1">
      <w:start w:val="1"/>
      <w:numFmt w:val="bullet"/>
      <w:lvlText w:val="•"/>
      <w:lvlJc w:val="left"/>
      <w:pPr>
        <w:tabs>
          <w:tab w:val="num" w:pos="2880"/>
        </w:tabs>
        <w:ind w:left="2880" w:hanging="360"/>
      </w:pPr>
      <w:rPr>
        <w:rFonts w:ascii="Arial" w:hAnsi="Arial" w:hint="default"/>
      </w:rPr>
    </w:lvl>
    <w:lvl w:ilvl="4" w:tplc="1AB884B6" w:tentative="1">
      <w:start w:val="1"/>
      <w:numFmt w:val="bullet"/>
      <w:lvlText w:val="•"/>
      <w:lvlJc w:val="left"/>
      <w:pPr>
        <w:tabs>
          <w:tab w:val="num" w:pos="3600"/>
        </w:tabs>
        <w:ind w:left="3600" w:hanging="360"/>
      </w:pPr>
      <w:rPr>
        <w:rFonts w:ascii="Arial" w:hAnsi="Arial" w:hint="default"/>
      </w:rPr>
    </w:lvl>
    <w:lvl w:ilvl="5" w:tplc="E31423C0" w:tentative="1">
      <w:start w:val="1"/>
      <w:numFmt w:val="bullet"/>
      <w:lvlText w:val="•"/>
      <w:lvlJc w:val="left"/>
      <w:pPr>
        <w:tabs>
          <w:tab w:val="num" w:pos="4320"/>
        </w:tabs>
        <w:ind w:left="4320" w:hanging="360"/>
      </w:pPr>
      <w:rPr>
        <w:rFonts w:ascii="Arial" w:hAnsi="Arial" w:hint="default"/>
      </w:rPr>
    </w:lvl>
    <w:lvl w:ilvl="6" w:tplc="F39AF868" w:tentative="1">
      <w:start w:val="1"/>
      <w:numFmt w:val="bullet"/>
      <w:lvlText w:val="•"/>
      <w:lvlJc w:val="left"/>
      <w:pPr>
        <w:tabs>
          <w:tab w:val="num" w:pos="5040"/>
        </w:tabs>
        <w:ind w:left="5040" w:hanging="360"/>
      </w:pPr>
      <w:rPr>
        <w:rFonts w:ascii="Arial" w:hAnsi="Arial" w:hint="default"/>
      </w:rPr>
    </w:lvl>
    <w:lvl w:ilvl="7" w:tplc="42E4B5B0" w:tentative="1">
      <w:start w:val="1"/>
      <w:numFmt w:val="bullet"/>
      <w:lvlText w:val="•"/>
      <w:lvlJc w:val="left"/>
      <w:pPr>
        <w:tabs>
          <w:tab w:val="num" w:pos="5760"/>
        </w:tabs>
        <w:ind w:left="5760" w:hanging="360"/>
      </w:pPr>
      <w:rPr>
        <w:rFonts w:ascii="Arial" w:hAnsi="Arial" w:hint="default"/>
      </w:rPr>
    </w:lvl>
    <w:lvl w:ilvl="8" w:tplc="B658FD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4A753D"/>
    <w:multiLevelType w:val="hybridMultilevel"/>
    <w:tmpl w:val="03286788"/>
    <w:lvl w:ilvl="0" w:tplc="237CD5E4">
      <w:start w:val="1"/>
      <w:numFmt w:val="bullet"/>
      <w:lvlText w:val="•"/>
      <w:lvlJc w:val="left"/>
      <w:pPr>
        <w:tabs>
          <w:tab w:val="num" w:pos="720"/>
        </w:tabs>
        <w:ind w:left="720" w:hanging="360"/>
      </w:pPr>
      <w:rPr>
        <w:rFonts w:ascii="Arial" w:hAnsi="Arial" w:hint="default"/>
      </w:rPr>
    </w:lvl>
    <w:lvl w:ilvl="1" w:tplc="4616171C" w:tentative="1">
      <w:start w:val="1"/>
      <w:numFmt w:val="bullet"/>
      <w:lvlText w:val="•"/>
      <w:lvlJc w:val="left"/>
      <w:pPr>
        <w:tabs>
          <w:tab w:val="num" w:pos="1440"/>
        </w:tabs>
        <w:ind w:left="1440" w:hanging="360"/>
      </w:pPr>
      <w:rPr>
        <w:rFonts w:ascii="Arial" w:hAnsi="Arial" w:hint="default"/>
      </w:rPr>
    </w:lvl>
    <w:lvl w:ilvl="2" w:tplc="0EEA99C2" w:tentative="1">
      <w:start w:val="1"/>
      <w:numFmt w:val="bullet"/>
      <w:lvlText w:val="•"/>
      <w:lvlJc w:val="left"/>
      <w:pPr>
        <w:tabs>
          <w:tab w:val="num" w:pos="2160"/>
        </w:tabs>
        <w:ind w:left="2160" w:hanging="360"/>
      </w:pPr>
      <w:rPr>
        <w:rFonts w:ascii="Arial" w:hAnsi="Arial" w:hint="default"/>
      </w:rPr>
    </w:lvl>
    <w:lvl w:ilvl="3" w:tplc="404C1284" w:tentative="1">
      <w:start w:val="1"/>
      <w:numFmt w:val="bullet"/>
      <w:lvlText w:val="•"/>
      <w:lvlJc w:val="left"/>
      <w:pPr>
        <w:tabs>
          <w:tab w:val="num" w:pos="2880"/>
        </w:tabs>
        <w:ind w:left="2880" w:hanging="360"/>
      </w:pPr>
      <w:rPr>
        <w:rFonts w:ascii="Arial" w:hAnsi="Arial" w:hint="default"/>
      </w:rPr>
    </w:lvl>
    <w:lvl w:ilvl="4" w:tplc="B0F401FC" w:tentative="1">
      <w:start w:val="1"/>
      <w:numFmt w:val="bullet"/>
      <w:lvlText w:val="•"/>
      <w:lvlJc w:val="left"/>
      <w:pPr>
        <w:tabs>
          <w:tab w:val="num" w:pos="3600"/>
        </w:tabs>
        <w:ind w:left="3600" w:hanging="360"/>
      </w:pPr>
      <w:rPr>
        <w:rFonts w:ascii="Arial" w:hAnsi="Arial" w:hint="default"/>
      </w:rPr>
    </w:lvl>
    <w:lvl w:ilvl="5" w:tplc="A0460512" w:tentative="1">
      <w:start w:val="1"/>
      <w:numFmt w:val="bullet"/>
      <w:lvlText w:val="•"/>
      <w:lvlJc w:val="left"/>
      <w:pPr>
        <w:tabs>
          <w:tab w:val="num" w:pos="4320"/>
        </w:tabs>
        <w:ind w:left="4320" w:hanging="360"/>
      </w:pPr>
      <w:rPr>
        <w:rFonts w:ascii="Arial" w:hAnsi="Arial" w:hint="default"/>
      </w:rPr>
    </w:lvl>
    <w:lvl w:ilvl="6" w:tplc="C0D091AA" w:tentative="1">
      <w:start w:val="1"/>
      <w:numFmt w:val="bullet"/>
      <w:lvlText w:val="•"/>
      <w:lvlJc w:val="left"/>
      <w:pPr>
        <w:tabs>
          <w:tab w:val="num" w:pos="5040"/>
        </w:tabs>
        <w:ind w:left="5040" w:hanging="360"/>
      </w:pPr>
      <w:rPr>
        <w:rFonts w:ascii="Arial" w:hAnsi="Arial" w:hint="default"/>
      </w:rPr>
    </w:lvl>
    <w:lvl w:ilvl="7" w:tplc="8D28D6E8" w:tentative="1">
      <w:start w:val="1"/>
      <w:numFmt w:val="bullet"/>
      <w:lvlText w:val="•"/>
      <w:lvlJc w:val="left"/>
      <w:pPr>
        <w:tabs>
          <w:tab w:val="num" w:pos="5760"/>
        </w:tabs>
        <w:ind w:left="5760" w:hanging="360"/>
      </w:pPr>
      <w:rPr>
        <w:rFonts w:ascii="Arial" w:hAnsi="Arial" w:hint="default"/>
      </w:rPr>
    </w:lvl>
    <w:lvl w:ilvl="8" w:tplc="2CBA48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01576A"/>
    <w:multiLevelType w:val="hybridMultilevel"/>
    <w:tmpl w:val="AE3A6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D9505C"/>
    <w:multiLevelType w:val="hybridMultilevel"/>
    <w:tmpl w:val="49A48886"/>
    <w:lvl w:ilvl="0" w:tplc="533CA56A">
      <w:numFmt w:val="bullet"/>
      <w:lvlText w:val=""/>
      <w:lvlJc w:val="left"/>
      <w:pPr>
        <w:ind w:left="720" w:hanging="360"/>
      </w:pPr>
      <w:rPr>
        <w:rFonts w:ascii="Symbol" w:eastAsia="Calibr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1C1D34EB"/>
    <w:multiLevelType w:val="hybridMultilevel"/>
    <w:tmpl w:val="CBDA0EC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5E2ADC"/>
    <w:multiLevelType w:val="hybridMultilevel"/>
    <w:tmpl w:val="FFFFFFFF"/>
    <w:lvl w:ilvl="0" w:tplc="6F08F4BC">
      <w:start w:val="1"/>
      <w:numFmt w:val="bullet"/>
      <w:lvlText w:val="-"/>
      <w:lvlJc w:val="left"/>
      <w:pPr>
        <w:ind w:left="720" w:hanging="360"/>
      </w:pPr>
      <w:rPr>
        <w:rFonts w:ascii="Aptos" w:hAnsi="Aptos" w:hint="default"/>
      </w:rPr>
    </w:lvl>
    <w:lvl w:ilvl="1" w:tplc="64AED052">
      <w:start w:val="1"/>
      <w:numFmt w:val="bullet"/>
      <w:lvlText w:val="o"/>
      <w:lvlJc w:val="left"/>
      <w:pPr>
        <w:ind w:left="1440" w:hanging="360"/>
      </w:pPr>
      <w:rPr>
        <w:rFonts w:ascii="Courier New" w:hAnsi="Courier New" w:hint="default"/>
      </w:rPr>
    </w:lvl>
    <w:lvl w:ilvl="2" w:tplc="5540107A">
      <w:start w:val="1"/>
      <w:numFmt w:val="bullet"/>
      <w:lvlText w:val=""/>
      <w:lvlJc w:val="left"/>
      <w:pPr>
        <w:ind w:left="2160" w:hanging="360"/>
      </w:pPr>
      <w:rPr>
        <w:rFonts w:ascii="Wingdings" w:hAnsi="Wingdings" w:hint="default"/>
      </w:rPr>
    </w:lvl>
    <w:lvl w:ilvl="3" w:tplc="93001576">
      <w:start w:val="1"/>
      <w:numFmt w:val="bullet"/>
      <w:lvlText w:val=""/>
      <w:lvlJc w:val="left"/>
      <w:pPr>
        <w:ind w:left="2880" w:hanging="360"/>
      </w:pPr>
      <w:rPr>
        <w:rFonts w:ascii="Symbol" w:hAnsi="Symbol" w:hint="default"/>
      </w:rPr>
    </w:lvl>
    <w:lvl w:ilvl="4" w:tplc="BEFEB77A">
      <w:start w:val="1"/>
      <w:numFmt w:val="bullet"/>
      <w:lvlText w:val="o"/>
      <w:lvlJc w:val="left"/>
      <w:pPr>
        <w:ind w:left="3600" w:hanging="360"/>
      </w:pPr>
      <w:rPr>
        <w:rFonts w:ascii="Courier New" w:hAnsi="Courier New" w:hint="default"/>
      </w:rPr>
    </w:lvl>
    <w:lvl w:ilvl="5" w:tplc="6F767464">
      <w:start w:val="1"/>
      <w:numFmt w:val="bullet"/>
      <w:lvlText w:val=""/>
      <w:lvlJc w:val="left"/>
      <w:pPr>
        <w:ind w:left="4320" w:hanging="360"/>
      </w:pPr>
      <w:rPr>
        <w:rFonts w:ascii="Wingdings" w:hAnsi="Wingdings" w:hint="default"/>
      </w:rPr>
    </w:lvl>
    <w:lvl w:ilvl="6" w:tplc="BB564180">
      <w:start w:val="1"/>
      <w:numFmt w:val="bullet"/>
      <w:lvlText w:val=""/>
      <w:lvlJc w:val="left"/>
      <w:pPr>
        <w:ind w:left="5040" w:hanging="360"/>
      </w:pPr>
      <w:rPr>
        <w:rFonts w:ascii="Symbol" w:hAnsi="Symbol" w:hint="default"/>
      </w:rPr>
    </w:lvl>
    <w:lvl w:ilvl="7" w:tplc="613A7704">
      <w:start w:val="1"/>
      <w:numFmt w:val="bullet"/>
      <w:lvlText w:val="o"/>
      <w:lvlJc w:val="left"/>
      <w:pPr>
        <w:ind w:left="5760" w:hanging="360"/>
      </w:pPr>
      <w:rPr>
        <w:rFonts w:ascii="Courier New" w:hAnsi="Courier New" w:hint="default"/>
      </w:rPr>
    </w:lvl>
    <w:lvl w:ilvl="8" w:tplc="65F605DA">
      <w:start w:val="1"/>
      <w:numFmt w:val="bullet"/>
      <w:lvlText w:val=""/>
      <w:lvlJc w:val="left"/>
      <w:pPr>
        <w:ind w:left="6480" w:hanging="360"/>
      </w:pPr>
      <w:rPr>
        <w:rFonts w:ascii="Wingdings" w:hAnsi="Wingdings" w:hint="default"/>
      </w:rPr>
    </w:lvl>
  </w:abstractNum>
  <w:abstractNum w:abstractNumId="14" w15:restartNumberingAfterBreak="0">
    <w:nsid w:val="25C35CE4"/>
    <w:multiLevelType w:val="hybridMultilevel"/>
    <w:tmpl w:val="A4FE1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5D53D8"/>
    <w:multiLevelType w:val="hybridMultilevel"/>
    <w:tmpl w:val="AFBC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F2E91"/>
    <w:multiLevelType w:val="hybridMultilevel"/>
    <w:tmpl w:val="557E5914"/>
    <w:lvl w:ilvl="0" w:tplc="E6062872">
      <w:start w:val="1"/>
      <w:numFmt w:val="bullet"/>
      <w:lvlText w:val="•"/>
      <w:lvlJc w:val="left"/>
      <w:pPr>
        <w:tabs>
          <w:tab w:val="num" w:pos="720"/>
        </w:tabs>
        <w:ind w:left="720" w:hanging="360"/>
      </w:pPr>
      <w:rPr>
        <w:rFonts w:ascii="Arial" w:hAnsi="Arial" w:hint="default"/>
      </w:rPr>
    </w:lvl>
    <w:lvl w:ilvl="1" w:tplc="21F8838C" w:tentative="1">
      <w:start w:val="1"/>
      <w:numFmt w:val="bullet"/>
      <w:lvlText w:val="•"/>
      <w:lvlJc w:val="left"/>
      <w:pPr>
        <w:tabs>
          <w:tab w:val="num" w:pos="1440"/>
        </w:tabs>
        <w:ind w:left="1440" w:hanging="360"/>
      </w:pPr>
      <w:rPr>
        <w:rFonts w:ascii="Arial" w:hAnsi="Arial" w:hint="default"/>
      </w:rPr>
    </w:lvl>
    <w:lvl w:ilvl="2" w:tplc="F28A4A6E" w:tentative="1">
      <w:start w:val="1"/>
      <w:numFmt w:val="bullet"/>
      <w:lvlText w:val="•"/>
      <w:lvlJc w:val="left"/>
      <w:pPr>
        <w:tabs>
          <w:tab w:val="num" w:pos="2160"/>
        </w:tabs>
        <w:ind w:left="2160" w:hanging="360"/>
      </w:pPr>
      <w:rPr>
        <w:rFonts w:ascii="Arial" w:hAnsi="Arial" w:hint="default"/>
      </w:rPr>
    </w:lvl>
    <w:lvl w:ilvl="3" w:tplc="EBDCE29E" w:tentative="1">
      <w:start w:val="1"/>
      <w:numFmt w:val="bullet"/>
      <w:lvlText w:val="•"/>
      <w:lvlJc w:val="left"/>
      <w:pPr>
        <w:tabs>
          <w:tab w:val="num" w:pos="2880"/>
        </w:tabs>
        <w:ind w:left="2880" w:hanging="360"/>
      </w:pPr>
      <w:rPr>
        <w:rFonts w:ascii="Arial" w:hAnsi="Arial" w:hint="default"/>
      </w:rPr>
    </w:lvl>
    <w:lvl w:ilvl="4" w:tplc="6CE2AE6A" w:tentative="1">
      <w:start w:val="1"/>
      <w:numFmt w:val="bullet"/>
      <w:lvlText w:val="•"/>
      <w:lvlJc w:val="left"/>
      <w:pPr>
        <w:tabs>
          <w:tab w:val="num" w:pos="3600"/>
        </w:tabs>
        <w:ind w:left="3600" w:hanging="360"/>
      </w:pPr>
      <w:rPr>
        <w:rFonts w:ascii="Arial" w:hAnsi="Arial" w:hint="default"/>
      </w:rPr>
    </w:lvl>
    <w:lvl w:ilvl="5" w:tplc="99AE0FEA" w:tentative="1">
      <w:start w:val="1"/>
      <w:numFmt w:val="bullet"/>
      <w:lvlText w:val="•"/>
      <w:lvlJc w:val="left"/>
      <w:pPr>
        <w:tabs>
          <w:tab w:val="num" w:pos="4320"/>
        </w:tabs>
        <w:ind w:left="4320" w:hanging="360"/>
      </w:pPr>
      <w:rPr>
        <w:rFonts w:ascii="Arial" w:hAnsi="Arial" w:hint="default"/>
      </w:rPr>
    </w:lvl>
    <w:lvl w:ilvl="6" w:tplc="E2FEDB06" w:tentative="1">
      <w:start w:val="1"/>
      <w:numFmt w:val="bullet"/>
      <w:lvlText w:val="•"/>
      <w:lvlJc w:val="left"/>
      <w:pPr>
        <w:tabs>
          <w:tab w:val="num" w:pos="5040"/>
        </w:tabs>
        <w:ind w:left="5040" w:hanging="360"/>
      </w:pPr>
      <w:rPr>
        <w:rFonts w:ascii="Arial" w:hAnsi="Arial" w:hint="default"/>
      </w:rPr>
    </w:lvl>
    <w:lvl w:ilvl="7" w:tplc="25AA441E" w:tentative="1">
      <w:start w:val="1"/>
      <w:numFmt w:val="bullet"/>
      <w:lvlText w:val="•"/>
      <w:lvlJc w:val="left"/>
      <w:pPr>
        <w:tabs>
          <w:tab w:val="num" w:pos="5760"/>
        </w:tabs>
        <w:ind w:left="5760" w:hanging="360"/>
      </w:pPr>
      <w:rPr>
        <w:rFonts w:ascii="Arial" w:hAnsi="Arial" w:hint="default"/>
      </w:rPr>
    </w:lvl>
    <w:lvl w:ilvl="8" w:tplc="974833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05506"/>
    <w:multiLevelType w:val="hybridMultilevel"/>
    <w:tmpl w:val="318C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D86514"/>
    <w:multiLevelType w:val="hybridMultilevel"/>
    <w:tmpl w:val="FFFFFFFF"/>
    <w:lvl w:ilvl="0" w:tplc="94B4339E">
      <w:start w:val="1"/>
      <w:numFmt w:val="bullet"/>
      <w:lvlText w:val=""/>
      <w:lvlJc w:val="left"/>
      <w:pPr>
        <w:ind w:left="720" w:hanging="360"/>
      </w:pPr>
      <w:rPr>
        <w:rFonts w:ascii="Symbol" w:hAnsi="Symbol" w:hint="default"/>
      </w:rPr>
    </w:lvl>
    <w:lvl w:ilvl="1" w:tplc="949A4374">
      <w:start w:val="1"/>
      <w:numFmt w:val="bullet"/>
      <w:lvlText w:val="o"/>
      <w:lvlJc w:val="left"/>
      <w:pPr>
        <w:ind w:left="1440" w:hanging="360"/>
      </w:pPr>
      <w:rPr>
        <w:rFonts w:ascii="Courier New" w:hAnsi="Courier New" w:hint="default"/>
      </w:rPr>
    </w:lvl>
    <w:lvl w:ilvl="2" w:tplc="20EE9ABA">
      <w:start w:val="1"/>
      <w:numFmt w:val="bullet"/>
      <w:lvlText w:val=""/>
      <w:lvlJc w:val="left"/>
      <w:pPr>
        <w:ind w:left="2160" w:hanging="360"/>
      </w:pPr>
      <w:rPr>
        <w:rFonts w:ascii="Wingdings" w:hAnsi="Wingdings" w:hint="default"/>
      </w:rPr>
    </w:lvl>
    <w:lvl w:ilvl="3" w:tplc="59AEE418">
      <w:start w:val="1"/>
      <w:numFmt w:val="bullet"/>
      <w:lvlText w:val=""/>
      <w:lvlJc w:val="left"/>
      <w:pPr>
        <w:ind w:left="2880" w:hanging="360"/>
      </w:pPr>
      <w:rPr>
        <w:rFonts w:ascii="Symbol" w:hAnsi="Symbol" w:hint="default"/>
      </w:rPr>
    </w:lvl>
    <w:lvl w:ilvl="4" w:tplc="0DDADCA4">
      <w:start w:val="1"/>
      <w:numFmt w:val="bullet"/>
      <w:lvlText w:val="o"/>
      <w:lvlJc w:val="left"/>
      <w:pPr>
        <w:ind w:left="3600" w:hanging="360"/>
      </w:pPr>
      <w:rPr>
        <w:rFonts w:ascii="Courier New" w:hAnsi="Courier New" w:hint="default"/>
      </w:rPr>
    </w:lvl>
    <w:lvl w:ilvl="5" w:tplc="4454E0A2">
      <w:start w:val="1"/>
      <w:numFmt w:val="bullet"/>
      <w:lvlText w:val=""/>
      <w:lvlJc w:val="left"/>
      <w:pPr>
        <w:ind w:left="4320" w:hanging="360"/>
      </w:pPr>
      <w:rPr>
        <w:rFonts w:ascii="Wingdings" w:hAnsi="Wingdings" w:hint="default"/>
      </w:rPr>
    </w:lvl>
    <w:lvl w:ilvl="6" w:tplc="33A484DE">
      <w:start w:val="1"/>
      <w:numFmt w:val="bullet"/>
      <w:lvlText w:val=""/>
      <w:lvlJc w:val="left"/>
      <w:pPr>
        <w:ind w:left="5040" w:hanging="360"/>
      </w:pPr>
      <w:rPr>
        <w:rFonts w:ascii="Symbol" w:hAnsi="Symbol" w:hint="default"/>
      </w:rPr>
    </w:lvl>
    <w:lvl w:ilvl="7" w:tplc="B55ADD58">
      <w:start w:val="1"/>
      <w:numFmt w:val="bullet"/>
      <w:lvlText w:val="o"/>
      <w:lvlJc w:val="left"/>
      <w:pPr>
        <w:ind w:left="5760" w:hanging="360"/>
      </w:pPr>
      <w:rPr>
        <w:rFonts w:ascii="Courier New" w:hAnsi="Courier New" w:hint="default"/>
      </w:rPr>
    </w:lvl>
    <w:lvl w:ilvl="8" w:tplc="FF24A6E2">
      <w:start w:val="1"/>
      <w:numFmt w:val="bullet"/>
      <w:lvlText w:val=""/>
      <w:lvlJc w:val="left"/>
      <w:pPr>
        <w:ind w:left="6480" w:hanging="360"/>
      </w:pPr>
      <w:rPr>
        <w:rFonts w:ascii="Wingdings" w:hAnsi="Wingdings" w:hint="default"/>
      </w:rPr>
    </w:lvl>
  </w:abstractNum>
  <w:abstractNum w:abstractNumId="19" w15:restartNumberingAfterBreak="0">
    <w:nsid w:val="3285617D"/>
    <w:multiLevelType w:val="hybridMultilevel"/>
    <w:tmpl w:val="A1945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62C6271"/>
    <w:multiLevelType w:val="hybridMultilevel"/>
    <w:tmpl w:val="CB16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607D70"/>
    <w:multiLevelType w:val="multilevel"/>
    <w:tmpl w:val="8B6AEFD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5CF6914"/>
    <w:multiLevelType w:val="hybridMultilevel"/>
    <w:tmpl w:val="C0B0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AD28C6"/>
    <w:multiLevelType w:val="hybridMultilevel"/>
    <w:tmpl w:val="F6A6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F4503E"/>
    <w:multiLevelType w:val="hybridMultilevel"/>
    <w:tmpl w:val="2062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121FFF"/>
    <w:multiLevelType w:val="hybridMultilevel"/>
    <w:tmpl w:val="D332BB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E682ACC"/>
    <w:multiLevelType w:val="hybridMultilevel"/>
    <w:tmpl w:val="3A32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7805A1"/>
    <w:multiLevelType w:val="hybridMultilevel"/>
    <w:tmpl w:val="24588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383DEF"/>
    <w:multiLevelType w:val="hybridMultilevel"/>
    <w:tmpl w:val="62B8ABAC"/>
    <w:lvl w:ilvl="0" w:tplc="63A89E88">
      <w:start w:val="1"/>
      <w:numFmt w:val="decimal"/>
      <w:pStyle w:val="ListNumber"/>
      <w:lvlText w:val="%1."/>
      <w:lvlJc w:val="left"/>
      <w:pPr>
        <w:ind w:left="720" w:hanging="360"/>
      </w:pPr>
      <w:rPr>
        <w:rFonts w:cs="Trebuchet M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A51409"/>
    <w:multiLevelType w:val="hybridMultilevel"/>
    <w:tmpl w:val="998AE5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8920B8"/>
    <w:multiLevelType w:val="hybridMultilevel"/>
    <w:tmpl w:val="CC78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7C4D6E0"/>
    <w:multiLevelType w:val="hybridMultilevel"/>
    <w:tmpl w:val="FFFFFFFF"/>
    <w:lvl w:ilvl="0" w:tplc="4210CF12">
      <w:start w:val="1"/>
      <w:numFmt w:val="bullet"/>
      <w:lvlText w:val="-"/>
      <w:lvlJc w:val="left"/>
      <w:pPr>
        <w:ind w:left="720" w:hanging="360"/>
      </w:pPr>
      <w:rPr>
        <w:rFonts w:ascii="Aptos" w:hAnsi="Aptos" w:hint="default"/>
      </w:rPr>
    </w:lvl>
    <w:lvl w:ilvl="1" w:tplc="9D322BDE">
      <w:start w:val="1"/>
      <w:numFmt w:val="bullet"/>
      <w:lvlText w:val="o"/>
      <w:lvlJc w:val="left"/>
      <w:pPr>
        <w:ind w:left="1440" w:hanging="360"/>
      </w:pPr>
      <w:rPr>
        <w:rFonts w:ascii="Courier New" w:hAnsi="Courier New" w:hint="default"/>
      </w:rPr>
    </w:lvl>
    <w:lvl w:ilvl="2" w:tplc="28AC96B8">
      <w:start w:val="1"/>
      <w:numFmt w:val="bullet"/>
      <w:lvlText w:val=""/>
      <w:lvlJc w:val="left"/>
      <w:pPr>
        <w:ind w:left="2160" w:hanging="360"/>
      </w:pPr>
      <w:rPr>
        <w:rFonts w:ascii="Wingdings" w:hAnsi="Wingdings" w:hint="default"/>
      </w:rPr>
    </w:lvl>
    <w:lvl w:ilvl="3" w:tplc="BE2415E4">
      <w:start w:val="1"/>
      <w:numFmt w:val="bullet"/>
      <w:lvlText w:val=""/>
      <w:lvlJc w:val="left"/>
      <w:pPr>
        <w:ind w:left="2880" w:hanging="360"/>
      </w:pPr>
      <w:rPr>
        <w:rFonts w:ascii="Symbol" w:hAnsi="Symbol" w:hint="default"/>
      </w:rPr>
    </w:lvl>
    <w:lvl w:ilvl="4" w:tplc="1354FCAC">
      <w:start w:val="1"/>
      <w:numFmt w:val="bullet"/>
      <w:lvlText w:val="o"/>
      <w:lvlJc w:val="left"/>
      <w:pPr>
        <w:ind w:left="3600" w:hanging="360"/>
      </w:pPr>
      <w:rPr>
        <w:rFonts w:ascii="Courier New" w:hAnsi="Courier New" w:hint="default"/>
      </w:rPr>
    </w:lvl>
    <w:lvl w:ilvl="5" w:tplc="094E300C">
      <w:start w:val="1"/>
      <w:numFmt w:val="bullet"/>
      <w:lvlText w:val=""/>
      <w:lvlJc w:val="left"/>
      <w:pPr>
        <w:ind w:left="4320" w:hanging="360"/>
      </w:pPr>
      <w:rPr>
        <w:rFonts w:ascii="Wingdings" w:hAnsi="Wingdings" w:hint="default"/>
      </w:rPr>
    </w:lvl>
    <w:lvl w:ilvl="6" w:tplc="8674726A">
      <w:start w:val="1"/>
      <w:numFmt w:val="bullet"/>
      <w:lvlText w:val=""/>
      <w:lvlJc w:val="left"/>
      <w:pPr>
        <w:ind w:left="5040" w:hanging="360"/>
      </w:pPr>
      <w:rPr>
        <w:rFonts w:ascii="Symbol" w:hAnsi="Symbol" w:hint="default"/>
      </w:rPr>
    </w:lvl>
    <w:lvl w:ilvl="7" w:tplc="DC869B7A">
      <w:start w:val="1"/>
      <w:numFmt w:val="bullet"/>
      <w:lvlText w:val="o"/>
      <w:lvlJc w:val="left"/>
      <w:pPr>
        <w:ind w:left="5760" w:hanging="360"/>
      </w:pPr>
      <w:rPr>
        <w:rFonts w:ascii="Courier New" w:hAnsi="Courier New" w:hint="default"/>
      </w:rPr>
    </w:lvl>
    <w:lvl w:ilvl="8" w:tplc="19901C88">
      <w:start w:val="1"/>
      <w:numFmt w:val="bullet"/>
      <w:lvlText w:val=""/>
      <w:lvlJc w:val="left"/>
      <w:pPr>
        <w:ind w:left="6480" w:hanging="360"/>
      </w:pPr>
      <w:rPr>
        <w:rFonts w:ascii="Wingdings" w:hAnsi="Wingdings" w:hint="default"/>
      </w:rPr>
    </w:lvl>
  </w:abstractNum>
  <w:abstractNum w:abstractNumId="38" w15:restartNumberingAfterBreak="0">
    <w:nsid w:val="589A585C"/>
    <w:multiLevelType w:val="hybridMultilevel"/>
    <w:tmpl w:val="5778F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4D034D"/>
    <w:multiLevelType w:val="hybridMultilevel"/>
    <w:tmpl w:val="0F16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29062D"/>
    <w:multiLevelType w:val="multilevel"/>
    <w:tmpl w:val="ABE28E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65717935"/>
    <w:multiLevelType w:val="hybridMultilevel"/>
    <w:tmpl w:val="5A8A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8A05F1"/>
    <w:multiLevelType w:val="hybridMultilevel"/>
    <w:tmpl w:val="21E6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F22426"/>
    <w:multiLevelType w:val="hybridMultilevel"/>
    <w:tmpl w:val="F18066BC"/>
    <w:lvl w:ilvl="0" w:tplc="D53CFE1E">
      <w:start w:val="1"/>
      <w:numFmt w:val="bullet"/>
      <w:lvlText w:val="•"/>
      <w:lvlJc w:val="left"/>
      <w:pPr>
        <w:tabs>
          <w:tab w:val="num" w:pos="720"/>
        </w:tabs>
        <w:ind w:left="720" w:hanging="360"/>
      </w:pPr>
      <w:rPr>
        <w:rFonts w:ascii="Arial" w:hAnsi="Arial" w:hint="default"/>
      </w:rPr>
    </w:lvl>
    <w:lvl w:ilvl="1" w:tplc="86F2923E" w:tentative="1">
      <w:start w:val="1"/>
      <w:numFmt w:val="bullet"/>
      <w:lvlText w:val="•"/>
      <w:lvlJc w:val="left"/>
      <w:pPr>
        <w:tabs>
          <w:tab w:val="num" w:pos="1440"/>
        </w:tabs>
        <w:ind w:left="1440" w:hanging="360"/>
      </w:pPr>
      <w:rPr>
        <w:rFonts w:ascii="Arial" w:hAnsi="Arial" w:hint="default"/>
      </w:rPr>
    </w:lvl>
    <w:lvl w:ilvl="2" w:tplc="E82A34C8" w:tentative="1">
      <w:start w:val="1"/>
      <w:numFmt w:val="bullet"/>
      <w:lvlText w:val="•"/>
      <w:lvlJc w:val="left"/>
      <w:pPr>
        <w:tabs>
          <w:tab w:val="num" w:pos="2160"/>
        </w:tabs>
        <w:ind w:left="2160" w:hanging="360"/>
      </w:pPr>
      <w:rPr>
        <w:rFonts w:ascii="Arial" w:hAnsi="Arial" w:hint="default"/>
      </w:rPr>
    </w:lvl>
    <w:lvl w:ilvl="3" w:tplc="4AB6A4B4" w:tentative="1">
      <w:start w:val="1"/>
      <w:numFmt w:val="bullet"/>
      <w:lvlText w:val="•"/>
      <w:lvlJc w:val="left"/>
      <w:pPr>
        <w:tabs>
          <w:tab w:val="num" w:pos="2880"/>
        </w:tabs>
        <w:ind w:left="2880" w:hanging="360"/>
      </w:pPr>
      <w:rPr>
        <w:rFonts w:ascii="Arial" w:hAnsi="Arial" w:hint="default"/>
      </w:rPr>
    </w:lvl>
    <w:lvl w:ilvl="4" w:tplc="0C48695A" w:tentative="1">
      <w:start w:val="1"/>
      <w:numFmt w:val="bullet"/>
      <w:lvlText w:val="•"/>
      <w:lvlJc w:val="left"/>
      <w:pPr>
        <w:tabs>
          <w:tab w:val="num" w:pos="3600"/>
        </w:tabs>
        <w:ind w:left="3600" w:hanging="360"/>
      </w:pPr>
      <w:rPr>
        <w:rFonts w:ascii="Arial" w:hAnsi="Arial" w:hint="default"/>
      </w:rPr>
    </w:lvl>
    <w:lvl w:ilvl="5" w:tplc="FBD6094A" w:tentative="1">
      <w:start w:val="1"/>
      <w:numFmt w:val="bullet"/>
      <w:lvlText w:val="•"/>
      <w:lvlJc w:val="left"/>
      <w:pPr>
        <w:tabs>
          <w:tab w:val="num" w:pos="4320"/>
        </w:tabs>
        <w:ind w:left="4320" w:hanging="360"/>
      </w:pPr>
      <w:rPr>
        <w:rFonts w:ascii="Arial" w:hAnsi="Arial" w:hint="default"/>
      </w:rPr>
    </w:lvl>
    <w:lvl w:ilvl="6" w:tplc="A928E15A" w:tentative="1">
      <w:start w:val="1"/>
      <w:numFmt w:val="bullet"/>
      <w:lvlText w:val="•"/>
      <w:lvlJc w:val="left"/>
      <w:pPr>
        <w:tabs>
          <w:tab w:val="num" w:pos="5040"/>
        </w:tabs>
        <w:ind w:left="5040" w:hanging="360"/>
      </w:pPr>
      <w:rPr>
        <w:rFonts w:ascii="Arial" w:hAnsi="Arial" w:hint="default"/>
      </w:rPr>
    </w:lvl>
    <w:lvl w:ilvl="7" w:tplc="CBA624C6" w:tentative="1">
      <w:start w:val="1"/>
      <w:numFmt w:val="bullet"/>
      <w:lvlText w:val="•"/>
      <w:lvlJc w:val="left"/>
      <w:pPr>
        <w:tabs>
          <w:tab w:val="num" w:pos="5760"/>
        </w:tabs>
        <w:ind w:left="5760" w:hanging="360"/>
      </w:pPr>
      <w:rPr>
        <w:rFonts w:ascii="Arial" w:hAnsi="Arial" w:hint="default"/>
      </w:rPr>
    </w:lvl>
    <w:lvl w:ilvl="8" w:tplc="2048EE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79F17B8"/>
    <w:multiLevelType w:val="hybridMultilevel"/>
    <w:tmpl w:val="25C8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887BA1"/>
    <w:multiLevelType w:val="hybridMultilevel"/>
    <w:tmpl w:val="64D82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6FAF6C17"/>
    <w:multiLevelType w:val="hybridMultilevel"/>
    <w:tmpl w:val="D6B2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8F604D"/>
    <w:multiLevelType w:val="hybridMultilevel"/>
    <w:tmpl w:val="87CE6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402D85"/>
    <w:multiLevelType w:val="hybridMultilevel"/>
    <w:tmpl w:val="06C06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9767F9"/>
    <w:multiLevelType w:val="hybridMultilevel"/>
    <w:tmpl w:val="F7EA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3B5FFE"/>
    <w:multiLevelType w:val="hybridMultilevel"/>
    <w:tmpl w:val="BECC26B2"/>
    <w:lvl w:ilvl="0" w:tplc="F91E75BC">
      <w:start w:val="1"/>
      <w:numFmt w:val="bullet"/>
      <w:lvlText w:val="•"/>
      <w:lvlJc w:val="left"/>
      <w:pPr>
        <w:tabs>
          <w:tab w:val="num" w:pos="720"/>
        </w:tabs>
        <w:ind w:left="720" w:hanging="360"/>
      </w:pPr>
      <w:rPr>
        <w:rFonts w:ascii="Arial" w:hAnsi="Arial" w:hint="default"/>
      </w:rPr>
    </w:lvl>
    <w:lvl w:ilvl="1" w:tplc="40B85C8E" w:tentative="1">
      <w:start w:val="1"/>
      <w:numFmt w:val="bullet"/>
      <w:lvlText w:val="•"/>
      <w:lvlJc w:val="left"/>
      <w:pPr>
        <w:tabs>
          <w:tab w:val="num" w:pos="1440"/>
        </w:tabs>
        <w:ind w:left="1440" w:hanging="360"/>
      </w:pPr>
      <w:rPr>
        <w:rFonts w:ascii="Arial" w:hAnsi="Arial" w:hint="default"/>
      </w:rPr>
    </w:lvl>
    <w:lvl w:ilvl="2" w:tplc="471ECF56" w:tentative="1">
      <w:start w:val="1"/>
      <w:numFmt w:val="bullet"/>
      <w:lvlText w:val="•"/>
      <w:lvlJc w:val="left"/>
      <w:pPr>
        <w:tabs>
          <w:tab w:val="num" w:pos="2160"/>
        </w:tabs>
        <w:ind w:left="2160" w:hanging="360"/>
      </w:pPr>
      <w:rPr>
        <w:rFonts w:ascii="Arial" w:hAnsi="Arial" w:hint="default"/>
      </w:rPr>
    </w:lvl>
    <w:lvl w:ilvl="3" w:tplc="91644ED4" w:tentative="1">
      <w:start w:val="1"/>
      <w:numFmt w:val="bullet"/>
      <w:lvlText w:val="•"/>
      <w:lvlJc w:val="left"/>
      <w:pPr>
        <w:tabs>
          <w:tab w:val="num" w:pos="2880"/>
        </w:tabs>
        <w:ind w:left="2880" w:hanging="360"/>
      </w:pPr>
      <w:rPr>
        <w:rFonts w:ascii="Arial" w:hAnsi="Arial" w:hint="default"/>
      </w:rPr>
    </w:lvl>
    <w:lvl w:ilvl="4" w:tplc="8B70C754" w:tentative="1">
      <w:start w:val="1"/>
      <w:numFmt w:val="bullet"/>
      <w:lvlText w:val="•"/>
      <w:lvlJc w:val="left"/>
      <w:pPr>
        <w:tabs>
          <w:tab w:val="num" w:pos="3600"/>
        </w:tabs>
        <w:ind w:left="3600" w:hanging="360"/>
      </w:pPr>
      <w:rPr>
        <w:rFonts w:ascii="Arial" w:hAnsi="Arial" w:hint="default"/>
      </w:rPr>
    </w:lvl>
    <w:lvl w:ilvl="5" w:tplc="701A27DE" w:tentative="1">
      <w:start w:val="1"/>
      <w:numFmt w:val="bullet"/>
      <w:lvlText w:val="•"/>
      <w:lvlJc w:val="left"/>
      <w:pPr>
        <w:tabs>
          <w:tab w:val="num" w:pos="4320"/>
        </w:tabs>
        <w:ind w:left="4320" w:hanging="360"/>
      </w:pPr>
      <w:rPr>
        <w:rFonts w:ascii="Arial" w:hAnsi="Arial" w:hint="default"/>
      </w:rPr>
    </w:lvl>
    <w:lvl w:ilvl="6" w:tplc="C570D7C4" w:tentative="1">
      <w:start w:val="1"/>
      <w:numFmt w:val="bullet"/>
      <w:lvlText w:val="•"/>
      <w:lvlJc w:val="left"/>
      <w:pPr>
        <w:tabs>
          <w:tab w:val="num" w:pos="5040"/>
        </w:tabs>
        <w:ind w:left="5040" w:hanging="360"/>
      </w:pPr>
      <w:rPr>
        <w:rFonts w:ascii="Arial" w:hAnsi="Arial" w:hint="default"/>
      </w:rPr>
    </w:lvl>
    <w:lvl w:ilvl="7" w:tplc="2B8E72A2" w:tentative="1">
      <w:start w:val="1"/>
      <w:numFmt w:val="bullet"/>
      <w:lvlText w:val="•"/>
      <w:lvlJc w:val="left"/>
      <w:pPr>
        <w:tabs>
          <w:tab w:val="num" w:pos="5760"/>
        </w:tabs>
        <w:ind w:left="5760" w:hanging="360"/>
      </w:pPr>
      <w:rPr>
        <w:rFonts w:ascii="Arial" w:hAnsi="Arial" w:hint="default"/>
      </w:rPr>
    </w:lvl>
    <w:lvl w:ilvl="8" w:tplc="50A2DE5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D9061DB"/>
    <w:multiLevelType w:val="hybridMultilevel"/>
    <w:tmpl w:val="D00ABCFE"/>
    <w:lvl w:ilvl="0" w:tplc="EEA6F378">
      <w:start w:val="1"/>
      <w:numFmt w:val="bullet"/>
      <w:lvlText w:val="•"/>
      <w:lvlJc w:val="left"/>
      <w:pPr>
        <w:tabs>
          <w:tab w:val="num" w:pos="720"/>
        </w:tabs>
        <w:ind w:left="720" w:hanging="360"/>
      </w:pPr>
      <w:rPr>
        <w:rFonts w:ascii="Arial" w:hAnsi="Arial" w:hint="default"/>
      </w:rPr>
    </w:lvl>
    <w:lvl w:ilvl="1" w:tplc="03D660F6" w:tentative="1">
      <w:start w:val="1"/>
      <w:numFmt w:val="bullet"/>
      <w:lvlText w:val="•"/>
      <w:lvlJc w:val="left"/>
      <w:pPr>
        <w:tabs>
          <w:tab w:val="num" w:pos="1440"/>
        </w:tabs>
        <w:ind w:left="1440" w:hanging="360"/>
      </w:pPr>
      <w:rPr>
        <w:rFonts w:ascii="Arial" w:hAnsi="Arial" w:hint="default"/>
      </w:rPr>
    </w:lvl>
    <w:lvl w:ilvl="2" w:tplc="20A6D162" w:tentative="1">
      <w:start w:val="1"/>
      <w:numFmt w:val="bullet"/>
      <w:lvlText w:val="•"/>
      <w:lvlJc w:val="left"/>
      <w:pPr>
        <w:tabs>
          <w:tab w:val="num" w:pos="2160"/>
        </w:tabs>
        <w:ind w:left="2160" w:hanging="360"/>
      </w:pPr>
      <w:rPr>
        <w:rFonts w:ascii="Arial" w:hAnsi="Arial" w:hint="default"/>
      </w:rPr>
    </w:lvl>
    <w:lvl w:ilvl="3" w:tplc="5C0464C2" w:tentative="1">
      <w:start w:val="1"/>
      <w:numFmt w:val="bullet"/>
      <w:lvlText w:val="•"/>
      <w:lvlJc w:val="left"/>
      <w:pPr>
        <w:tabs>
          <w:tab w:val="num" w:pos="2880"/>
        </w:tabs>
        <w:ind w:left="2880" w:hanging="360"/>
      </w:pPr>
      <w:rPr>
        <w:rFonts w:ascii="Arial" w:hAnsi="Arial" w:hint="default"/>
      </w:rPr>
    </w:lvl>
    <w:lvl w:ilvl="4" w:tplc="CA0249D4" w:tentative="1">
      <w:start w:val="1"/>
      <w:numFmt w:val="bullet"/>
      <w:lvlText w:val="•"/>
      <w:lvlJc w:val="left"/>
      <w:pPr>
        <w:tabs>
          <w:tab w:val="num" w:pos="3600"/>
        </w:tabs>
        <w:ind w:left="3600" w:hanging="360"/>
      </w:pPr>
      <w:rPr>
        <w:rFonts w:ascii="Arial" w:hAnsi="Arial" w:hint="default"/>
      </w:rPr>
    </w:lvl>
    <w:lvl w:ilvl="5" w:tplc="A0F2135E" w:tentative="1">
      <w:start w:val="1"/>
      <w:numFmt w:val="bullet"/>
      <w:lvlText w:val="•"/>
      <w:lvlJc w:val="left"/>
      <w:pPr>
        <w:tabs>
          <w:tab w:val="num" w:pos="4320"/>
        </w:tabs>
        <w:ind w:left="4320" w:hanging="360"/>
      </w:pPr>
      <w:rPr>
        <w:rFonts w:ascii="Arial" w:hAnsi="Arial" w:hint="default"/>
      </w:rPr>
    </w:lvl>
    <w:lvl w:ilvl="6" w:tplc="6CD6AE94" w:tentative="1">
      <w:start w:val="1"/>
      <w:numFmt w:val="bullet"/>
      <w:lvlText w:val="•"/>
      <w:lvlJc w:val="left"/>
      <w:pPr>
        <w:tabs>
          <w:tab w:val="num" w:pos="5040"/>
        </w:tabs>
        <w:ind w:left="5040" w:hanging="360"/>
      </w:pPr>
      <w:rPr>
        <w:rFonts w:ascii="Arial" w:hAnsi="Arial" w:hint="default"/>
      </w:rPr>
    </w:lvl>
    <w:lvl w:ilvl="7" w:tplc="13D8A5BA" w:tentative="1">
      <w:start w:val="1"/>
      <w:numFmt w:val="bullet"/>
      <w:lvlText w:val="•"/>
      <w:lvlJc w:val="left"/>
      <w:pPr>
        <w:tabs>
          <w:tab w:val="num" w:pos="5760"/>
        </w:tabs>
        <w:ind w:left="5760" w:hanging="360"/>
      </w:pPr>
      <w:rPr>
        <w:rFonts w:ascii="Arial" w:hAnsi="Arial" w:hint="default"/>
      </w:rPr>
    </w:lvl>
    <w:lvl w:ilvl="8" w:tplc="3C585D0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4" w15:restartNumberingAfterBreak="0">
    <w:nsid w:val="7EF7299F"/>
    <w:multiLevelType w:val="hybridMultilevel"/>
    <w:tmpl w:val="DC9E1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5209321">
    <w:abstractNumId w:val="18"/>
  </w:num>
  <w:num w:numId="2" w16cid:durableId="46876113">
    <w:abstractNumId w:val="37"/>
  </w:num>
  <w:num w:numId="3" w16cid:durableId="781267788">
    <w:abstractNumId w:val="13"/>
  </w:num>
  <w:num w:numId="4" w16cid:durableId="728571613">
    <w:abstractNumId w:val="21"/>
  </w:num>
  <w:num w:numId="5" w16cid:durableId="1110583271">
    <w:abstractNumId w:val="53"/>
  </w:num>
  <w:num w:numId="6" w16cid:durableId="1955208067">
    <w:abstractNumId w:val="34"/>
  </w:num>
  <w:num w:numId="7" w16cid:durableId="1245342364">
    <w:abstractNumId w:val="46"/>
  </w:num>
  <w:num w:numId="8" w16cid:durableId="1191726581">
    <w:abstractNumId w:val="3"/>
  </w:num>
  <w:num w:numId="9" w16cid:durableId="69696735">
    <w:abstractNumId w:val="29"/>
  </w:num>
  <w:num w:numId="10" w16cid:durableId="500856995">
    <w:abstractNumId w:val="36"/>
  </w:num>
  <w:num w:numId="11" w16cid:durableId="81340307">
    <w:abstractNumId w:val="5"/>
  </w:num>
  <w:num w:numId="12" w16cid:durableId="172378174">
    <w:abstractNumId w:val="20"/>
  </w:num>
  <w:num w:numId="13" w16cid:durableId="220487679">
    <w:abstractNumId w:val="0"/>
  </w:num>
  <w:num w:numId="14" w16cid:durableId="1710915303">
    <w:abstractNumId w:val="6"/>
  </w:num>
  <w:num w:numId="15" w16cid:durableId="2110810773">
    <w:abstractNumId w:val="12"/>
  </w:num>
  <w:num w:numId="16" w16cid:durableId="33846884">
    <w:abstractNumId w:val="19"/>
  </w:num>
  <w:num w:numId="17" w16cid:durableId="1110079280">
    <w:abstractNumId w:val="23"/>
  </w:num>
  <w:num w:numId="18" w16cid:durableId="494884351">
    <w:abstractNumId w:val="54"/>
  </w:num>
  <w:num w:numId="19" w16cid:durableId="1019508837">
    <w:abstractNumId w:val="4"/>
  </w:num>
  <w:num w:numId="20" w16cid:durableId="1353725165">
    <w:abstractNumId w:val="10"/>
  </w:num>
  <w:num w:numId="21" w16cid:durableId="1266497585">
    <w:abstractNumId w:val="50"/>
  </w:num>
  <w:num w:numId="22" w16cid:durableId="835148890">
    <w:abstractNumId w:val="22"/>
  </w:num>
  <w:num w:numId="23" w16cid:durableId="1123964141">
    <w:abstractNumId w:val="30"/>
  </w:num>
  <w:num w:numId="24" w16cid:durableId="1679623440">
    <w:abstractNumId w:val="48"/>
  </w:num>
  <w:num w:numId="25" w16cid:durableId="998465336">
    <w:abstractNumId w:val="15"/>
  </w:num>
  <w:num w:numId="26" w16cid:durableId="755397137">
    <w:abstractNumId w:val="27"/>
  </w:num>
  <w:num w:numId="27" w16cid:durableId="81533581">
    <w:abstractNumId w:val="26"/>
  </w:num>
  <w:num w:numId="28" w16cid:durableId="634213449">
    <w:abstractNumId w:val="17"/>
  </w:num>
  <w:num w:numId="29" w16cid:durableId="388501953">
    <w:abstractNumId w:val="35"/>
  </w:num>
  <w:num w:numId="30" w16cid:durableId="1110201953">
    <w:abstractNumId w:val="11"/>
  </w:num>
  <w:num w:numId="31" w16cid:durableId="1859393436">
    <w:abstractNumId w:val="49"/>
  </w:num>
  <w:num w:numId="32" w16cid:durableId="1380516589">
    <w:abstractNumId w:val="39"/>
  </w:num>
  <w:num w:numId="33" w16cid:durableId="1709718561">
    <w:abstractNumId w:val="45"/>
  </w:num>
  <w:num w:numId="34" w16cid:durableId="1297099093">
    <w:abstractNumId w:val="41"/>
  </w:num>
  <w:num w:numId="35" w16cid:durableId="2020767554">
    <w:abstractNumId w:val="44"/>
  </w:num>
  <w:num w:numId="36" w16cid:durableId="610822442">
    <w:abstractNumId w:val="31"/>
  </w:num>
  <w:num w:numId="37" w16cid:durableId="1762556428">
    <w:abstractNumId w:val="1"/>
  </w:num>
  <w:num w:numId="38" w16cid:durableId="1488395473">
    <w:abstractNumId w:val="14"/>
  </w:num>
  <w:num w:numId="39" w16cid:durableId="504975191">
    <w:abstractNumId w:val="9"/>
  </w:num>
  <w:num w:numId="40" w16cid:durableId="1896431678">
    <w:abstractNumId w:val="25"/>
  </w:num>
  <w:num w:numId="41" w16cid:durableId="1163937274">
    <w:abstractNumId w:val="33"/>
  </w:num>
  <w:num w:numId="42" w16cid:durableId="950094175">
    <w:abstractNumId w:val="2"/>
  </w:num>
  <w:num w:numId="43" w16cid:durableId="1793161518">
    <w:abstractNumId w:val="7"/>
  </w:num>
  <w:num w:numId="44" w16cid:durableId="351688492">
    <w:abstractNumId w:val="8"/>
  </w:num>
  <w:num w:numId="45" w16cid:durableId="1163619804">
    <w:abstractNumId w:val="16"/>
  </w:num>
  <w:num w:numId="46" w16cid:durableId="981737094">
    <w:abstractNumId w:val="51"/>
  </w:num>
  <w:num w:numId="47" w16cid:durableId="1156730194">
    <w:abstractNumId w:val="52"/>
  </w:num>
  <w:num w:numId="48" w16cid:durableId="1818959676">
    <w:abstractNumId w:val="43"/>
  </w:num>
  <w:num w:numId="49" w16cid:durableId="1310864673">
    <w:abstractNumId w:val="42"/>
  </w:num>
  <w:num w:numId="50" w16cid:durableId="1921987791">
    <w:abstractNumId w:val="38"/>
  </w:num>
  <w:num w:numId="51" w16cid:durableId="328411668">
    <w:abstractNumId w:val="24"/>
  </w:num>
  <w:num w:numId="52" w16cid:durableId="1918899030">
    <w:abstractNumId w:val="47"/>
  </w:num>
  <w:num w:numId="53" w16cid:durableId="1585454063">
    <w:abstractNumId w:val="28"/>
  </w:num>
  <w:num w:numId="54" w16cid:durableId="1778136469">
    <w:abstractNumId w:val="40"/>
  </w:num>
  <w:num w:numId="55" w16cid:durableId="968776718">
    <w:abstractNumId w:val="32"/>
  </w:num>
  <w:num w:numId="56" w16cid:durableId="489248810">
    <w:abstractNumId w:val="32"/>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EF"/>
    <w:rsid w:val="00000CC5"/>
    <w:rsid w:val="000016E2"/>
    <w:rsid w:val="00001F41"/>
    <w:rsid w:val="0000269B"/>
    <w:rsid w:val="000035BB"/>
    <w:rsid w:val="00003743"/>
    <w:rsid w:val="00003890"/>
    <w:rsid w:val="0000390D"/>
    <w:rsid w:val="00003A5C"/>
    <w:rsid w:val="00003C1D"/>
    <w:rsid w:val="000047B4"/>
    <w:rsid w:val="000050C3"/>
    <w:rsid w:val="000055E3"/>
    <w:rsid w:val="00005712"/>
    <w:rsid w:val="000065A7"/>
    <w:rsid w:val="00006676"/>
    <w:rsid w:val="000069C9"/>
    <w:rsid w:val="00006BC4"/>
    <w:rsid w:val="00007BBE"/>
    <w:rsid w:val="00007C56"/>
    <w:rsid w:val="00007FD8"/>
    <w:rsid w:val="00010778"/>
    <w:rsid w:val="00010849"/>
    <w:rsid w:val="00010BFC"/>
    <w:rsid w:val="00010CAF"/>
    <w:rsid w:val="000117F8"/>
    <w:rsid w:val="00011B0F"/>
    <w:rsid w:val="000124DE"/>
    <w:rsid w:val="00012C87"/>
    <w:rsid w:val="0001341E"/>
    <w:rsid w:val="00013901"/>
    <w:rsid w:val="00013983"/>
    <w:rsid w:val="00015516"/>
    <w:rsid w:val="0001555A"/>
    <w:rsid w:val="00015825"/>
    <w:rsid w:val="00015F12"/>
    <w:rsid w:val="00016832"/>
    <w:rsid w:val="00017EC5"/>
    <w:rsid w:val="00020183"/>
    <w:rsid w:val="000206EF"/>
    <w:rsid w:val="00020998"/>
    <w:rsid w:val="00020EC5"/>
    <w:rsid w:val="00021A2B"/>
    <w:rsid w:val="000234AD"/>
    <w:rsid w:val="000238A9"/>
    <w:rsid w:val="0002399B"/>
    <w:rsid w:val="00024944"/>
    <w:rsid w:val="0002565D"/>
    <w:rsid w:val="00026139"/>
    <w:rsid w:val="000267A5"/>
    <w:rsid w:val="00026964"/>
    <w:rsid w:val="00026F8F"/>
    <w:rsid w:val="00027071"/>
    <w:rsid w:val="00027409"/>
    <w:rsid w:val="0002750D"/>
    <w:rsid w:val="00027601"/>
    <w:rsid w:val="00030469"/>
    <w:rsid w:val="00030786"/>
    <w:rsid w:val="00030A96"/>
    <w:rsid w:val="00031D02"/>
    <w:rsid w:val="00032922"/>
    <w:rsid w:val="00033321"/>
    <w:rsid w:val="000338E5"/>
    <w:rsid w:val="00033ECC"/>
    <w:rsid w:val="0003422F"/>
    <w:rsid w:val="000344FE"/>
    <w:rsid w:val="00034C1E"/>
    <w:rsid w:val="00034FF5"/>
    <w:rsid w:val="00035506"/>
    <w:rsid w:val="000356AA"/>
    <w:rsid w:val="000356D9"/>
    <w:rsid w:val="00035864"/>
    <w:rsid w:val="00035EEC"/>
    <w:rsid w:val="00036754"/>
    <w:rsid w:val="0003774A"/>
    <w:rsid w:val="00037B93"/>
    <w:rsid w:val="00040019"/>
    <w:rsid w:val="00040774"/>
    <w:rsid w:val="00040B94"/>
    <w:rsid w:val="000419E8"/>
    <w:rsid w:val="00041C69"/>
    <w:rsid w:val="00042B64"/>
    <w:rsid w:val="00043D9D"/>
    <w:rsid w:val="00043FF3"/>
    <w:rsid w:val="000448C5"/>
    <w:rsid w:val="000455BF"/>
    <w:rsid w:val="00046353"/>
    <w:rsid w:val="00046FF0"/>
    <w:rsid w:val="0004712C"/>
    <w:rsid w:val="00050176"/>
    <w:rsid w:val="0005070C"/>
    <w:rsid w:val="00050CBE"/>
    <w:rsid w:val="00052883"/>
    <w:rsid w:val="00052EF0"/>
    <w:rsid w:val="000530EB"/>
    <w:rsid w:val="00053A4A"/>
    <w:rsid w:val="000550F9"/>
    <w:rsid w:val="000555B7"/>
    <w:rsid w:val="00055A81"/>
    <w:rsid w:val="0005790B"/>
    <w:rsid w:val="00057B78"/>
    <w:rsid w:val="00057D4A"/>
    <w:rsid w:val="00060034"/>
    <w:rsid w:val="000604F5"/>
    <w:rsid w:val="00061EE9"/>
    <w:rsid w:val="00062656"/>
    <w:rsid w:val="00062952"/>
    <w:rsid w:val="00062AED"/>
    <w:rsid w:val="00062B65"/>
    <w:rsid w:val="0006333D"/>
    <w:rsid w:val="00063548"/>
    <w:rsid w:val="00066565"/>
    <w:rsid w:val="0006686A"/>
    <w:rsid w:val="000673DA"/>
    <w:rsid w:val="00067456"/>
    <w:rsid w:val="000701F8"/>
    <w:rsid w:val="00070316"/>
    <w:rsid w:val="0007074A"/>
    <w:rsid w:val="00071506"/>
    <w:rsid w:val="0007154F"/>
    <w:rsid w:val="0007301A"/>
    <w:rsid w:val="0007320D"/>
    <w:rsid w:val="00073829"/>
    <w:rsid w:val="00073B82"/>
    <w:rsid w:val="00073C50"/>
    <w:rsid w:val="0007527B"/>
    <w:rsid w:val="000753A2"/>
    <w:rsid w:val="000753EE"/>
    <w:rsid w:val="000755F3"/>
    <w:rsid w:val="000763D2"/>
    <w:rsid w:val="00077F8A"/>
    <w:rsid w:val="0008126D"/>
    <w:rsid w:val="000813C0"/>
    <w:rsid w:val="00081848"/>
    <w:rsid w:val="000818ED"/>
    <w:rsid w:val="00081AB1"/>
    <w:rsid w:val="00081D0F"/>
    <w:rsid w:val="000821BF"/>
    <w:rsid w:val="00082E2A"/>
    <w:rsid w:val="00083892"/>
    <w:rsid w:val="00083EAD"/>
    <w:rsid w:val="0008426C"/>
    <w:rsid w:val="00084620"/>
    <w:rsid w:val="00085432"/>
    <w:rsid w:val="000854CD"/>
    <w:rsid w:val="0008556B"/>
    <w:rsid w:val="00085697"/>
    <w:rsid w:val="000859C9"/>
    <w:rsid w:val="00085AEF"/>
    <w:rsid w:val="00085BA7"/>
    <w:rsid w:val="00085F04"/>
    <w:rsid w:val="000864F4"/>
    <w:rsid w:val="00090316"/>
    <w:rsid w:val="0009069B"/>
    <w:rsid w:val="00090DEA"/>
    <w:rsid w:val="00093981"/>
    <w:rsid w:val="00093CD9"/>
    <w:rsid w:val="00093CE1"/>
    <w:rsid w:val="00094254"/>
    <w:rsid w:val="00094C28"/>
    <w:rsid w:val="00095441"/>
    <w:rsid w:val="000957AB"/>
    <w:rsid w:val="00095DA6"/>
    <w:rsid w:val="0009604A"/>
    <w:rsid w:val="00096233"/>
    <w:rsid w:val="000962AF"/>
    <w:rsid w:val="00096DC6"/>
    <w:rsid w:val="000A08D4"/>
    <w:rsid w:val="000A1A26"/>
    <w:rsid w:val="000A2700"/>
    <w:rsid w:val="000A3773"/>
    <w:rsid w:val="000A4E5F"/>
    <w:rsid w:val="000A50C4"/>
    <w:rsid w:val="000A51E7"/>
    <w:rsid w:val="000A5D3E"/>
    <w:rsid w:val="000A6692"/>
    <w:rsid w:val="000A6AE1"/>
    <w:rsid w:val="000A7345"/>
    <w:rsid w:val="000A745C"/>
    <w:rsid w:val="000A7804"/>
    <w:rsid w:val="000B0275"/>
    <w:rsid w:val="000B067A"/>
    <w:rsid w:val="000B0965"/>
    <w:rsid w:val="000B0A7A"/>
    <w:rsid w:val="000B0C1F"/>
    <w:rsid w:val="000B134E"/>
    <w:rsid w:val="000B1540"/>
    <w:rsid w:val="000B1DF8"/>
    <w:rsid w:val="000B2B8F"/>
    <w:rsid w:val="000B2E29"/>
    <w:rsid w:val="000B33FD"/>
    <w:rsid w:val="000B346A"/>
    <w:rsid w:val="000B37ED"/>
    <w:rsid w:val="000B400A"/>
    <w:rsid w:val="000B4099"/>
    <w:rsid w:val="000B446C"/>
    <w:rsid w:val="000B4ABA"/>
    <w:rsid w:val="000B4DAA"/>
    <w:rsid w:val="000B4F36"/>
    <w:rsid w:val="000B515B"/>
    <w:rsid w:val="000B5A9B"/>
    <w:rsid w:val="000B5AF1"/>
    <w:rsid w:val="000B6761"/>
    <w:rsid w:val="000B6B9E"/>
    <w:rsid w:val="000B7045"/>
    <w:rsid w:val="000B752A"/>
    <w:rsid w:val="000B7AE0"/>
    <w:rsid w:val="000B7C1D"/>
    <w:rsid w:val="000B7EF3"/>
    <w:rsid w:val="000C01F9"/>
    <w:rsid w:val="000C09BE"/>
    <w:rsid w:val="000C133B"/>
    <w:rsid w:val="000C16CF"/>
    <w:rsid w:val="000C337A"/>
    <w:rsid w:val="000C3C8A"/>
    <w:rsid w:val="000C41F7"/>
    <w:rsid w:val="000C481D"/>
    <w:rsid w:val="000C4B16"/>
    <w:rsid w:val="000C4FD3"/>
    <w:rsid w:val="000C502B"/>
    <w:rsid w:val="000C50C3"/>
    <w:rsid w:val="000C5355"/>
    <w:rsid w:val="000C5676"/>
    <w:rsid w:val="000C59D5"/>
    <w:rsid w:val="000C5B72"/>
    <w:rsid w:val="000C61D1"/>
    <w:rsid w:val="000C65BF"/>
    <w:rsid w:val="000C6C41"/>
    <w:rsid w:val="000C706B"/>
    <w:rsid w:val="000C709C"/>
    <w:rsid w:val="000D13A1"/>
    <w:rsid w:val="000D13F0"/>
    <w:rsid w:val="000D1BC1"/>
    <w:rsid w:val="000D2117"/>
    <w:rsid w:val="000D21F6"/>
    <w:rsid w:val="000D27B0"/>
    <w:rsid w:val="000D2DF7"/>
    <w:rsid w:val="000D322A"/>
    <w:rsid w:val="000D33A6"/>
    <w:rsid w:val="000D35A1"/>
    <w:rsid w:val="000D3A82"/>
    <w:rsid w:val="000D42C3"/>
    <w:rsid w:val="000D4500"/>
    <w:rsid w:val="000D480A"/>
    <w:rsid w:val="000D49D2"/>
    <w:rsid w:val="000D4C4F"/>
    <w:rsid w:val="000D52C3"/>
    <w:rsid w:val="000D58E2"/>
    <w:rsid w:val="000D5A8F"/>
    <w:rsid w:val="000D7584"/>
    <w:rsid w:val="000D7607"/>
    <w:rsid w:val="000D76D1"/>
    <w:rsid w:val="000D7AEA"/>
    <w:rsid w:val="000E01A9"/>
    <w:rsid w:val="000E0A79"/>
    <w:rsid w:val="000E14E3"/>
    <w:rsid w:val="000E2178"/>
    <w:rsid w:val="000E22FA"/>
    <w:rsid w:val="000E27D3"/>
    <w:rsid w:val="000E283F"/>
    <w:rsid w:val="000E2A24"/>
    <w:rsid w:val="000E2AD2"/>
    <w:rsid w:val="000E2C66"/>
    <w:rsid w:val="000E445E"/>
    <w:rsid w:val="000E4C9D"/>
    <w:rsid w:val="000E5C2E"/>
    <w:rsid w:val="000E61AC"/>
    <w:rsid w:val="000E6851"/>
    <w:rsid w:val="000E69B8"/>
    <w:rsid w:val="000E6B43"/>
    <w:rsid w:val="000E6E7D"/>
    <w:rsid w:val="000E720D"/>
    <w:rsid w:val="000E74E7"/>
    <w:rsid w:val="000F0158"/>
    <w:rsid w:val="000F123C"/>
    <w:rsid w:val="000F16DB"/>
    <w:rsid w:val="000F1713"/>
    <w:rsid w:val="000F1823"/>
    <w:rsid w:val="000F1859"/>
    <w:rsid w:val="000F18C1"/>
    <w:rsid w:val="000F196B"/>
    <w:rsid w:val="000F207F"/>
    <w:rsid w:val="000F2133"/>
    <w:rsid w:val="000F2225"/>
    <w:rsid w:val="000F2712"/>
    <w:rsid w:val="000F2D2B"/>
    <w:rsid w:val="000F2FED"/>
    <w:rsid w:val="000F38B4"/>
    <w:rsid w:val="000F3EC0"/>
    <w:rsid w:val="000F3F6F"/>
    <w:rsid w:val="000F55BB"/>
    <w:rsid w:val="000F608B"/>
    <w:rsid w:val="000F65FA"/>
    <w:rsid w:val="000F6685"/>
    <w:rsid w:val="000F671A"/>
    <w:rsid w:val="000F6939"/>
    <w:rsid w:val="000F71BC"/>
    <w:rsid w:val="000F7A14"/>
    <w:rsid w:val="000F7C5B"/>
    <w:rsid w:val="00100EB0"/>
    <w:rsid w:val="00100ED1"/>
    <w:rsid w:val="0010107D"/>
    <w:rsid w:val="00101396"/>
    <w:rsid w:val="00101599"/>
    <w:rsid w:val="00102A7B"/>
    <w:rsid w:val="00102F93"/>
    <w:rsid w:val="001030A8"/>
    <w:rsid w:val="00103809"/>
    <w:rsid w:val="0010406E"/>
    <w:rsid w:val="00104320"/>
    <w:rsid w:val="001044B1"/>
    <w:rsid w:val="00104CF0"/>
    <w:rsid w:val="00105DCE"/>
    <w:rsid w:val="0010616D"/>
    <w:rsid w:val="001062C9"/>
    <w:rsid w:val="0010647E"/>
    <w:rsid w:val="001075AF"/>
    <w:rsid w:val="00107B01"/>
    <w:rsid w:val="00107BB2"/>
    <w:rsid w:val="00107BC7"/>
    <w:rsid w:val="00107DA1"/>
    <w:rsid w:val="00110478"/>
    <w:rsid w:val="00111245"/>
    <w:rsid w:val="0011128E"/>
    <w:rsid w:val="00111805"/>
    <w:rsid w:val="0011242D"/>
    <w:rsid w:val="00112C4F"/>
    <w:rsid w:val="00113261"/>
    <w:rsid w:val="0011392D"/>
    <w:rsid w:val="00113CFB"/>
    <w:rsid w:val="00113D23"/>
    <w:rsid w:val="001145B8"/>
    <w:rsid w:val="00114961"/>
    <w:rsid w:val="00114C3F"/>
    <w:rsid w:val="001150E5"/>
    <w:rsid w:val="00115295"/>
    <w:rsid w:val="001152A4"/>
    <w:rsid w:val="00115847"/>
    <w:rsid w:val="00116604"/>
    <w:rsid w:val="00116982"/>
    <w:rsid w:val="0011711B"/>
    <w:rsid w:val="00117ADF"/>
    <w:rsid w:val="00117D1F"/>
    <w:rsid w:val="00117F8A"/>
    <w:rsid w:val="00120008"/>
    <w:rsid w:val="00120448"/>
    <w:rsid w:val="00120D14"/>
    <w:rsid w:val="00121598"/>
    <w:rsid w:val="00121AB5"/>
    <w:rsid w:val="00121B9B"/>
    <w:rsid w:val="00121EBF"/>
    <w:rsid w:val="0012212C"/>
    <w:rsid w:val="001221F0"/>
    <w:rsid w:val="00122235"/>
    <w:rsid w:val="00122687"/>
    <w:rsid w:val="001226A1"/>
    <w:rsid w:val="00122ADC"/>
    <w:rsid w:val="0012388C"/>
    <w:rsid w:val="00124F04"/>
    <w:rsid w:val="001251C5"/>
    <w:rsid w:val="00125518"/>
    <w:rsid w:val="001256B2"/>
    <w:rsid w:val="00126F46"/>
    <w:rsid w:val="001273E1"/>
    <w:rsid w:val="0013016D"/>
    <w:rsid w:val="001306E2"/>
    <w:rsid w:val="00130804"/>
    <w:rsid w:val="00130F59"/>
    <w:rsid w:val="00131678"/>
    <w:rsid w:val="001322A3"/>
    <w:rsid w:val="0013250A"/>
    <w:rsid w:val="00132664"/>
    <w:rsid w:val="00132737"/>
    <w:rsid w:val="00133012"/>
    <w:rsid w:val="00133267"/>
    <w:rsid w:val="00133EA4"/>
    <w:rsid w:val="00133EC0"/>
    <w:rsid w:val="0013422B"/>
    <w:rsid w:val="0013465A"/>
    <w:rsid w:val="001353A1"/>
    <w:rsid w:val="00135561"/>
    <w:rsid w:val="00135603"/>
    <w:rsid w:val="00135805"/>
    <w:rsid w:val="0013665B"/>
    <w:rsid w:val="001366C8"/>
    <w:rsid w:val="00137E1E"/>
    <w:rsid w:val="00137E2F"/>
    <w:rsid w:val="00140555"/>
    <w:rsid w:val="001408EE"/>
    <w:rsid w:val="00141174"/>
    <w:rsid w:val="001413BB"/>
    <w:rsid w:val="00141935"/>
    <w:rsid w:val="00141CE5"/>
    <w:rsid w:val="0014310E"/>
    <w:rsid w:val="00143922"/>
    <w:rsid w:val="00143BFE"/>
    <w:rsid w:val="00144908"/>
    <w:rsid w:val="00144C84"/>
    <w:rsid w:val="00144D5D"/>
    <w:rsid w:val="00146AA4"/>
    <w:rsid w:val="00146E95"/>
    <w:rsid w:val="001507E9"/>
    <w:rsid w:val="001509B5"/>
    <w:rsid w:val="00151416"/>
    <w:rsid w:val="001519B9"/>
    <w:rsid w:val="00151ADC"/>
    <w:rsid w:val="00151E1E"/>
    <w:rsid w:val="00152082"/>
    <w:rsid w:val="001533BD"/>
    <w:rsid w:val="0015395A"/>
    <w:rsid w:val="00154953"/>
    <w:rsid w:val="00155232"/>
    <w:rsid w:val="00155469"/>
    <w:rsid w:val="00156359"/>
    <w:rsid w:val="001567C7"/>
    <w:rsid w:val="00156FEB"/>
    <w:rsid w:val="001571C7"/>
    <w:rsid w:val="00157BD4"/>
    <w:rsid w:val="00157C9F"/>
    <w:rsid w:val="00157FCF"/>
    <w:rsid w:val="0016029A"/>
    <w:rsid w:val="001605B2"/>
    <w:rsid w:val="00160880"/>
    <w:rsid w:val="00161094"/>
    <w:rsid w:val="00161451"/>
    <w:rsid w:val="00162E34"/>
    <w:rsid w:val="00163457"/>
    <w:rsid w:val="00163A17"/>
    <w:rsid w:val="00164A9E"/>
    <w:rsid w:val="00164AF4"/>
    <w:rsid w:val="0016592B"/>
    <w:rsid w:val="00165B42"/>
    <w:rsid w:val="0016678D"/>
    <w:rsid w:val="00167412"/>
    <w:rsid w:val="00167A75"/>
    <w:rsid w:val="00170A7C"/>
    <w:rsid w:val="00170B94"/>
    <w:rsid w:val="001711A3"/>
    <w:rsid w:val="00171644"/>
    <w:rsid w:val="00171659"/>
    <w:rsid w:val="0017231C"/>
    <w:rsid w:val="00172A55"/>
    <w:rsid w:val="001735BE"/>
    <w:rsid w:val="00173E26"/>
    <w:rsid w:val="00174000"/>
    <w:rsid w:val="00174811"/>
    <w:rsid w:val="00174DB0"/>
    <w:rsid w:val="001751C7"/>
    <w:rsid w:val="00175590"/>
    <w:rsid w:val="001758BC"/>
    <w:rsid w:val="001758CD"/>
    <w:rsid w:val="001764B3"/>
    <w:rsid w:val="0017665C"/>
    <w:rsid w:val="00176CBA"/>
    <w:rsid w:val="00177398"/>
    <w:rsid w:val="00177AD2"/>
    <w:rsid w:val="0018116B"/>
    <w:rsid w:val="001815A8"/>
    <w:rsid w:val="00181CE7"/>
    <w:rsid w:val="00182AE9"/>
    <w:rsid w:val="00184075"/>
    <w:rsid w:val="001840FA"/>
    <w:rsid w:val="00184559"/>
    <w:rsid w:val="00184BBF"/>
    <w:rsid w:val="00185177"/>
    <w:rsid w:val="001858FF"/>
    <w:rsid w:val="00186AE8"/>
    <w:rsid w:val="00186C95"/>
    <w:rsid w:val="00186E38"/>
    <w:rsid w:val="00187355"/>
    <w:rsid w:val="00190079"/>
    <w:rsid w:val="0019066F"/>
    <w:rsid w:val="00190A6C"/>
    <w:rsid w:val="0019180F"/>
    <w:rsid w:val="001918E5"/>
    <w:rsid w:val="00191BAC"/>
    <w:rsid w:val="001929CD"/>
    <w:rsid w:val="00192CA6"/>
    <w:rsid w:val="00192EFF"/>
    <w:rsid w:val="001936E8"/>
    <w:rsid w:val="0019380D"/>
    <w:rsid w:val="001944DF"/>
    <w:rsid w:val="00194F4B"/>
    <w:rsid w:val="0019622E"/>
    <w:rsid w:val="001966A7"/>
    <w:rsid w:val="001968A6"/>
    <w:rsid w:val="001968BB"/>
    <w:rsid w:val="001978EA"/>
    <w:rsid w:val="00197DF5"/>
    <w:rsid w:val="0019CD5D"/>
    <w:rsid w:val="001A0975"/>
    <w:rsid w:val="001A1103"/>
    <w:rsid w:val="001A16A3"/>
    <w:rsid w:val="001A1B76"/>
    <w:rsid w:val="001A2B12"/>
    <w:rsid w:val="001A2EA6"/>
    <w:rsid w:val="001A3ACB"/>
    <w:rsid w:val="001A443A"/>
    <w:rsid w:val="001A4627"/>
    <w:rsid w:val="001A4979"/>
    <w:rsid w:val="001A4B57"/>
    <w:rsid w:val="001A60F9"/>
    <w:rsid w:val="001A6728"/>
    <w:rsid w:val="001A681A"/>
    <w:rsid w:val="001A6F26"/>
    <w:rsid w:val="001A7337"/>
    <w:rsid w:val="001A7F6D"/>
    <w:rsid w:val="001B0009"/>
    <w:rsid w:val="001B011B"/>
    <w:rsid w:val="001B0179"/>
    <w:rsid w:val="001B04C4"/>
    <w:rsid w:val="001B05A6"/>
    <w:rsid w:val="001B0DEE"/>
    <w:rsid w:val="001B1129"/>
    <w:rsid w:val="001B11BC"/>
    <w:rsid w:val="001B15D3"/>
    <w:rsid w:val="001B1D0A"/>
    <w:rsid w:val="001B2112"/>
    <w:rsid w:val="001B2DBA"/>
    <w:rsid w:val="001B3443"/>
    <w:rsid w:val="001B3EBC"/>
    <w:rsid w:val="001B3F83"/>
    <w:rsid w:val="001B5041"/>
    <w:rsid w:val="001B53FA"/>
    <w:rsid w:val="001B5673"/>
    <w:rsid w:val="001B5F18"/>
    <w:rsid w:val="001B65F6"/>
    <w:rsid w:val="001C0286"/>
    <w:rsid w:val="001C0326"/>
    <w:rsid w:val="001C1676"/>
    <w:rsid w:val="001C1784"/>
    <w:rsid w:val="001C192F"/>
    <w:rsid w:val="001C232D"/>
    <w:rsid w:val="001C2827"/>
    <w:rsid w:val="001C2896"/>
    <w:rsid w:val="001C367A"/>
    <w:rsid w:val="001C3C42"/>
    <w:rsid w:val="001C43D6"/>
    <w:rsid w:val="001C5201"/>
    <w:rsid w:val="001C5441"/>
    <w:rsid w:val="001C576F"/>
    <w:rsid w:val="001C637E"/>
    <w:rsid w:val="001C6C5C"/>
    <w:rsid w:val="001C7834"/>
    <w:rsid w:val="001C7874"/>
    <w:rsid w:val="001C7DEB"/>
    <w:rsid w:val="001D0AAD"/>
    <w:rsid w:val="001D0B1C"/>
    <w:rsid w:val="001D0DAF"/>
    <w:rsid w:val="001D1B4C"/>
    <w:rsid w:val="001D2115"/>
    <w:rsid w:val="001D2C84"/>
    <w:rsid w:val="001D306E"/>
    <w:rsid w:val="001D34A1"/>
    <w:rsid w:val="001D48EB"/>
    <w:rsid w:val="001D5681"/>
    <w:rsid w:val="001D6341"/>
    <w:rsid w:val="001D6DCA"/>
    <w:rsid w:val="001D7869"/>
    <w:rsid w:val="001E07EC"/>
    <w:rsid w:val="001E100B"/>
    <w:rsid w:val="001E23A9"/>
    <w:rsid w:val="001E2A7F"/>
    <w:rsid w:val="001E2C76"/>
    <w:rsid w:val="001E2EA1"/>
    <w:rsid w:val="001E3950"/>
    <w:rsid w:val="001E39BF"/>
    <w:rsid w:val="001E3A63"/>
    <w:rsid w:val="001E4A25"/>
    <w:rsid w:val="001E4C76"/>
    <w:rsid w:val="001E592E"/>
    <w:rsid w:val="001E5D2C"/>
    <w:rsid w:val="001E64B9"/>
    <w:rsid w:val="001E6E9F"/>
    <w:rsid w:val="001E6F19"/>
    <w:rsid w:val="001E769F"/>
    <w:rsid w:val="001E78DE"/>
    <w:rsid w:val="001E7D1C"/>
    <w:rsid w:val="001F0B9C"/>
    <w:rsid w:val="001F1196"/>
    <w:rsid w:val="001F1C05"/>
    <w:rsid w:val="001F1E0D"/>
    <w:rsid w:val="001F2F78"/>
    <w:rsid w:val="001F3392"/>
    <w:rsid w:val="001F351D"/>
    <w:rsid w:val="001F3525"/>
    <w:rsid w:val="001F3B30"/>
    <w:rsid w:val="001F3E67"/>
    <w:rsid w:val="001F5680"/>
    <w:rsid w:val="001F6300"/>
    <w:rsid w:val="001F6C30"/>
    <w:rsid w:val="001F6DA7"/>
    <w:rsid w:val="001F6F6C"/>
    <w:rsid w:val="00200BEA"/>
    <w:rsid w:val="00200D49"/>
    <w:rsid w:val="00200F2D"/>
    <w:rsid w:val="0020144A"/>
    <w:rsid w:val="00201F2B"/>
    <w:rsid w:val="002026CD"/>
    <w:rsid w:val="00202B20"/>
    <w:rsid w:val="002033FC"/>
    <w:rsid w:val="00203529"/>
    <w:rsid w:val="00203B1C"/>
    <w:rsid w:val="0020446F"/>
    <w:rsid w:val="002044BB"/>
    <w:rsid w:val="0020469B"/>
    <w:rsid w:val="00204903"/>
    <w:rsid w:val="00204B0A"/>
    <w:rsid w:val="00204D54"/>
    <w:rsid w:val="002059AE"/>
    <w:rsid w:val="002065D6"/>
    <w:rsid w:val="00207068"/>
    <w:rsid w:val="002070AD"/>
    <w:rsid w:val="00207B86"/>
    <w:rsid w:val="00207C6C"/>
    <w:rsid w:val="00207CAC"/>
    <w:rsid w:val="00207CC0"/>
    <w:rsid w:val="00207EF7"/>
    <w:rsid w:val="002107E1"/>
    <w:rsid w:val="00210B09"/>
    <w:rsid w:val="00210C9E"/>
    <w:rsid w:val="00210DB8"/>
    <w:rsid w:val="00211157"/>
    <w:rsid w:val="00211222"/>
    <w:rsid w:val="0021162B"/>
    <w:rsid w:val="00211644"/>
    <w:rsid w:val="002116E9"/>
    <w:rsid w:val="00211840"/>
    <w:rsid w:val="00211847"/>
    <w:rsid w:val="00212557"/>
    <w:rsid w:val="00212623"/>
    <w:rsid w:val="002127EE"/>
    <w:rsid w:val="00212BB9"/>
    <w:rsid w:val="00212DF8"/>
    <w:rsid w:val="00212F6F"/>
    <w:rsid w:val="00212F8F"/>
    <w:rsid w:val="00213D02"/>
    <w:rsid w:val="002149EC"/>
    <w:rsid w:val="00214C05"/>
    <w:rsid w:val="0021500E"/>
    <w:rsid w:val="00215DDB"/>
    <w:rsid w:val="00215F6D"/>
    <w:rsid w:val="00216307"/>
    <w:rsid w:val="002163A6"/>
    <w:rsid w:val="002166A8"/>
    <w:rsid w:val="00216A30"/>
    <w:rsid w:val="00216AE6"/>
    <w:rsid w:val="00216B63"/>
    <w:rsid w:val="00216C26"/>
    <w:rsid w:val="00217C67"/>
    <w:rsid w:val="00217EE3"/>
    <w:rsid w:val="002200E2"/>
    <w:rsid w:val="002207D3"/>
    <w:rsid w:val="00220A1A"/>
    <w:rsid w:val="00220E5F"/>
    <w:rsid w:val="00220ECA"/>
    <w:rsid w:val="002212B5"/>
    <w:rsid w:val="002213F8"/>
    <w:rsid w:val="00221638"/>
    <w:rsid w:val="002216A7"/>
    <w:rsid w:val="00221754"/>
    <w:rsid w:val="00221871"/>
    <w:rsid w:val="00221D4F"/>
    <w:rsid w:val="002220A6"/>
    <w:rsid w:val="002229A6"/>
    <w:rsid w:val="0022335D"/>
    <w:rsid w:val="002238C1"/>
    <w:rsid w:val="00223DAD"/>
    <w:rsid w:val="00224109"/>
    <w:rsid w:val="00224165"/>
    <w:rsid w:val="00224610"/>
    <w:rsid w:val="00224ABB"/>
    <w:rsid w:val="00225813"/>
    <w:rsid w:val="00225A05"/>
    <w:rsid w:val="00225EAE"/>
    <w:rsid w:val="00225F45"/>
    <w:rsid w:val="00226045"/>
    <w:rsid w:val="00226668"/>
    <w:rsid w:val="00226815"/>
    <w:rsid w:val="00226937"/>
    <w:rsid w:val="00230C49"/>
    <w:rsid w:val="00230F96"/>
    <w:rsid w:val="0023102D"/>
    <w:rsid w:val="002320EC"/>
    <w:rsid w:val="002324ED"/>
    <w:rsid w:val="00232977"/>
    <w:rsid w:val="00233498"/>
    <w:rsid w:val="002336E2"/>
    <w:rsid w:val="00233809"/>
    <w:rsid w:val="00233934"/>
    <w:rsid w:val="00233FC8"/>
    <w:rsid w:val="002356DF"/>
    <w:rsid w:val="00235B9F"/>
    <w:rsid w:val="00235BE0"/>
    <w:rsid w:val="0023631E"/>
    <w:rsid w:val="00236574"/>
    <w:rsid w:val="00237855"/>
    <w:rsid w:val="00237933"/>
    <w:rsid w:val="002379AD"/>
    <w:rsid w:val="00237BE1"/>
    <w:rsid w:val="00240046"/>
    <w:rsid w:val="00240052"/>
    <w:rsid w:val="002401A9"/>
    <w:rsid w:val="0024076C"/>
    <w:rsid w:val="00240E2F"/>
    <w:rsid w:val="0024178D"/>
    <w:rsid w:val="002417FC"/>
    <w:rsid w:val="00241F5D"/>
    <w:rsid w:val="00243EC8"/>
    <w:rsid w:val="00244208"/>
    <w:rsid w:val="002456E8"/>
    <w:rsid w:val="0024577F"/>
    <w:rsid w:val="00245A3B"/>
    <w:rsid w:val="00245F3F"/>
    <w:rsid w:val="0024674B"/>
    <w:rsid w:val="0024797F"/>
    <w:rsid w:val="002479F4"/>
    <w:rsid w:val="00250723"/>
    <w:rsid w:val="00250A05"/>
    <w:rsid w:val="00250FFE"/>
    <w:rsid w:val="00251087"/>
    <w:rsid w:val="0025119E"/>
    <w:rsid w:val="00251269"/>
    <w:rsid w:val="00251442"/>
    <w:rsid w:val="0025166E"/>
    <w:rsid w:val="00251A47"/>
    <w:rsid w:val="00251AC3"/>
    <w:rsid w:val="0025315C"/>
    <w:rsid w:val="00253444"/>
    <w:rsid w:val="002535C0"/>
    <w:rsid w:val="00253773"/>
    <w:rsid w:val="00253CF7"/>
    <w:rsid w:val="00253DC6"/>
    <w:rsid w:val="00254D82"/>
    <w:rsid w:val="00255CF8"/>
    <w:rsid w:val="002560A4"/>
    <w:rsid w:val="0025628E"/>
    <w:rsid w:val="00256E78"/>
    <w:rsid w:val="002577CA"/>
    <w:rsid w:val="002579FE"/>
    <w:rsid w:val="002601E0"/>
    <w:rsid w:val="00261C2B"/>
    <w:rsid w:val="00261F8E"/>
    <w:rsid w:val="00261FC3"/>
    <w:rsid w:val="002625EB"/>
    <w:rsid w:val="002625F2"/>
    <w:rsid w:val="0026311C"/>
    <w:rsid w:val="00264472"/>
    <w:rsid w:val="0026459C"/>
    <w:rsid w:val="00264A06"/>
    <w:rsid w:val="00265F1F"/>
    <w:rsid w:val="002663E1"/>
    <w:rsid w:val="0026668C"/>
    <w:rsid w:val="002667CC"/>
    <w:rsid w:val="002667D0"/>
    <w:rsid w:val="00266AC1"/>
    <w:rsid w:val="0026745D"/>
    <w:rsid w:val="00267D23"/>
    <w:rsid w:val="00270674"/>
    <w:rsid w:val="00270C0B"/>
    <w:rsid w:val="00271095"/>
    <w:rsid w:val="0027178C"/>
    <w:rsid w:val="002719FA"/>
    <w:rsid w:val="00272474"/>
    <w:rsid w:val="00272668"/>
    <w:rsid w:val="00272A6A"/>
    <w:rsid w:val="00272F7F"/>
    <w:rsid w:val="0027330B"/>
    <w:rsid w:val="0027367F"/>
    <w:rsid w:val="00273896"/>
    <w:rsid w:val="00273BE8"/>
    <w:rsid w:val="00273C99"/>
    <w:rsid w:val="00274ABF"/>
    <w:rsid w:val="00274E7B"/>
    <w:rsid w:val="002751E6"/>
    <w:rsid w:val="0027588B"/>
    <w:rsid w:val="00275E77"/>
    <w:rsid w:val="00277AAA"/>
    <w:rsid w:val="00277C77"/>
    <w:rsid w:val="00277C8D"/>
    <w:rsid w:val="00277E2C"/>
    <w:rsid w:val="0028006B"/>
    <w:rsid w:val="002803AD"/>
    <w:rsid w:val="00280529"/>
    <w:rsid w:val="00280923"/>
    <w:rsid w:val="0028126A"/>
    <w:rsid w:val="00282052"/>
    <w:rsid w:val="0028228C"/>
    <w:rsid w:val="00282310"/>
    <w:rsid w:val="002836C3"/>
    <w:rsid w:val="00284039"/>
    <w:rsid w:val="002841B4"/>
    <w:rsid w:val="0028519E"/>
    <w:rsid w:val="002851BA"/>
    <w:rsid w:val="002856A5"/>
    <w:rsid w:val="00286319"/>
    <w:rsid w:val="002864F5"/>
    <w:rsid w:val="00286A41"/>
    <w:rsid w:val="002872ED"/>
    <w:rsid w:val="00287324"/>
    <w:rsid w:val="002876DE"/>
    <w:rsid w:val="00287D31"/>
    <w:rsid w:val="00290397"/>
    <w:rsid w:val="002905C2"/>
    <w:rsid w:val="00291194"/>
    <w:rsid w:val="002916EE"/>
    <w:rsid w:val="00291964"/>
    <w:rsid w:val="002927E5"/>
    <w:rsid w:val="00292E78"/>
    <w:rsid w:val="0029383A"/>
    <w:rsid w:val="0029469B"/>
    <w:rsid w:val="00295AF2"/>
    <w:rsid w:val="00295C91"/>
    <w:rsid w:val="0029622B"/>
    <w:rsid w:val="00296700"/>
    <w:rsid w:val="00296A06"/>
    <w:rsid w:val="00297151"/>
    <w:rsid w:val="0029727B"/>
    <w:rsid w:val="00297465"/>
    <w:rsid w:val="002A0165"/>
    <w:rsid w:val="002A03CB"/>
    <w:rsid w:val="002A06F1"/>
    <w:rsid w:val="002A08C5"/>
    <w:rsid w:val="002A0910"/>
    <w:rsid w:val="002A0D57"/>
    <w:rsid w:val="002A1084"/>
    <w:rsid w:val="002A19E1"/>
    <w:rsid w:val="002A1C27"/>
    <w:rsid w:val="002A253A"/>
    <w:rsid w:val="002A28D2"/>
    <w:rsid w:val="002A2B3F"/>
    <w:rsid w:val="002A355B"/>
    <w:rsid w:val="002A42D7"/>
    <w:rsid w:val="002A4A95"/>
    <w:rsid w:val="002A4A9B"/>
    <w:rsid w:val="002A4CA1"/>
    <w:rsid w:val="002A5507"/>
    <w:rsid w:val="002A61BB"/>
    <w:rsid w:val="002A6214"/>
    <w:rsid w:val="002A6742"/>
    <w:rsid w:val="002A67AB"/>
    <w:rsid w:val="002A6A53"/>
    <w:rsid w:val="002A7505"/>
    <w:rsid w:val="002B0515"/>
    <w:rsid w:val="002B0BE6"/>
    <w:rsid w:val="002B1D8B"/>
    <w:rsid w:val="002B20E6"/>
    <w:rsid w:val="002B3415"/>
    <w:rsid w:val="002B363D"/>
    <w:rsid w:val="002B3E78"/>
    <w:rsid w:val="002B40D9"/>
    <w:rsid w:val="002B42A3"/>
    <w:rsid w:val="002B525E"/>
    <w:rsid w:val="002B58A9"/>
    <w:rsid w:val="002B5C39"/>
    <w:rsid w:val="002B5D4E"/>
    <w:rsid w:val="002B6727"/>
    <w:rsid w:val="002B6D41"/>
    <w:rsid w:val="002B73A8"/>
    <w:rsid w:val="002B762F"/>
    <w:rsid w:val="002B7E99"/>
    <w:rsid w:val="002C0161"/>
    <w:rsid w:val="002C0391"/>
    <w:rsid w:val="002C079B"/>
    <w:rsid w:val="002C0C74"/>
    <w:rsid w:val="002C0CDD"/>
    <w:rsid w:val="002C13D1"/>
    <w:rsid w:val="002C21CC"/>
    <w:rsid w:val="002C2207"/>
    <w:rsid w:val="002C2462"/>
    <w:rsid w:val="002C2BB0"/>
    <w:rsid w:val="002C33DA"/>
    <w:rsid w:val="002C3D54"/>
    <w:rsid w:val="002C7186"/>
    <w:rsid w:val="002C71AF"/>
    <w:rsid w:val="002C73A2"/>
    <w:rsid w:val="002D0D97"/>
    <w:rsid w:val="002D143A"/>
    <w:rsid w:val="002D146C"/>
    <w:rsid w:val="002D1985"/>
    <w:rsid w:val="002D1C54"/>
    <w:rsid w:val="002D1D52"/>
    <w:rsid w:val="002D2511"/>
    <w:rsid w:val="002D3C91"/>
    <w:rsid w:val="002D3EFE"/>
    <w:rsid w:val="002D41D4"/>
    <w:rsid w:val="002D4F11"/>
    <w:rsid w:val="002D510A"/>
    <w:rsid w:val="002D57CD"/>
    <w:rsid w:val="002D5BD5"/>
    <w:rsid w:val="002D6759"/>
    <w:rsid w:val="002D68E9"/>
    <w:rsid w:val="002D6958"/>
    <w:rsid w:val="002D73FF"/>
    <w:rsid w:val="002D7446"/>
    <w:rsid w:val="002D78C0"/>
    <w:rsid w:val="002E00BF"/>
    <w:rsid w:val="002E0B4A"/>
    <w:rsid w:val="002E1759"/>
    <w:rsid w:val="002E1978"/>
    <w:rsid w:val="002E1A1D"/>
    <w:rsid w:val="002E1DD5"/>
    <w:rsid w:val="002E1EE2"/>
    <w:rsid w:val="002E1F3F"/>
    <w:rsid w:val="002E1F53"/>
    <w:rsid w:val="002E3237"/>
    <w:rsid w:val="002E334B"/>
    <w:rsid w:val="002E39D4"/>
    <w:rsid w:val="002E3B11"/>
    <w:rsid w:val="002E4081"/>
    <w:rsid w:val="002E4231"/>
    <w:rsid w:val="002E4D47"/>
    <w:rsid w:val="002E5527"/>
    <w:rsid w:val="002E5B78"/>
    <w:rsid w:val="002E68A7"/>
    <w:rsid w:val="002E6FFA"/>
    <w:rsid w:val="002E7313"/>
    <w:rsid w:val="002E7C99"/>
    <w:rsid w:val="002F0124"/>
    <w:rsid w:val="002F07DC"/>
    <w:rsid w:val="002F148B"/>
    <w:rsid w:val="002F250A"/>
    <w:rsid w:val="002F299F"/>
    <w:rsid w:val="002F2BC3"/>
    <w:rsid w:val="002F3AE3"/>
    <w:rsid w:val="002F403E"/>
    <w:rsid w:val="002F41AA"/>
    <w:rsid w:val="002F53AB"/>
    <w:rsid w:val="002F5929"/>
    <w:rsid w:val="002F5B16"/>
    <w:rsid w:val="002F666A"/>
    <w:rsid w:val="002F6E48"/>
    <w:rsid w:val="002F745A"/>
    <w:rsid w:val="002F7BA5"/>
    <w:rsid w:val="00300193"/>
    <w:rsid w:val="00300298"/>
    <w:rsid w:val="00300A6A"/>
    <w:rsid w:val="00300C99"/>
    <w:rsid w:val="00301136"/>
    <w:rsid w:val="00301144"/>
    <w:rsid w:val="00301730"/>
    <w:rsid w:val="003018E7"/>
    <w:rsid w:val="0030229C"/>
    <w:rsid w:val="00302547"/>
    <w:rsid w:val="00302A8F"/>
    <w:rsid w:val="00302E7B"/>
    <w:rsid w:val="00303159"/>
    <w:rsid w:val="0030349A"/>
    <w:rsid w:val="00303D0E"/>
    <w:rsid w:val="00303E23"/>
    <w:rsid w:val="003042EB"/>
    <w:rsid w:val="0030464B"/>
    <w:rsid w:val="003048AD"/>
    <w:rsid w:val="003057CD"/>
    <w:rsid w:val="0030786C"/>
    <w:rsid w:val="00307E0E"/>
    <w:rsid w:val="00307F1C"/>
    <w:rsid w:val="00310E8C"/>
    <w:rsid w:val="0031137F"/>
    <w:rsid w:val="00311BE5"/>
    <w:rsid w:val="00312704"/>
    <w:rsid w:val="00312749"/>
    <w:rsid w:val="00312DD4"/>
    <w:rsid w:val="00313C8F"/>
    <w:rsid w:val="00313D73"/>
    <w:rsid w:val="00313F71"/>
    <w:rsid w:val="00314B5D"/>
    <w:rsid w:val="00314CB0"/>
    <w:rsid w:val="00314EB5"/>
    <w:rsid w:val="003160A3"/>
    <w:rsid w:val="00316761"/>
    <w:rsid w:val="00317707"/>
    <w:rsid w:val="00321818"/>
    <w:rsid w:val="00321ACB"/>
    <w:rsid w:val="00322B43"/>
    <w:rsid w:val="00322D23"/>
    <w:rsid w:val="003233B1"/>
    <w:rsid w:val="003233DE"/>
    <w:rsid w:val="003237C9"/>
    <w:rsid w:val="0032466B"/>
    <w:rsid w:val="003247FD"/>
    <w:rsid w:val="00325458"/>
    <w:rsid w:val="00326017"/>
    <w:rsid w:val="00326DF4"/>
    <w:rsid w:val="00327B44"/>
    <w:rsid w:val="00327C95"/>
    <w:rsid w:val="003308EF"/>
    <w:rsid w:val="0033168C"/>
    <w:rsid w:val="003316B5"/>
    <w:rsid w:val="003330EB"/>
    <w:rsid w:val="003339CE"/>
    <w:rsid w:val="003341EA"/>
    <w:rsid w:val="00334CAF"/>
    <w:rsid w:val="00335372"/>
    <w:rsid w:val="003356E4"/>
    <w:rsid w:val="00335D0A"/>
    <w:rsid w:val="0033626A"/>
    <w:rsid w:val="00336605"/>
    <w:rsid w:val="003415FD"/>
    <w:rsid w:val="00341A1B"/>
    <w:rsid w:val="00341F62"/>
    <w:rsid w:val="003424C0"/>
    <w:rsid w:val="003428FB"/>
    <w:rsid w:val="0034292B"/>
    <w:rsid w:val="003429F0"/>
    <w:rsid w:val="00342A8A"/>
    <w:rsid w:val="00342DF6"/>
    <w:rsid w:val="00342F23"/>
    <w:rsid w:val="003432E6"/>
    <w:rsid w:val="00343661"/>
    <w:rsid w:val="0034368F"/>
    <w:rsid w:val="00343A0D"/>
    <w:rsid w:val="0034417D"/>
    <w:rsid w:val="0034548E"/>
    <w:rsid w:val="00345939"/>
    <w:rsid w:val="0034631A"/>
    <w:rsid w:val="00346C4E"/>
    <w:rsid w:val="00347292"/>
    <w:rsid w:val="0034762C"/>
    <w:rsid w:val="003504C8"/>
    <w:rsid w:val="003505DF"/>
    <w:rsid w:val="0035097A"/>
    <w:rsid w:val="00350F7D"/>
    <w:rsid w:val="003514FD"/>
    <w:rsid w:val="00351D58"/>
    <w:rsid w:val="00351FBA"/>
    <w:rsid w:val="00351FF6"/>
    <w:rsid w:val="00352374"/>
    <w:rsid w:val="0035247E"/>
    <w:rsid w:val="00352AC6"/>
    <w:rsid w:val="00352EF9"/>
    <w:rsid w:val="003540A4"/>
    <w:rsid w:val="00355655"/>
    <w:rsid w:val="0035630F"/>
    <w:rsid w:val="00356797"/>
    <w:rsid w:val="00356964"/>
    <w:rsid w:val="00357938"/>
    <w:rsid w:val="0035793D"/>
    <w:rsid w:val="003603B5"/>
    <w:rsid w:val="00360E4E"/>
    <w:rsid w:val="0036106B"/>
    <w:rsid w:val="0036178A"/>
    <w:rsid w:val="003625CB"/>
    <w:rsid w:val="00362AEC"/>
    <w:rsid w:val="00362FFA"/>
    <w:rsid w:val="003631FA"/>
    <w:rsid w:val="00363C09"/>
    <w:rsid w:val="003641F5"/>
    <w:rsid w:val="00364293"/>
    <w:rsid w:val="003646D4"/>
    <w:rsid w:val="00364758"/>
    <w:rsid w:val="00364893"/>
    <w:rsid w:val="00365343"/>
    <w:rsid w:val="003665D5"/>
    <w:rsid w:val="00367109"/>
    <w:rsid w:val="0037021C"/>
    <w:rsid w:val="00370AAA"/>
    <w:rsid w:val="00370B04"/>
    <w:rsid w:val="00371684"/>
    <w:rsid w:val="00371DBF"/>
    <w:rsid w:val="00371E2D"/>
    <w:rsid w:val="00373B76"/>
    <w:rsid w:val="00374A56"/>
    <w:rsid w:val="003751AE"/>
    <w:rsid w:val="003752A1"/>
    <w:rsid w:val="003755AC"/>
    <w:rsid w:val="00375BE2"/>
    <w:rsid w:val="00375CC9"/>
    <w:rsid w:val="00375D9D"/>
    <w:rsid w:val="00375F77"/>
    <w:rsid w:val="0037733D"/>
    <w:rsid w:val="0037790D"/>
    <w:rsid w:val="00377A78"/>
    <w:rsid w:val="00380665"/>
    <w:rsid w:val="003813C4"/>
    <w:rsid w:val="00381BBE"/>
    <w:rsid w:val="00381EA0"/>
    <w:rsid w:val="00382903"/>
    <w:rsid w:val="0038300D"/>
    <w:rsid w:val="0038340D"/>
    <w:rsid w:val="00384400"/>
    <w:rsid w:val="003846FF"/>
    <w:rsid w:val="003847F5"/>
    <w:rsid w:val="00384A07"/>
    <w:rsid w:val="00384DAE"/>
    <w:rsid w:val="0038547E"/>
    <w:rsid w:val="00385AD4"/>
    <w:rsid w:val="0038602C"/>
    <w:rsid w:val="00386805"/>
    <w:rsid w:val="003870B6"/>
    <w:rsid w:val="0038781D"/>
    <w:rsid w:val="003878A4"/>
    <w:rsid w:val="00387924"/>
    <w:rsid w:val="00387A12"/>
    <w:rsid w:val="00387BCD"/>
    <w:rsid w:val="0039006C"/>
    <w:rsid w:val="0039010A"/>
    <w:rsid w:val="003905E0"/>
    <w:rsid w:val="00392EF3"/>
    <w:rsid w:val="00392FC2"/>
    <w:rsid w:val="00393578"/>
    <w:rsid w:val="0039384D"/>
    <w:rsid w:val="003938E2"/>
    <w:rsid w:val="00393D3F"/>
    <w:rsid w:val="00393D88"/>
    <w:rsid w:val="003942AF"/>
    <w:rsid w:val="003942FD"/>
    <w:rsid w:val="0039534C"/>
    <w:rsid w:val="003959C0"/>
    <w:rsid w:val="00395C23"/>
    <w:rsid w:val="00395C40"/>
    <w:rsid w:val="003962FD"/>
    <w:rsid w:val="003971E3"/>
    <w:rsid w:val="0039735D"/>
    <w:rsid w:val="00397638"/>
    <w:rsid w:val="003978F8"/>
    <w:rsid w:val="003A0395"/>
    <w:rsid w:val="003A0BFF"/>
    <w:rsid w:val="003A126C"/>
    <w:rsid w:val="003A178B"/>
    <w:rsid w:val="003A1CBA"/>
    <w:rsid w:val="003A2236"/>
    <w:rsid w:val="003A224B"/>
    <w:rsid w:val="003A2E4F"/>
    <w:rsid w:val="003A361D"/>
    <w:rsid w:val="003A3B54"/>
    <w:rsid w:val="003A3C3C"/>
    <w:rsid w:val="003A3F3B"/>
    <w:rsid w:val="003A4438"/>
    <w:rsid w:val="003A4C46"/>
    <w:rsid w:val="003A5013"/>
    <w:rsid w:val="003A5078"/>
    <w:rsid w:val="003A50BC"/>
    <w:rsid w:val="003A62AE"/>
    <w:rsid w:val="003A62DD"/>
    <w:rsid w:val="003A679B"/>
    <w:rsid w:val="003A67B7"/>
    <w:rsid w:val="003A775A"/>
    <w:rsid w:val="003B063C"/>
    <w:rsid w:val="003B09DD"/>
    <w:rsid w:val="003B0BD9"/>
    <w:rsid w:val="003B0DAB"/>
    <w:rsid w:val="003B0E8F"/>
    <w:rsid w:val="003B10A7"/>
    <w:rsid w:val="003B1273"/>
    <w:rsid w:val="003B1356"/>
    <w:rsid w:val="003B1452"/>
    <w:rsid w:val="003B1543"/>
    <w:rsid w:val="003B16EB"/>
    <w:rsid w:val="003B213A"/>
    <w:rsid w:val="003B2A39"/>
    <w:rsid w:val="003B2A75"/>
    <w:rsid w:val="003B2F27"/>
    <w:rsid w:val="003B3050"/>
    <w:rsid w:val="003B36C7"/>
    <w:rsid w:val="003B3A5A"/>
    <w:rsid w:val="003B43AD"/>
    <w:rsid w:val="003B47B2"/>
    <w:rsid w:val="003B4BA4"/>
    <w:rsid w:val="003B4CD4"/>
    <w:rsid w:val="003B54D8"/>
    <w:rsid w:val="003B59B3"/>
    <w:rsid w:val="003B5A84"/>
    <w:rsid w:val="003B5B01"/>
    <w:rsid w:val="003B66AB"/>
    <w:rsid w:val="003B66FC"/>
    <w:rsid w:val="003B67C1"/>
    <w:rsid w:val="003B6FB7"/>
    <w:rsid w:val="003B7365"/>
    <w:rsid w:val="003B7502"/>
    <w:rsid w:val="003C0FEC"/>
    <w:rsid w:val="003C136F"/>
    <w:rsid w:val="003C15B8"/>
    <w:rsid w:val="003C25A5"/>
    <w:rsid w:val="003C2AC8"/>
    <w:rsid w:val="003C4042"/>
    <w:rsid w:val="003C405B"/>
    <w:rsid w:val="003C413F"/>
    <w:rsid w:val="003C455A"/>
    <w:rsid w:val="003C46A6"/>
    <w:rsid w:val="003C4710"/>
    <w:rsid w:val="003C4DA1"/>
    <w:rsid w:val="003C6061"/>
    <w:rsid w:val="003C709A"/>
    <w:rsid w:val="003D086F"/>
    <w:rsid w:val="003D17F9"/>
    <w:rsid w:val="003D1A89"/>
    <w:rsid w:val="003D2D88"/>
    <w:rsid w:val="003D2DED"/>
    <w:rsid w:val="003D2FEF"/>
    <w:rsid w:val="003D3585"/>
    <w:rsid w:val="003D3F35"/>
    <w:rsid w:val="003D3F45"/>
    <w:rsid w:val="003D41EA"/>
    <w:rsid w:val="003D4850"/>
    <w:rsid w:val="003D4C58"/>
    <w:rsid w:val="003D535A"/>
    <w:rsid w:val="003D65EB"/>
    <w:rsid w:val="003D7067"/>
    <w:rsid w:val="003D7345"/>
    <w:rsid w:val="003E19D8"/>
    <w:rsid w:val="003E2200"/>
    <w:rsid w:val="003E234E"/>
    <w:rsid w:val="003E235C"/>
    <w:rsid w:val="003E30E0"/>
    <w:rsid w:val="003E3132"/>
    <w:rsid w:val="003E3C07"/>
    <w:rsid w:val="003E48D9"/>
    <w:rsid w:val="003E4BB2"/>
    <w:rsid w:val="003E4FA3"/>
    <w:rsid w:val="003E5265"/>
    <w:rsid w:val="003E53CA"/>
    <w:rsid w:val="003E54BC"/>
    <w:rsid w:val="003E56DD"/>
    <w:rsid w:val="003E572A"/>
    <w:rsid w:val="003E5841"/>
    <w:rsid w:val="003E5B6C"/>
    <w:rsid w:val="003E5D25"/>
    <w:rsid w:val="003E69ED"/>
    <w:rsid w:val="003E6B9E"/>
    <w:rsid w:val="003E721F"/>
    <w:rsid w:val="003E7336"/>
    <w:rsid w:val="003E75BC"/>
    <w:rsid w:val="003E7FBE"/>
    <w:rsid w:val="003F0955"/>
    <w:rsid w:val="003F1367"/>
    <w:rsid w:val="003F1C81"/>
    <w:rsid w:val="003F25C1"/>
    <w:rsid w:val="003F2646"/>
    <w:rsid w:val="003F2877"/>
    <w:rsid w:val="003F3350"/>
    <w:rsid w:val="003F3380"/>
    <w:rsid w:val="003F3E10"/>
    <w:rsid w:val="003F43F7"/>
    <w:rsid w:val="003F4918"/>
    <w:rsid w:val="003F4A16"/>
    <w:rsid w:val="003F50B3"/>
    <w:rsid w:val="003F5AC3"/>
    <w:rsid w:val="003F5E19"/>
    <w:rsid w:val="003F609B"/>
    <w:rsid w:val="003F6718"/>
    <w:rsid w:val="003F695F"/>
    <w:rsid w:val="003F6D1B"/>
    <w:rsid w:val="003F6FE1"/>
    <w:rsid w:val="003F7B86"/>
    <w:rsid w:val="003F7E61"/>
    <w:rsid w:val="00400545"/>
    <w:rsid w:val="00400CA6"/>
    <w:rsid w:val="00400F00"/>
    <w:rsid w:val="004013B7"/>
    <w:rsid w:val="00402744"/>
    <w:rsid w:val="00402A08"/>
    <w:rsid w:val="00402AC1"/>
    <w:rsid w:val="00403112"/>
    <w:rsid w:val="004037BB"/>
    <w:rsid w:val="00403D44"/>
    <w:rsid w:val="004040E5"/>
    <w:rsid w:val="00404642"/>
    <w:rsid w:val="004048EE"/>
    <w:rsid w:val="00404F8B"/>
    <w:rsid w:val="00405142"/>
    <w:rsid w:val="00405256"/>
    <w:rsid w:val="004056EB"/>
    <w:rsid w:val="00406D39"/>
    <w:rsid w:val="00410031"/>
    <w:rsid w:val="00410FB1"/>
    <w:rsid w:val="00411185"/>
    <w:rsid w:val="004115A2"/>
    <w:rsid w:val="0041243D"/>
    <w:rsid w:val="00412C3C"/>
    <w:rsid w:val="004147C8"/>
    <w:rsid w:val="00414AB5"/>
    <w:rsid w:val="00414B1A"/>
    <w:rsid w:val="00414B23"/>
    <w:rsid w:val="004151FF"/>
    <w:rsid w:val="004154B9"/>
    <w:rsid w:val="00415747"/>
    <w:rsid w:val="00415C81"/>
    <w:rsid w:val="0041663B"/>
    <w:rsid w:val="00416731"/>
    <w:rsid w:val="00416732"/>
    <w:rsid w:val="00416A90"/>
    <w:rsid w:val="00416B5E"/>
    <w:rsid w:val="00416BA3"/>
    <w:rsid w:val="00416E6E"/>
    <w:rsid w:val="00420768"/>
    <w:rsid w:val="00420818"/>
    <w:rsid w:val="00420E0C"/>
    <w:rsid w:val="0042224A"/>
    <w:rsid w:val="004222CB"/>
    <w:rsid w:val="00422712"/>
    <w:rsid w:val="00422A38"/>
    <w:rsid w:val="00423073"/>
    <w:rsid w:val="00423454"/>
    <w:rsid w:val="00423C3C"/>
    <w:rsid w:val="00423DED"/>
    <w:rsid w:val="00425062"/>
    <w:rsid w:val="00425144"/>
    <w:rsid w:val="00425F32"/>
    <w:rsid w:val="00425FF0"/>
    <w:rsid w:val="00426C89"/>
    <w:rsid w:val="00426CA9"/>
    <w:rsid w:val="0042760D"/>
    <w:rsid w:val="004277EC"/>
    <w:rsid w:val="00427FDF"/>
    <w:rsid w:val="00430C22"/>
    <w:rsid w:val="004319D3"/>
    <w:rsid w:val="00432190"/>
    <w:rsid w:val="00432378"/>
    <w:rsid w:val="00432602"/>
    <w:rsid w:val="00432AAE"/>
    <w:rsid w:val="00433215"/>
    <w:rsid w:val="00433FE3"/>
    <w:rsid w:val="004347A5"/>
    <w:rsid w:val="0043498C"/>
    <w:rsid w:val="00434A80"/>
    <w:rsid w:val="00434BC8"/>
    <w:rsid w:val="00435056"/>
    <w:rsid w:val="00435988"/>
    <w:rsid w:val="00435B77"/>
    <w:rsid w:val="00435E90"/>
    <w:rsid w:val="00436289"/>
    <w:rsid w:val="004373AE"/>
    <w:rsid w:val="00437F90"/>
    <w:rsid w:val="0044014C"/>
    <w:rsid w:val="00440D65"/>
    <w:rsid w:val="00441508"/>
    <w:rsid w:val="00441D2E"/>
    <w:rsid w:val="00441D71"/>
    <w:rsid w:val="004435E6"/>
    <w:rsid w:val="00445419"/>
    <w:rsid w:val="00445859"/>
    <w:rsid w:val="00445BBB"/>
    <w:rsid w:val="00445BF4"/>
    <w:rsid w:val="00446272"/>
    <w:rsid w:val="00446899"/>
    <w:rsid w:val="004471A8"/>
    <w:rsid w:val="0044720D"/>
    <w:rsid w:val="004477D8"/>
    <w:rsid w:val="00447869"/>
    <w:rsid w:val="00447BE6"/>
    <w:rsid w:val="00447E31"/>
    <w:rsid w:val="004500F2"/>
    <w:rsid w:val="004503B0"/>
    <w:rsid w:val="00450B89"/>
    <w:rsid w:val="00451023"/>
    <w:rsid w:val="004511A0"/>
    <w:rsid w:val="004518DA"/>
    <w:rsid w:val="00451CFF"/>
    <w:rsid w:val="004524E3"/>
    <w:rsid w:val="0045279B"/>
    <w:rsid w:val="00453923"/>
    <w:rsid w:val="00454B9B"/>
    <w:rsid w:val="00455013"/>
    <w:rsid w:val="004550DC"/>
    <w:rsid w:val="0045585C"/>
    <w:rsid w:val="00456C40"/>
    <w:rsid w:val="00456C91"/>
    <w:rsid w:val="00456D6B"/>
    <w:rsid w:val="00457381"/>
    <w:rsid w:val="0045746F"/>
    <w:rsid w:val="00457747"/>
    <w:rsid w:val="00457858"/>
    <w:rsid w:val="004606EA"/>
    <w:rsid w:val="00460B0B"/>
    <w:rsid w:val="00461023"/>
    <w:rsid w:val="004614F6"/>
    <w:rsid w:val="00461759"/>
    <w:rsid w:val="00461AF5"/>
    <w:rsid w:val="00462FAC"/>
    <w:rsid w:val="00463646"/>
    <w:rsid w:val="00464631"/>
    <w:rsid w:val="00464B79"/>
    <w:rsid w:val="00464CB1"/>
    <w:rsid w:val="0046549A"/>
    <w:rsid w:val="0046555D"/>
    <w:rsid w:val="00465CD0"/>
    <w:rsid w:val="004669ED"/>
    <w:rsid w:val="00467BBF"/>
    <w:rsid w:val="00467F69"/>
    <w:rsid w:val="00470754"/>
    <w:rsid w:val="00470C7F"/>
    <w:rsid w:val="00470EBC"/>
    <w:rsid w:val="0047124A"/>
    <w:rsid w:val="0047187B"/>
    <w:rsid w:val="00471B35"/>
    <w:rsid w:val="00471B43"/>
    <w:rsid w:val="00472362"/>
    <w:rsid w:val="00472FC9"/>
    <w:rsid w:val="00473FCC"/>
    <w:rsid w:val="00474D4B"/>
    <w:rsid w:val="00475F53"/>
    <w:rsid w:val="0047652F"/>
    <w:rsid w:val="00477F86"/>
    <w:rsid w:val="00480907"/>
    <w:rsid w:val="0048223B"/>
    <w:rsid w:val="00482A0A"/>
    <w:rsid w:val="00482D52"/>
    <w:rsid w:val="0048395F"/>
    <w:rsid w:val="0048489A"/>
    <w:rsid w:val="00485ADB"/>
    <w:rsid w:val="004867E2"/>
    <w:rsid w:val="0048761D"/>
    <w:rsid w:val="00487680"/>
    <w:rsid w:val="00491126"/>
    <w:rsid w:val="00491A59"/>
    <w:rsid w:val="00491E83"/>
    <w:rsid w:val="004929A9"/>
    <w:rsid w:val="004934B2"/>
    <w:rsid w:val="004938FE"/>
    <w:rsid w:val="004955C1"/>
    <w:rsid w:val="00495EF7"/>
    <w:rsid w:val="0049671A"/>
    <w:rsid w:val="00496879"/>
    <w:rsid w:val="004971FD"/>
    <w:rsid w:val="0049723B"/>
    <w:rsid w:val="0049738E"/>
    <w:rsid w:val="004977F1"/>
    <w:rsid w:val="00497B53"/>
    <w:rsid w:val="00497BA1"/>
    <w:rsid w:val="004A05FD"/>
    <w:rsid w:val="004A17CD"/>
    <w:rsid w:val="004A2CC5"/>
    <w:rsid w:val="004A2F53"/>
    <w:rsid w:val="004A3053"/>
    <w:rsid w:val="004A3654"/>
    <w:rsid w:val="004A3BDF"/>
    <w:rsid w:val="004A44DF"/>
    <w:rsid w:val="004A49D5"/>
    <w:rsid w:val="004A5849"/>
    <w:rsid w:val="004A59BF"/>
    <w:rsid w:val="004A5A05"/>
    <w:rsid w:val="004A5A2E"/>
    <w:rsid w:val="004A6ABF"/>
    <w:rsid w:val="004A6CE8"/>
    <w:rsid w:val="004A6DF9"/>
    <w:rsid w:val="004A7790"/>
    <w:rsid w:val="004B0273"/>
    <w:rsid w:val="004B03E0"/>
    <w:rsid w:val="004B1B4B"/>
    <w:rsid w:val="004B2B99"/>
    <w:rsid w:val="004B2E23"/>
    <w:rsid w:val="004B3913"/>
    <w:rsid w:val="004B3C55"/>
    <w:rsid w:val="004B4EDD"/>
    <w:rsid w:val="004B500B"/>
    <w:rsid w:val="004B5471"/>
    <w:rsid w:val="004B589A"/>
    <w:rsid w:val="004B5E00"/>
    <w:rsid w:val="004B62E3"/>
    <w:rsid w:val="004B709D"/>
    <w:rsid w:val="004B7136"/>
    <w:rsid w:val="004B7237"/>
    <w:rsid w:val="004B7E75"/>
    <w:rsid w:val="004C00AF"/>
    <w:rsid w:val="004C0691"/>
    <w:rsid w:val="004C07F5"/>
    <w:rsid w:val="004C08AD"/>
    <w:rsid w:val="004C15FB"/>
    <w:rsid w:val="004C179D"/>
    <w:rsid w:val="004C184D"/>
    <w:rsid w:val="004C28D3"/>
    <w:rsid w:val="004C2FEC"/>
    <w:rsid w:val="004C312B"/>
    <w:rsid w:val="004C32E9"/>
    <w:rsid w:val="004C359E"/>
    <w:rsid w:val="004C4103"/>
    <w:rsid w:val="004C48B3"/>
    <w:rsid w:val="004C4E48"/>
    <w:rsid w:val="004C4F4A"/>
    <w:rsid w:val="004C53F5"/>
    <w:rsid w:val="004C5C0C"/>
    <w:rsid w:val="004C6BCF"/>
    <w:rsid w:val="004C6C8E"/>
    <w:rsid w:val="004C7146"/>
    <w:rsid w:val="004C7B5C"/>
    <w:rsid w:val="004C7ED0"/>
    <w:rsid w:val="004D028A"/>
    <w:rsid w:val="004D04D3"/>
    <w:rsid w:val="004D0787"/>
    <w:rsid w:val="004D0E7A"/>
    <w:rsid w:val="004D11E9"/>
    <w:rsid w:val="004D192A"/>
    <w:rsid w:val="004D22AB"/>
    <w:rsid w:val="004D2DB9"/>
    <w:rsid w:val="004D4E8A"/>
    <w:rsid w:val="004D5674"/>
    <w:rsid w:val="004D570B"/>
    <w:rsid w:val="004D58BF"/>
    <w:rsid w:val="004D60ED"/>
    <w:rsid w:val="004D68C1"/>
    <w:rsid w:val="004D69D0"/>
    <w:rsid w:val="004D6BE9"/>
    <w:rsid w:val="004D740B"/>
    <w:rsid w:val="004E01D5"/>
    <w:rsid w:val="004E2459"/>
    <w:rsid w:val="004E2790"/>
    <w:rsid w:val="004E2921"/>
    <w:rsid w:val="004E2A50"/>
    <w:rsid w:val="004E2FAB"/>
    <w:rsid w:val="004E2FC6"/>
    <w:rsid w:val="004E2FEF"/>
    <w:rsid w:val="004E30BF"/>
    <w:rsid w:val="004E3893"/>
    <w:rsid w:val="004E4335"/>
    <w:rsid w:val="004E43D4"/>
    <w:rsid w:val="004E454E"/>
    <w:rsid w:val="004E4911"/>
    <w:rsid w:val="004E494C"/>
    <w:rsid w:val="004E4E33"/>
    <w:rsid w:val="004E5ACF"/>
    <w:rsid w:val="004E6011"/>
    <w:rsid w:val="004E62D0"/>
    <w:rsid w:val="004E6D8C"/>
    <w:rsid w:val="004E736C"/>
    <w:rsid w:val="004E7B53"/>
    <w:rsid w:val="004E7FD8"/>
    <w:rsid w:val="004F0515"/>
    <w:rsid w:val="004F0721"/>
    <w:rsid w:val="004F075D"/>
    <w:rsid w:val="004F0CBE"/>
    <w:rsid w:val="004F1262"/>
    <w:rsid w:val="004F13EE"/>
    <w:rsid w:val="004F1746"/>
    <w:rsid w:val="004F19E4"/>
    <w:rsid w:val="004F2022"/>
    <w:rsid w:val="004F30C0"/>
    <w:rsid w:val="004F3265"/>
    <w:rsid w:val="004F389D"/>
    <w:rsid w:val="004F56E5"/>
    <w:rsid w:val="004F5D57"/>
    <w:rsid w:val="004F5DF6"/>
    <w:rsid w:val="004F5E95"/>
    <w:rsid w:val="004F6257"/>
    <w:rsid w:val="004F64B0"/>
    <w:rsid w:val="004F6F10"/>
    <w:rsid w:val="004F70CE"/>
    <w:rsid w:val="004F75AF"/>
    <w:rsid w:val="004F76D4"/>
    <w:rsid w:val="004F77BA"/>
    <w:rsid w:val="004F7BEC"/>
    <w:rsid w:val="004F7BEE"/>
    <w:rsid w:val="004F7C05"/>
    <w:rsid w:val="004F7F35"/>
    <w:rsid w:val="00500128"/>
    <w:rsid w:val="00500758"/>
    <w:rsid w:val="005008B7"/>
    <w:rsid w:val="00501C94"/>
    <w:rsid w:val="00501EFF"/>
    <w:rsid w:val="005023A3"/>
    <w:rsid w:val="00502586"/>
    <w:rsid w:val="00502BC0"/>
    <w:rsid w:val="00502F4F"/>
    <w:rsid w:val="00503066"/>
    <w:rsid w:val="00503185"/>
    <w:rsid w:val="00503C51"/>
    <w:rsid w:val="005047B7"/>
    <w:rsid w:val="005047DD"/>
    <w:rsid w:val="0050496A"/>
    <w:rsid w:val="005049E6"/>
    <w:rsid w:val="00504A0A"/>
    <w:rsid w:val="00504C0C"/>
    <w:rsid w:val="00504CD5"/>
    <w:rsid w:val="00504FA0"/>
    <w:rsid w:val="00505259"/>
    <w:rsid w:val="00506432"/>
    <w:rsid w:val="00506455"/>
    <w:rsid w:val="00506D27"/>
    <w:rsid w:val="00510513"/>
    <w:rsid w:val="005108D9"/>
    <w:rsid w:val="00510F6A"/>
    <w:rsid w:val="005119BF"/>
    <w:rsid w:val="005121B6"/>
    <w:rsid w:val="005123BB"/>
    <w:rsid w:val="0051242B"/>
    <w:rsid w:val="00513C00"/>
    <w:rsid w:val="00513D89"/>
    <w:rsid w:val="0051423C"/>
    <w:rsid w:val="00514948"/>
    <w:rsid w:val="00514CBD"/>
    <w:rsid w:val="0051537D"/>
    <w:rsid w:val="0051553B"/>
    <w:rsid w:val="00515C79"/>
    <w:rsid w:val="00516125"/>
    <w:rsid w:val="00516FAA"/>
    <w:rsid w:val="00517CA7"/>
    <w:rsid w:val="00517D64"/>
    <w:rsid w:val="0052051D"/>
    <w:rsid w:val="00520B3F"/>
    <w:rsid w:val="00520D8E"/>
    <w:rsid w:val="00520EED"/>
    <w:rsid w:val="00521086"/>
    <w:rsid w:val="00521B7D"/>
    <w:rsid w:val="005220A9"/>
    <w:rsid w:val="005228C8"/>
    <w:rsid w:val="00522E78"/>
    <w:rsid w:val="005235D8"/>
    <w:rsid w:val="00524569"/>
    <w:rsid w:val="00524D47"/>
    <w:rsid w:val="00525705"/>
    <w:rsid w:val="005273B7"/>
    <w:rsid w:val="00527A0B"/>
    <w:rsid w:val="0053038C"/>
    <w:rsid w:val="00530961"/>
    <w:rsid w:val="0053339F"/>
    <w:rsid w:val="00533C87"/>
    <w:rsid w:val="00534D0C"/>
    <w:rsid w:val="00535B54"/>
    <w:rsid w:val="00536172"/>
    <w:rsid w:val="005361E1"/>
    <w:rsid w:val="005364A2"/>
    <w:rsid w:val="00536806"/>
    <w:rsid w:val="005374A1"/>
    <w:rsid w:val="00537B89"/>
    <w:rsid w:val="00537CBF"/>
    <w:rsid w:val="00537F90"/>
    <w:rsid w:val="00541629"/>
    <w:rsid w:val="00541633"/>
    <w:rsid w:val="00541A1C"/>
    <w:rsid w:val="00541AEF"/>
    <w:rsid w:val="005426CC"/>
    <w:rsid w:val="00542D80"/>
    <w:rsid w:val="0054303A"/>
    <w:rsid w:val="00543199"/>
    <w:rsid w:val="00543BB3"/>
    <w:rsid w:val="00543D19"/>
    <w:rsid w:val="00544016"/>
    <w:rsid w:val="00544109"/>
    <w:rsid w:val="00544DAA"/>
    <w:rsid w:val="00545976"/>
    <w:rsid w:val="00545EE6"/>
    <w:rsid w:val="005462C7"/>
    <w:rsid w:val="00546AAB"/>
    <w:rsid w:val="00546DB9"/>
    <w:rsid w:val="005476EA"/>
    <w:rsid w:val="005478FE"/>
    <w:rsid w:val="005515E3"/>
    <w:rsid w:val="00552A31"/>
    <w:rsid w:val="0055367B"/>
    <w:rsid w:val="00553872"/>
    <w:rsid w:val="00554120"/>
    <w:rsid w:val="00554904"/>
    <w:rsid w:val="00554F84"/>
    <w:rsid w:val="00555026"/>
    <w:rsid w:val="005550E7"/>
    <w:rsid w:val="00555289"/>
    <w:rsid w:val="00555771"/>
    <w:rsid w:val="005557E0"/>
    <w:rsid w:val="005564FB"/>
    <w:rsid w:val="005569EE"/>
    <w:rsid w:val="005572C7"/>
    <w:rsid w:val="00557343"/>
    <w:rsid w:val="00557F1F"/>
    <w:rsid w:val="00560339"/>
    <w:rsid w:val="005606D0"/>
    <w:rsid w:val="00560FB4"/>
    <w:rsid w:val="00561158"/>
    <w:rsid w:val="005623A7"/>
    <w:rsid w:val="0056246F"/>
    <w:rsid w:val="00562906"/>
    <w:rsid w:val="00562C08"/>
    <w:rsid w:val="00562E8A"/>
    <w:rsid w:val="00564540"/>
    <w:rsid w:val="005645A1"/>
    <w:rsid w:val="00564811"/>
    <w:rsid w:val="00564A42"/>
    <w:rsid w:val="005650ED"/>
    <w:rsid w:val="00566639"/>
    <w:rsid w:val="00566B86"/>
    <w:rsid w:val="00566E8C"/>
    <w:rsid w:val="0056724F"/>
    <w:rsid w:val="005700B9"/>
    <w:rsid w:val="0057103E"/>
    <w:rsid w:val="00571688"/>
    <w:rsid w:val="00571E27"/>
    <w:rsid w:val="0057235A"/>
    <w:rsid w:val="00572C9F"/>
    <w:rsid w:val="005735BD"/>
    <w:rsid w:val="00573C22"/>
    <w:rsid w:val="00574F16"/>
    <w:rsid w:val="00575754"/>
    <w:rsid w:val="00575EB6"/>
    <w:rsid w:val="00575F35"/>
    <w:rsid w:val="00575FEF"/>
    <w:rsid w:val="00576029"/>
    <w:rsid w:val="00576B79"/>
    <w:rsid w:val="00576BC4"/>
    <w:rsid w:val="00577082"/>
    <w:rsid w:val="00577251"/>
    <w:rsid w:val="00577F38"/>
    <w:rsid w:val="0058080C"/>
    <w:rsid w:val="005809DB"/>
    <w:rsid w:val="00580B0B"/>
    <w:rsid w:val="00580E2D"/>
    <w:rsid w:val="00581C4D"/>
    <w:rsid w:val="0058242F"/>
    <w:rsid w:val="005827DE"/>
    <w:rsid w:val="0058286D"/>
    <w:rsid w:val="00582F9A"/>
    <w:rsid w:val="005830A3"/>
    <w:rsid w:val="005831FB"/>
    <w:rsid w:val="00583DF4"/>
    <w:rsid w:val="00583E9F"/>
    <w:rsid w:val="00584061"/>
    <w:rsid w:val="00585247"/>
    <w:rsid w:val="00586114"/>
    <w:rsid w:val="00586459"/>
    <w:rsid w:val="00586787"/>
    <w:rsid w:val="00586B5E"/>
    <w:rsid w:val="00586BCA"/>
    <w:rsid w:val="005878A9"/>
    <w:rsid w:val="0059056F"/>
    <w:rsid w:val="005909FA"/>
    <w:rsid w:val="00590E05"/>
    <w:rsid w:val="00591686"/>
    <w:rsid w:val="00591D82"/>
    <w:rsid w:val="00591E20"/>
    <w:rsid w:val="00591F95"/>
    <w:rsid w:val="0059210F"/>
    <w:rsid w:val="00592795"/>
    <w:rsid w:val="00592C2C"/>
    <w:rsid w:val="00594C3E"/>
    <w:rsid w:val="00594F1C"/>
    <w:rsid w:val="0059516F"/>
    <w:rsid w:val="00595345"/>
    <w:rsid w:val="00595408"/>
    <w:rsid w:val="00595E84"/>
    <w:rsid w:val="005965E0"/>
    <w:rsid w:val="00596D5D"/>
    <w:rsid w:val="00597564"/>
    <w:rsid w:val="005975E5"/>
    <w:rsid w:val="00597806"/>
    <w:rsid w:val="00597B48"/>
    <w:rsid w:val="00597BB1"/>
    <w:rsid w:val="00597D79"/>
    <w:rsid w:val="00597ED2"/>
    <w:rsid w:val="005A0564"/>
    <w:rsid w:val="005A05AD"/>
    <w:rsid w:val="005A07F1"/>
    <w:rsid w:val="005A0888"/>
    <w:rsid w:val="005A0C59"/>
    <w:rsid w:val="005A1AA3"/>
    <w:rsid w:val="005A1AE7"/>
    <w:rsid w:val="005A1D3D"/>
    <w:rsid w:val="005A229D"/>
    <w:rsid w:val="005A2BFE"/>
    <w:rsid w:val="005A2DBC"/>
    <w:rsid w:val="005A465F"/>
    <w:rsid w:val="005A48EB"/>
    <w:rsid w:val="005A496A"/>
    <w:rsid w:val="005A50DF"/>
    <w:rsid w:val="005A5E2B"/>
    <w:rsid w:val="005A60C9"/>
    <w:rsid w:val="005A6CFB"/>
    <w:rsid w:val="005A6E34"/>
    <w:rsid w:val="005A6F6A"/>
    <w:rsid w:val="005A6F80"/>
    <w:rsid w:val="005A7599"/>
    <w:rsid w:val="005A78EF"/>
    <w:rsid w:val="005B0FE0"/>
    <w:rsid w:val="005B162A"/>
    <w:rsid w:val="005B163C"/>
    <w:rsid w:val="005B1ACE"/>
    <w:rsid w:val="005B1DBC"/>
    <w:rsid w:val="005B2669"/>
    <w:rsid w:val="005B4B5C"/>
    <w:rsid w:val="005B546B"/>
    <w:rsid w:val="005B5C98"/>
    <w:rsid w:val="005B5D9B"/>
    <w:rsid w:val="005B67A8"/>
    <w:rsid w:val="005B6BE7"/>
    <w:rsid w:val="005B7E9E"/>
    <w:rsid w:val="005C1873"/>
    <w:rsid w:val="005C230B"/>
    <w:rsid w:val="005C3421"/>
    <w:rsid w:val="005C3431"/>
    <w:rsid w:val="005C3B15"/>
    <w:rsid w:val="005C4BC1"/>
    <w:rsid w:val="005C4EF6"/>
    <w:rsid w:val="005C5983"/>
    <w:rsid w:val="005C5AEB"/>
    <w:rsid w:val="005C5B52"/>
    <w:rsid w:val="005C5CDE"/>
    <w:rsid w:val="005C6517"/>
    <w:rsid w:val="005C6BF5"/>
    <w:rsid w:val="005C7163"/>
    <w:rsid w:val="005C7E16"/>
    <w:rsid w:val="005D0036"/>
    <w:rsid w:val="005D08BB"/>
    <w:rsid w:val="005D0CDF"/>
    <w:rsid w:val="005D1530"/>
    <w:rsid w:val="005D1A71"/>
    <w:rsid w:val="005D45A1"/>
    <w:rsid w:val="005D4A3F"/>
    <w:rsid w:val="005D4BF2"/>
    <w:rsid w:val="005D54A5"/>
    <w:rsid w:val="005D54C8"/>
    <w:rsid w:val="005D59CD"/>
    <w:rsid w:val="005D5A61"/>
    <w:rsid w:val="005D78E0"/>
    <w:rsid w:val="005D7AB4"/>
    <w:rsid w:val="005E076A"/>
    <w:rsid w:val="005E08CA"/>
    <w:rsid w:val="005E0A3F"/>
    <w:rsid w:val="005E0CE4"/>
    <w:rsid w:val="005E0E40"/>
    <w:rsid w:val="005E1335"/>
    <w:rsid w:val="005E165C"/>
    <w:rsid w:val="005E169B"/>
    <w:rsid w:val="005E1CBA"/>
    <w:rsid w:val="005E1F02"/>
    <w:rsid w:val="005E1F80"/>
    <w:rsid w:val="005E2956"/>
    <w:rsid w:val="005E2D37"/>
    <w:rsid w:val="005E3378"/>
    <w:rsid w:val="005E3A7D"/>
    <w:rsid w:val="005E3FB7"/>
    <w:rsid w:val="005E4F34"/>
    <w:rsid w:val="005E53A1"/>
    <w:rsid w:val="005E54AE"/>
    <w:rsid w:val="005E57EE"/>
    <w:rsid w:val="005E686F"/>
    <w:rsid w:val="005E6883"/>
    <w:rsid w:val="005E6FCE"/>
    <w:rsid w:val="005E772F"/>
    <w:rsid w:val="005E7CEC"/>
    <w:rsid w:val="005F01A7"/>
    <w:rsid w:val="005F04AB"/>
    <w:rsid w:val="005F206A"/>
    <w:rsid w:val="005F27BB"/>
    <w:rsid w:val="005F28C9"/>
    <w:rsid w:val="005F381E"/>
    <w:rsid w:val="005F399A"/>
    <w:rsid w:val="005F3C52"/>
    <w:rsid w:val="005F4206"/>
    <w:rsid w:val="005F4410"/>
    <w:rsid w:val="005F4ECA"/>
    <w:rsid w:val="005F555D"/>
    <w:rsid w:val="005F63B6"/>
    <w:rsid w:val="005F6992"/>
    <w:rsid w:val="00600481"/>
    <w:rsid w:val="006012CC"/>
    <w:rsid w:val="00601507"/>
    <w:rsid w:val="00601651"/>
    <w:rsid w:val="00601A85"/>
    <w:rsid w:val="00602653"/>
    <w:rsid w:val="00603252"/>
    <w:rsid w:val="00603586"/>
    <w:rsid w:val="00603B76"/>
    <w:rsid w:val="006041BE"/>
    <w:rsid w:val="006043C7"/>
    <w:rsid w:val="006044E1"/>
    <w:rsid w:val="00604565"/>
    <w:rsid w:val="00604CC5"/>
    <w:rsid w:val="00604D0E"/>
    <w:rsid w:val="00605249"/>
    <w:rsid w:val="006059E9"/>
    <w:rsid w:val="00606891"/>
    <w:rsid w:val="00606A41"/>
    <w:rsid w:val="006070D1"/>
    <w:rsid w:val="00607182"/>
    <w:rsid w:val="006077F0"/>
    <w:rsid w:val="00607A2A"/>
    <w:rsid w:val="00610675"/>
    <w:rsid w:val="00610E78"/>
    <w:rsid w:val="006111E9"/>
    <w:rsid w:val="00611319"/>
    <w:rsid w:val="0061164C"/>
    <w:rsid w:val="00611B17"/>
    <w:rsid w:val="00611EA9"/>
    <w:rsid w:val="0061212E"/>
    <w:rsid w:val="0061243D"/>
    <w:rsid w:val="00612518"/>
    <w:rsid w:val="00612B2F"/>
    <w:rsid w:val="00612BE0"/>
    <w:rsid w:val="00612E82"/>
    <w:rsid w:val="0061309B"/>
    <w:rsid w:val="006134F8"/>
    <w:rsid w:val="00613749"/>
    <w:rsid w:val="0061419E"/>
    <w:rsid w:val="0061489C"/>
    <w:rsid w:val="00614BA6"/>
    <w:rsid w:val="00614BD4"/>
    <w:rsid w:val="0061538C"/>
    <w:rsid w:val="0061581F"/>
    <w:rsid w:val="006162AB"/>
    <w:rsid w:val="00616821"/>
    <w:rsid w:val="00616A52"/>
    <w:rsid w:val="00616B5B"/>
    <w:rsid w:val="00616D0F"/>
    <w:rsid w:val="00617E4F"/>
    <w:rsid w:val="0062014D"/>
    <w:rsid w:val="006208D6"/>
    <w:rsid w:val="00621B88"/>
    <w:rsid w:val="00621FDF"/>
    <w:rsid w:val="00622792"/>
    <w:rsid w:val="006228C9"/>
    <w:rsid w:val="006236C3"/>
    <w:rsid w:val="00624300"/>
    <w:rsid w:val="006249DC"/>
    <w:rsid w:val="00624B52"/>
    <w:rsid w:val="006269F2"/>
    <w:rsid w:val="00626E39"/>
    <w:rsid w:val="00627046"/>
    <w:rsid w:val="00627385"/>
    <w:rsid w:val="006303CC"/>
    <w:rsid w:val="006304B5"/>
    <w:rsid w:val="00631B93"/>
    <w:rsid w:val="00631DF4"/>
    <w:rsid w:val="00632306"/>
    <w:rsid w:val="00632EFD"/>
    <w:rsid w:val="0063322D"/>
    <w:rsid w:val="00633D4F"/>
    <w:rsid w:val="00634175"/>
    <w:rsid w:val="00634B67"/>
    <w:rsid w:val="006350E3"/>
    <w:rsid w:val="006370F0"/>
    <w:rsid w:val="00637271"/>
    <w:rsid w:val="00637FB9"/>
    <w:rsid w:val="006408AC"/>
    <w:rsid w:val="00640EAD"/>
    <w:rsid w:val="00640FD8"/>
    <w:rsid w:val="00641225"/>
    <w:rsid w:val="006412CF"/>
    <w:rsid w:val="006427C8"/>
    <w:rsid w:val="00642891"/>
    <w:rsid w:val="00642995"/>
    <w:rsid w:val="00642B89"/>
    <w:rsid w:val="00642C92"/>
    <w:rsid w:val="00642DE3"/>
    <w:rsid w:val="006433E7"/>
    <w:rsid w:val="00643D3F"/>
    <w:rsid w:val="00643E02"/>
    <w:rsid w:val="006446EA"/>
    <w:rsid w:val="006449FD"/>
    <w:rsid w:val="00644BF9"/>
    <w:rsid w:val="00645389"/>
    <w:rsid w:val="006456A2"/>
    <w:rsid w:val="0064618E"/>
    <w:rsid w:val="00646533"/>
    <w:rsid w:val="00646560"/>
    <w:rsid w:val="0064681D"/>
    <w:rsid w:val="00647CC7"/>
    <w:rsid w:val="0065021B"/>
    <w:rsid w:val="006511B6"/>
    <w:rsid w:val="006521A6"/>
    <w:rsid w:val="0065249F"/>
    <w:rsid w:val="00652742"/>
    <w:rsid w:val="006538A5"/>
    <w:rsid w:val="00653ABE"/>
    <w:rsid w:val="006544AA"/>
    <w:rsid w:val="00654AE9"/>
    <w:rsid w:val="00654D08"/>
    <w:rsid w:val="00655443"/>
    <w:rsid w:val="0065636A"/>
    <w:rsid w:val="00656694"/>
    <w:rsid w:val="006569EF"/>
    <w:rsid w:val="00656D47"/>
    <w:rsid w:val="00656E7E"/>
    <w:rsid w:val="00656EA0"/>
    <w:rsid w:val="00656EB7"/>
    <w:rsid w:val="006574C1"/>
    <w:rsid w:val="00657F6E"/>
    <w:rsid w:val="00657FF8"/>
    <w:rsid w:val="00660A5A"/>
    <w:rsid w:val="006616C2"/>
    <w:rsid w:val="006618B7"/>
    <w:rsid w:val="00661A9F"/>
    <w:rsid w:val="00661C20"/>
    <w:rsid w:val="0066214C"/>
    <w:rsid w:val="00662627"/>
    <w:rsid w:val="00663100"/>
    <w:rsid w:val="00663419"/>
    <w:rsid w:val="00663A3B"/>
    <w:rsid w:val="0066467F"/>
    <w:rsid w:val="006648C8"/>
    <w:rsid w:val="00664CB4"/>
    <w:rsid w:val="00665FDF"/>
    <w:rsid w:val="00666255"/>
    <w:rsid w:val="00666314"/>
    <w:rsid w:val="00666A5B"/>
    <w:rsid w:val="00666B85"/>
    <w:rsid w:val="00666E9D"/>
    <w:rsid w:val="0066703F"/>
    <w:rsid w:val="006672E0"/>
    <w:rsid w:val="00667D0D"/>
    <w:rsid w:val="00667D68"/>
    <w:rsid w:val="00670584"/>
    <w:rsid w:val="00670D64"/>
    <w:rsid w:val="00670D99"/>
    <w:rsid w:val="00670E2B"/>
    <w:rsid w:val="00671623"/>
    <w:rsid w:val="00671B64"/>
    <w:rsid w:val="00672743"/>
    <w:rsid w:val="006734BB"/>
    <w:rsid w:val="00673512"/>
    <w:rsid w:val="006747FD"/>
    <w:rsid w:val="0067503D"/>
    <w:rsid w:val="006754DB"/>
    <w:rsid w:val="0067611C"/>
    <w:rsid w:val="00676A7F"/>
    <w:rsid w:val="00677158"/>
    <w:rsid w:val="00677E7D"/>
    <w:rsid w:val="00680C54"/>
    <w:rsid w:val="00681A34"/>
    <w:rsid w:val="006821A4"/>
    <w:rsid w:val="006821EB"/>
    <w:rsid w:val="00682263"/>
    <w:rsid w:val="0068282B"/>
    <w:rsid w:val="00682C0C"/>
    <w:rsid w:val="00684043"/>
    <w:rsid w:val="00684CFD"/>
    <w:rsid w:val="00685F6E"/>
    <w:rsid w:val="00685FD0"/>
    <w:rsid w:val="00686EBC"/>
    <w:rsid w:val="006878E4"/>
    <w:rsid w:val="00690A08"/>
    <w:rsid w:val="006923B7"/>
    <w:rsid w:val="00692694"/>
    <w:rsid w:val="0069290F"/>
    <w:rsid w:val="00692E41"/>
    <w:rsid w:val="0069414E"/>
    <w:rsid w:val="00694153"/>
    <w:rsid w:val="00694653"/>
    <w:rsid w:val="0069498E"/>
    <w:rsid w:val="00694F45"/>
    <w:rsid w:val="00695334"/>
    <w:rsid w:val="00695B45"/>
    <w:rsid w:val="0069737D"/>
    <w:rsid w:val="00697428"/>
    <w:rsid w:val="006974C4"/>
    <w:rsid w:val="00697E20"/>
    <w:rsid w:val="00697FA4"/>
    <w:rsid w:val="006A0098"/>
    <w:rsid w:val="006A014B"/>
    <w:rsid w:val="006A07D8"/>
    <w:rsid w:val="006A1915"/>
    <w:rsid w:val="006A2B36"/>
    <w:rsid w:val="006A2EE7"/>
    <w:rsid w:val="006A3174"/>
    <w:rsid w:val="006A334E"/>
    <w:rsid w:val="006A3819"/>
    <w:rsid w:val="006A3AA6"/>
    <w:rsid w:val="006A65BC"/>
    <w:rsid w:val="006A768B"/>
    <w:rsid w:val="006B05DF"/>
    <w:rsid w:val="006B0897"/>
    <w:rsid w:val="006B08F4"/>
    <w:rsid w:val="006B0974"/>
    <w:rsid w:val="006B18E2"/>
    <w:rsid w:val="006B2286"/>
    <w:rsid w:val="006B251B"/>
    <w:rsid w:val="006B2DCA"/>
    <w:rsid w:val="006B3FED"/>
    <w:rsid w:val="006B495E"/>
    <w:rsid w:val="006B49C5"/>
    <w:rsid w:val="006B4E10"/>
    <w:rsid w:val="006B54D8"/>
    <w:rsid w:val="006B56BB"/>
    <w:rsid w:val="006B59DB"/>
    <w:rsid w:val="006B6A7D"/>
    <w:rsid w:val="006B7617"/>
    <w:rsid w:val="006B7CE9"/>
    <w:rsid w:val="006C0B6E"/>
    <w:rsid w:val="006C0DB5"/>
    <w:rsid w:val="006C145A"/>
    <w:rsid w:val="006C1637"/>
    <w:rsid w:val="006C1A0F"/>
    <w:rsid w:val="006C1F45"/>
    <w:rsid w:val="006C26ED"/>
    <w:rsid w:val="006C2851"/>
    <w:rsid w:val="006C3BEA"/>
    <w:rsid w:val="006C3E7C"/>
    <w:rsid w:val="006C3FDF"/>
    <w:rsid w:val="006C4098"/>
    <w:rsid w:val="006C4E9C"/>
    <w:rsid w:val="006C4FF7"/>
    <w:rsid w:val="006C509F"/>
    <w:rsid w:val="006C58F1"/>
    <w:rsid w:val="006C5A21"/>
    <w:rsid w:val="006C69DB"/>
    <w:rsid w:val="006C75F0"/>
    <w:rsid w:val="006C7764"/>
    <w:rsid w:val="006C77A8"/>
    <w:rsid w:val="006C7F82"/>
    <w:rsid w:val="006D0CF7"/>
    <w:rsid w:val="006D12ED"/>
    <w:rsid w:val="006D14EA"/>
    <w:rsid w:val="006D27F3"/>
    <w:rsid w:val="006D3230"/>
    <w:rsid w:val="006D3493"/>
    <w:rsid w:val="006D34E1"/>
    <w:rsid w:val="006D4098"/>
    <w:rsid w:val="006D4325"/>
    <w:rsid w:val="006D5AC6"/>
    <w:rsid w:val="006D5B10"/>
    <w:rsid w:val="006D5E64"/>
    <w:rsid w:val="006D66A9"/>
    <w:rsid w:val="006D6E94"/>
    <w:rsid w:val="006D6F90"/>
    <w:rsid w:val="006D7681"/>
    <w:rsid w:val="006D7975"/>
    <w:rsid w:val="006D7B2E"/>
    <w:rsid w:val="006E02CD"/>
    <w:rsid w:val="006E02EA"/>
    <w:rsid w:val="006E0968"/>
    <w:rsid w:val="006E097B"/>
    <w:rsid w:val="006E0C5E"/>
    <w:rsid w:val="006E0E02"/>
    <w:rsid w:val="006E1611"/>
    <w:rsid w:val="006E1D18"/>
    <w:rsid w:val="006E2AF6"/>
    <w:rsid w:val="006E2B79"/>
    <w:rsid w:val="006E3DB5"/>
    <w:rsid w:val="006E40A0"/>
    <w:rsid w:val="006E40D1"/>
    <w:rsid w:val="006E5380"/>
    <w:rsid w:val="006E5394"/>
    <w:rsid w:val="006E56A9"/>
    <w:rsid w:val="006E5BF4"/>
    <w:rsid w:val="006E6D6C"/>
    <w:rsid w:val="006E6FA3"/>
    <w:rsid w:val="006E7CF2"/>
    <w:rsid w:val="006F00CB"/>
    <w:rsid w:val="006F0355"/>
    <w:rsid w:val="006F0601"/>
    <w:rsid w:val="006F063E"/>
    <w:rsid w:val="006F09CC"/>
    <w:rsid w:val="006F1881"/>
    <w:rsid w:val="006F2568"/>
    <w:rsid w:val="006F35CD"/>
    <w:rsid w:val="006F4E8B"/>
    <w:rsid w:val="006F4FD5"/>
    <w:rsid w:val="006F56FD"/>
    <w:rsid w:val="006F5C87"/>
    <w:rsid w:val="006F6272"/>
    <w:rsid w:val="006F6D5A"/>
    <w:rsid w:val="006F7162"/>
    <w:rsid w:val="006F7338"/>
    <w:rsid w:val="00700C6B"/>
    <w:rsid w:val="0070119B"/>
    <w:rsid w:val="00701275"/>
    <w:rsid w:val="007013F1"/>
    <w:rsid w:val="00703584"/>
    <w:rsid w:val="00703F60"/>
    <w:rsid w:val="00704620"/>
    <w:rsid w:val="00704A6A"/>
    <w:rsid w:val="007057C4"/>
    <w:rsid w:val="00705DF0"/>
    <w:rsid w:val="00706474"/>
    <w:rsid w:val="00706CC6"/>
    <w:rsid w:val="00707061"/>
    <w:rsid w:val="007070C7"/>
    <w:rsid w:val="007075BF"/>
    <w:rsid w:val="00707724"/>
    <w:rsid w:val="00707F56"/>
    <w:rsid w:val="00710801"/>
    <w:rsid w:val="007108AF"/>
    <w:rsid w:val="00710A41"/>
    <w:rsid w:val="00710D45"/>
    <w:rsid w:val="00710E73"/>
    <w:rsid w:val="00711164"/>
    <w:rsid w:val="00712521"/>
    <w:rsid w:val="00712A38"/>
    <w:rsid w:val="00712DFA"/>
    <w:rsid w:val="00712E00"/>
    <w:rsid w:val="00713520"/>
    <w:rsid w:val="00713558"/>
    <w:rsid w:val="0071395B"/>
    <w:rsid w:val="00713EEF"/>
    <w:rsid w:val="00714C06"/>
    <w:rsid w:val="007153B4"/>
    <w:rsid w:val="00715528"/>
    <w:rsid w:val="00715B3D"/>
    <w:rsid w:val="00715EEB"/>
    <w:rsid w:val="00716A22"/>
    <w:rsid w:val="00716B5E"/>
    <w:rsid w:val="00717EC2"/>
    <w:rsid w:val="00720D08"/>
    <w:rsid w:val="007215DE"/>
    <w:rsid w:val="00721C18"/>
    <w:rsid w:val="007225C9"/>
    <w:rsid w:val="00722748"/>
    <w:rsid w:val="00722C1D"/>
    <w:rsid w:val="007231CD"/>
    <w:rsid w:val="00723760"/>
    <w:rsid w:val="007241CA"/>
    <w:rsid w:val="007249C1"/>
    <w:rsid w:val="007250F8"/>
    <w:rsid w:val="00725280"/>
    <w:rsid w:val="0072553C"/>
    <w:rsid w:val="007255E0"/>
    <w:rsid w:val="00725D97"/>
    <w:rsid w:val="00725F53"/>
    <w:rsid w:val="007263B9"/>
    <w:rsid w:val="00726778"/>
    <w:rsid w:val="00726BA5"/>
    <w:rsid w:val="00726F98"/>
    <w:rsid w:val="00727998"/>
    <w:rsid w:val="00727BFD"/>
    <w:rsid w:val="007309CE"/>
    <w:rsid w:val="007309EB"/>
    <w:rsid w:val="0073167D"/>
    <w:rsid w:val="00732347"/>
    <w:rsid w:val="007323FB"/>
    <w:rsid w:val="00732B8E"/>
    <w:rsid w:val="00732F25"/>
    <w:rsid w:val="007334F8"/>
    <w:rsid w:val="007339CD"/>
    <w:rsid w:val="0073423B"/>
    <w:rsid w:val="0073449C"/>
    <w:rsid w:val="0073557F"/>
    <w:rsid w:val="007359BA"/>
    <w:rsid w:val="007359D8"/>
    <w:rsid w:val="00735EB8"/>
    <w:rsid w:val="0073618A"/>
    <w:rsid w:val="007362D4"/>
    <w:rsid w:val="00736F9F"/>
    <w:rsid w:val="007370EA"/>
    <w:rsid w:val="00737578"/>
    <w:rsid w:val="00737E9F"/>
    <w:rsid w:val="007403B0"/>
    <w:rsid w:val="00741167"/>
    <w:rsid w:val="00741B40"/>
    <w:rsid w:val="00741BA0"/>
    <w:rsid w:val="007426A2"/>
    <w:rsid w:val="0074441B"/>
    <w:rsid w:val="00744AF5"/>
    <w:rsid w:val="007451B2"/>
    <w:rsid w:val="0074590F"/>
    <w:rsid w:val="00745929"/>
    <w:rsid w:val="00745CEC"/>
    <w:rsid w:val="0074619E"/>
    <w:rsid w:val="007465BC"/>
    <w:rsid w:val="007479F7"/>
    <w:rsid w:val="00747C24"/>
    <w:rsid w:val="00750624"/>
    <w:rsid w:val="00750691"/>
    <w:rsid w:val="007506D4"/>
    <w:rsid w:val="00751639"/>
    <w:rsid w:val="00751A23"/>
    <w:rsid w:val="007520B3"/>
    <w:rsid w:val="00752AD8"/>
    <w:rsid w:val="007543E6"/>
    <w:rsid w:val="007555C2"/>
    <w:rsid w:val="00755763"/>
    <w:rsid w:val="00755D68"/>
    <w:rsid w:val="00757F52"/>
    <w:rsid w:val="007601F7"/>
    <w:rsid w:val="007607E0"/>
    <w:rsid w:val="00760A42"/>
    <w:rsid w:val="00760C2D"/>
    <w:rsid w:val="00760F4C"/>
    <w:rsid w:val="00760F78"/>
    <w:rsid w:val="00761531"/>
    <w:rsid w:val="007623F8"/>
    <w:rsid w:val="00762B40"/>
    <w:rsid w:val="0076318A"/>
    <w:rsid w:val="007632FB"/>
    <w:rsid w:val="007639D6"/>
    <w:rsid w:val="00763CB1"/>
    <w:rsid w:val="00764AEF"/>
    <w:rsid w:val="00764C5E"/>
    <w:rsid w:val="007650F5"/>
    <w:rsid w:val="00765A54"/>
    <w:rsid w:val="007664E4"/>
    <w:rsid w:val="007665EF"/>
    <w:rsid w:val="00766662"/>
    <w:rsid w:val="0076672A"/>
    <w:rsid w:val="00770048"/>
    <w:rsid w:val="00770B4F"/>
    <w:rsid w:val="00771320"/>
    <w:rsid w:val="007719A3"/>
    <w:rsid w:val="00771AE3"/>
    <w:rsid w:val="00772070"/>
    <w:rsid w:val="00772180"/>
    <w:rsid w:val="00772B12"/>
    <w:rsid w:val="007744CB"/>
    <w:rsid w:val="007745F5"/>
    <w:rsid w:val="007753C2"/>
    <w:rsid w:val="00775586"/>
    <w:rsid w:val="00775AA3"/>
    <w:rsid w:val="00775E45"/>
    <w:rsid w:val="00775EF7"/>
    <w:rsid w:val="00776808"/>
    <w:rsid w:val="00776A4A"/>
    <w:rsid w:val="00776C77"/>
    <w:rsid w:val="00776E74"/>
    <w:rsid w:val="00776EF4"/>
    <w:rsid w:val="007771D9"/>
    <w:rsid w:val="007801A9"/>
    <w:rsid w:val="00780ADD"/>
    <w:rsid w:val="00781F8B"/>
    <w:rsid w:val="007820A5"/>
    <w:rsid w:val="00782D1C"/>
    <w:rsid w:val="007830AD"/>
    <w:rsid w:val="0078347A"/>
    <w:rsid w:val="00783D13"/>
    <w:rsid w:val="00783F6A"/>
    <w:rsid w:val="00784507"/>
    <w:rsid w:val="00785169"/>
    <w:rsid w:val="00785A48"/>
    <w:rsid w:val="00785FEB"/>
    <w:rsid w:val="00786B64"/>
    <w:rsid w:val="0078762F"/>
    <w:rsid w:val="007877DB"/>
    <w:rsid w:val="0079019D"/>
    <w:rsid w:val="00790D62"/>
    <w:rsid w:val="0079157A"/>
    <w:rsid w:val="00791BD9"/>
    <w:rsid w:val="00791D25"/>
    <w:rsid w:val="007922FE"/>
    <w:rsid w:val="00792AFE"/>
    <w:rsid w:val="0079336A"/>
    <w:rsid w:val="007938C9"/>
    <w:rsid w:val="00793E29"/>
    <w:rsid w:val="00793F90"/>
    <w:rsid w:val="007954AB"/>
    <w:rsid w:val="00795F87"/>
    <w:rsid w:val="00795FAB"/>
    <w:rsid w:val="00796121"/>
    <w:rsid w:val="00796BAF"/>
    <w:rsid w:val="00796E29"/>
    <w:rsid w:val="00796F5E"/>
    <w:rsid w:val="00796FA2"/>
    <w:rsid w:val="007970AA"/>
    <w:rsid w:val="007A0404"/>
    <w:rsid w:val="007A080F"/>
    <w:rsid w:val="007A088D"/>
    <w:rsid w:val="007A0F90"/>
    <w:rsid w:val="007A14C5"/>
    <w:rsid w:val="007A1890"/>
    <w:rsid w:val="007A1BD7"/>
    <w:rsid w:val="007A1D0D"/>
    <w:rsid w:val="007A1ECA"/>
    <w:rsid w:val="007A2147"/>
    <w:rsid w:val="007A26A1"/>
    <w:rsid w:val="007A2C09"/>
    <w:rsid w:val="007A31F7"/>
    <w:rsid w:val="007A34A2"/>
    <w:rsid w:val="007A3E38"/>
    <w:rsid w:val="007A435D"/>
    <w:rsid w:val="007A4443"/>
    <w:rsid w:val="007A4A10"/>
    <w:rsid w:val="007A4CA7"/>
    <w:rsid w:val="007A4F0B"/>
    <w:rsid w:val="007A57C1"/>
    <w:rsid w:val="007A58DC"/>
    <w:rsid w:val="007A67A9"/>
    <w:rsid w:val="007B09FB"/>
    <w:rsid w:val="007B0E4A"/>
    <w:rsid w:val="007B12C5"/>
    <w:rsid w:val="007B1760"/>
    <w:rsid w:val="007B2E3A"/>
    <w:rsid w:val="007B3D03"/>
    <w:rsid w:val="007B4760"/>
    <w:rsid w:val="007B57ED"/>
    <w:rsid w:val="007B647E"/>
    <w:rsid w:val="007B6C0E"/>
    <w:rsid w:val="007B721F"/>
    <w:rsid w:val="007B7CCB"/>
    <w:rsid w:val="007C0718"/>
    <w:rsid w:val="007C0BBA"/>
    <w:rsid w:val="007C1101"/>
    <w:rsid w:val="007C13A4"/>
    <w:rsid w:val="007C1585"/>
    <w:rsid w:val="007C15F6"/>
    <w:rsid w:val="007C1A18"/>
    <w:rsid w:val="007C2F8E"/>
    <w:rsid w:val="007C4F27"/>
    <w:rsid w:val="007C4F8C"/>
    <w:rsid w:val="007C4FB8"/>
    <w:rsid w:val="007C5114"/>
    <w:rsid w:val="007C5722"/>
    <w:rsid w:val="007C5AB8"/>
    <w:rsid w:val="007C6004"/>
    <w:rsid w:val="007C6D9C"/>
    <w:rsid w:val="007C6E51"/>
    <w:rsid w:val="007C7171"/>
    <w:rsid w:val="007C748E"/>
    <w:rsid w:val="007C74CB"/>
    <w:rsid w:val="007C75E0"/>
    <w:rsid w:val="007C7DDB"/>
    <w:rsid w:val="007C7E64"/>
    <w:rsid w:val="007D19A5"/>
    <w:rsid w:val="007D20DF"/>
    <w:rsid w:val="007D213E"/>
    <w:rsid w:val="007D2CC7"/>
    <w:rsid w:val="007D2FA7"/>
    <w:rsid w:val="007D3926"/>
    <w:rsid w:val="007D49DF"/>
    <w:rsid w:val="007D4C8E"/>
    <w:rsid w:val="007D4F42"/>
    <w:rsid w:val="007D551B"/>
    <w:rsid w:val="007D63F6"/>
    <w:rsid w:val="007D673D"/>
    <w:rsid w:val="007D74F1"/>
    <w:rsid w:val="007E0B82"/>
    <w:rsid w:val="007E0D12"/>
    <w:rsid w:val="007E1469"/>
    <w:rsid w:val="007E260E"/>
    <w:rsid w:val="007E3226"/>
    <w:rsid w:val="007E3287"/>
    <w:rsid w:val="007E3331"/>
    <w:rsid w:val="007E3A22"/>
    <w:rsid w:val="007E3CD6"/>
    <w:rsid w:val="007E43DC"/>
    <w:rsid w:val="007E45FF"/>
    <w:rsid w:val="007E470D"/>
    <w:rsid w:val="007E4A44"/>
    <w:rsid w:val="007E4DC0"/>
    <w:rsid w:val="007E531F"/>
    <w:rsid w:val="007E56F8"/>
    <w:rsid w:val="007E605D"/>
    <w:rsid w:val="007E6192"/>
    <w:rsid w:val="007E6649"/>
    <w:rsid w:val="007E7A4F"/>
    <w:rsid w:val="007F0A5B"/>
    <w:rsid w:val="007F1092"/>
    <w:rsid w:val="007F21D2"/>
    <w:rsid w:val="007F2220"/>
    <w:rsid w:val="007F2451"/>
    <w:rsid w:val="007F2963"/>
    <w:rsid w:val="007F2D1D"/>
    <w:rsid w:val="007F2EF5"/>
    <w:rsid w:val="007F2FD3"/>
    <w:rsid w:val="007F3158"/>
    <w:rsid w:val="007F34B9"/>
    <w:rsid w:val="007F425D"/>
    <w:rsid w:val="007F4B3E"/>
    <w:rsid w:val="007F50E5"/>
    <w:rsid w:val="007F5262"/>
    <w:rsid w:val="007F588A"/>
    <w:rsid w:val="007F5B77"/>
    <w:rsid w:val="007F60AA"/>
    <w:rsid w:val="007F6D57"/>
    <w:rsid w:val="007F701A"/>
    <w:rsid w:val="007F7819"/>
    <w:rsid w:val="007F7A3F"/>
    <w:rsid w:val="00800081"/>
    <w:rsid w:val="0080181C"/>
    <w:rsid w:val="00801A50"/>
    <w:rsid w:val="00802A01"/>
    <w:rsid w:val="008033EB"/>
    <w:rsid w:val="00804810"/>
    <w:rsid w:val="00804D2F"/>
    <w:rsid w:val="0080521A"/>
    <w:rsid w:val="008064C5"/>
    <w:rsid w:val="008102D2"/>
    <w:rsid w:val="0081081D"/>
    <w:rsid w:val="00810D8F"/>
    <w:rsid w:val="0081266E"/>
    <w:rsid w:val="008127AF"/>
    <w:rsid w:val="008129FE"/>
    <w:rsid w:val="00812B46"/>
    <w:rsid w:val="00812E81"/>
    <w:rsid w:val="00813259"/>
    <w:rsid w:val="00814058"/>
    <w:rsid w:val="008144A4"/>
    <w:rsid w:val="0081450B"/>
    <w:rsid w:val="00815700"/>
    <w:rsid w:val="00815847"/>
    <w:rsid w:val="00815C46"/>
    <w:rsid w:val="008161A6"/>
    <w:rsid w:val="008162A7"/>
    <w:rsid w:val="008178B5"/>
    <w:rsid w:val="00817B70"/>
    <w:rsid w:val="008204F0"/>
    <w:rsid w:val="00820C57"/>
    <w:rsid w:val="0082109C"/>
    <w:rsid w:val="00821284"/>
    <w:rsid w:val="00822D49"/>
    <w:rsid w:val="0082371E"/>
    <w:rsid w:val="00824074"/>
    <w:rsid w:val="008242B6"/>
    <w:rsid w:val="00824C2D"/>
    <w:rsid w:val="00825536"/>
    <w:rsid w:val="00825E1E"/>
    <w:rsid w:val="00825FDB"/>
    <w:rsid w:val="008261A3"/>
    <w:rsid w:val="008264EB"/>
    <w:rsid w:val="00826B8F"/>
    <w:rsid w:val="00826DD3"/>
    <w:rsid w:val="00826E21"/>
    <w:rsid w:val="00827C02"/>
    <w:rsid w:val="00827F9D"/>
    <w:rsid w:val="0083036E"/>
    <w:rsid w:val="008317F9"/>
    <w:rsid w:val="00831E8A"/>
    <w:rsid w:val="00833545"/>
    <w:rsid w:val="00833558"/>
    <w:rsid w:val="0083377B"/>
    <w:rsid w:val="008342A2"/>
    <w:rsid w:val="0083435E"/>
    <w:rsid w:val="008345CE"/>
    <w:rsid w:val="0083468E"/>
    <w:rsid w:val="00835C5F"/>
    <w:rsid w:val="00835C76"/>
    <w:rsid w:val="008364B4"/>
    <w:rsid w:val="008368FA"/>
    <w:rsid w:val="00840E23"/>
    <w:rsid w:val="0084106A"/>
    <w:rsid w:val="00841290"/>
    <w:rsid w:val="008419E3"/>
    <w:rsid w:val="00841ACC"/>
    <w:rsid w:val="0084271B"/>
    <w:rsid w:val="00842938"/>
    <w:rsid w:val="00842B90"/>
    <w:rsid w:val="00842C71"/>
    <w:rsid w:val="00843049"/>
    <w:rsid w:val="00843D8B"/>
    <w:rsid w:val="00843ED8"/>
    <w:rsid w:val="0084471A"/>
    <w:rsid w:val="00844766"/>
    <w:rsid w:val="008449AF"/>
    <w:rsid w:val="00844A82"/>
    <w:rsid w:val="00845105"/>
    <w:rsid w:val="00845162"/>
    <w:rsid w:val="008459A9"/>
    <w:rsid w:val="00846BBE"/>
    <w:rsid w:val="00846E4D"/>
    <w:rsid w:val="0084738B"/>
    <w:rsid w:val="008503FD"/>
    <w:rsid w:val="00850490"/>
    <w:rsid w:val="0085209B"/>
    <w:rsid w:val="00852296"/>
    <w:rsid w:val="00852320"/>
    <w:rsid w:val="00852927"/>
    <w:rsid w:val="00852DE2"/>
    <w:rsid w:val="008534F3"/>
    <w:rsid w:val="008539D4"/>
    <w:rsid w:val="00853A3C"/>
    <w:rsid w:val="00853BEC"/>
    <w:rsid w:val="0085456E"/>
    <w:rsid w:val="008551FB"/>
    <w:rsid w:val="00855A24"/>
    <w:rsid w:val="00855DBA"/>
    <w:rsid w:val="00856906"/>
    <w:rsid w:val="00856B66"/>
    <w:rsid w:val="008602DF"/>
    <w:rsid w:val="008609E7"/>
    <w:rsid w:val="008613B9"/>
    <w:rsid w:val="00861A5F"/>
    <w:rsid w:val="00861EE8"/>
    <w:rsid w:val="008624EE"/>
    <w:rsid w:val="00862805"/>
    <w:rsid w:val="00862B3A"/>
    <w:rsid w:val="00862E87"/>
    <w:rsid w:val="008632F2"/>
    <w:rsid w:val="00863AF4"/>
    <w:rsid w:val="0086430F"/>
    <w:rsid w:val="008644AD"/>
    <w:rsid w:val="0086468B"/>
    <w:rsid w:val="0086480D"/>
    <w:rsid w:val="00864A3D"/>
    <w:rsid w:val="00864C89"/>
    <w:rsid w:val="00865735"/>
    <w:rsid w:val="008659B5"/>
    <w:rsid w:val="00865A95"/>
    <w:rsid w:val="00865DDB"/>
    <w:rsid w:val="00866831"/>
    <w:rsid w:val="00866DC0"/>
    <w:rsid w:val="00867538"/>
    <w:rsid w:val="00867933"/>
    <w:rsid w:val="00870247"/>
    <w:rsid w:val="00871939"/>
    <w:rsid w:val="00872091"/>
    <w:rsid w:val="0087252F"/>
    <w:rsid w:val="00872D84"/>
    <w:rsid w:val="008737FF"/>
    <w:rsid w:val="0087393E"/>
    <w:rsid w:val="00873D90"/>
    <w:rsid w:val="00873F2A"/>
    <w:rsid w:val="00873FC8"/>
    <w:rsid w:val="008743C7"/>
    <w:rsid w:val="0087508D"/>
    <w:rsid w:val="00876613"/>
    <w:rsid w:val="0087714C"/>
    <w:rsid w:val="008778CF"/>
    <w:rsid w:val="008808FB"/>
    <w:rsid w:val="00880C04"/>
    <w:rsid w:val="00881388"/>
    <w:rsid w:val="0088162F"/>
    <w:rsid w:val="00881AFF"/>
    <w:rsid w:val="00881C2B"/>
    <w:rsid w:val="00882653"/>
    <w:rsid w:val="00882C85"/>
    <w:rsid w:val="0088303B"/>
    <w:rsid w:val="00883D14"/>
    <w:rsid w:val="0088469C"/>
    <w:rsid w:val="008848A0"/>
    <w:rsid w:val="00884C63"/>
    <w:rsid w:val="00885908"/>
    <w:rsid w:val="00886388"/>
    <w:rsid w:val="008864B7"/>
    <w:rsid w:val="008865AD"/>
    <w:rsid w:val="00886CFF"/>
    <w:rsid w:val="00887A1E"/>
    <w:rsid w:val="00887FD2"/>
    <w:rsid w:val="00890A4A"/>
    <w:rsid w:val="00891198"/>
    <w:rsid w:val="00891CAC"/>
    <w:rsid w:val="0089233A"/>
    <w:rsid w:val="00892B13"/>
    <w:rsid w:val="0089482F"/>
    <w:rsid w:val="008948EF"/>
    <w:rsid w:val="008951DD"/>
    <w:rsid w:val="00895745"/>
    <w:rsid w:val="008959B0"/>
    <w:rsid w:val="00896544"/>
    <w:rsid w:val="008965E4"/>
    <w:rsid w:val="0089677E"/>
    <w:rsid w:val="00896788"/>
    <w:rsid w:val="00896E8C"/>
    <w:rsid w:val="00897276"/>
    <w:rsid w:val="0089745C"/>
    <w:rsid w:val="00897F8D"/>
    <w:rsid w:val="008A16A0"/>
    <w:rsid w:val="008A216C"/>
    <w:rsid w:val="008A2319"/>
    <w:rsid w:val="008A23AE"/>
    <w:rsid w:val="008A29F1"/>
    <w:rsid w:val="008A348F"/>
    <w:rsid w:val="008A3909"/>
    <w:rsid w:val="008A4060"/>
    <w:rsid w:val="008A4253"/>
    <w:rsid w:val="008A43B7"/>
    <w:rsid w:val="008A46CB"/>
    <w:rsid w:val="008A5E33"/>
    <w:rsid w:val="008A6376"/>
    <w:rsid w:val="008A6389"/>
    <w:rsid w:val="008A6659"/>
    <w:rsid w:val="008A6ABC"/>
    <w:rsid w:val="008A7438"/>
    <w:rsid w:val="008B0BBA"/>
    <w:rsid w:val="008B1334"/>
    <w:rsid w:val="008B22C0"/>
    <w:rsid w:val="008B2558"/>
    <w:rsid w:val="008B340A"/>
    <w:rsid w:val="008B351D"/>
    <w:rsid w:val="008B3900"/>
    <w:rsid w:val="008B3C92"/>
    <w:rsid w:val="008B4092"/>
    <w:rsid w:val="008B4883"/>
    <w:rsid w:val="008B49A1"/>
    <w:rsid w:val="008B5069"/>
    <w:rsid w:val="008B51C0"/>
    <w:rsid w:val="008B5433"/>
    <w:rsid w:val="008B70B6"/>
    <w:rsid w:val="008B79EC"/>
    <w:rsid w:val="008B7CE4"/>
    <w:rsid w:val="008B7F28"/>
    <w:rsid w:val="008B7F49"/>
    <w:rsid w:val="008C0278"/>
    <w:rsid w:val="008C0590"/>
    <w:rsid w:val="008C1755"/>
    <w:rsid w:val="008C24E9"/>
    <w:rsid w:val="008C3542"/>
    <w:rsid w:val="008C3860"/>
    <w:rsid w:val="008C3FBD"/>
    <w:rsid w:val="008C425C"/>
    <w:rsid w:val="008C4CF6"/>
    <w:rsid w:val="008C5326"/>
    <w:rsid w:val="008C6BAD"/>
    <w:rsid w:val="008C728B"/>
    <w:rsid w:val="008D0533"/>
    <w:rsid w:val="008D0BFE"/>
    <w:rsid w:val="008D1232"/>
    <w:rsid w:val="008D1AF4"/>
    <w:rsid w:val="008D20FC"/>
    <w:rsid w:val="008D26FE"/>
    <w:rsid w:val="008D2A52"/>
    <w:rsid w:val="008D303E"/>
    <w:rsid w:val="008D40AF"/>
    <w:rsid w:val="008D42CB"/>
    <w:rsid w:val="008D47A5"/>
    <w:rsid w:val="008D48C9"/>
    <w:rsid w:val="008D4D04"/>
    <w:rsid w:val="008D4F4E"/>
    <w:rsid w:val="008D563C"/>
    <w:rsid w:val="008D5B79"/>
    <w:rsid w:val="008D6381"/>
    <w:rsid w:val="008D6383"/>
    <w:rsid w:val="008D702B"/>
    <w:rsid w:val="008D7B64"/>
    <w:rsid w:val="008D7D1D"/>
    <w:rsid w:val="008D7D92"/>
    <w:rsid w:val="008E04CB"/>
    <w:rsid w:val="008E0C77"/>
    <w:rsid w:val="008E18B0"/>
    <w:rsid w:val="008E286B"/>
    <w:rsid w:val="008E28BE"/>
    <w:rsid w:val="008E2BAD"/>
    <w:rsid w:val="008E44AB"/>
    <w:rsid w:val="008E4743"/>
    <w:rsid w:val="008E48B1"/>
    <w:rsid w:val="008E4F65"/>
    <w:rsid w:val="008E541C"/>
    <w:rsid w:val="008E5E8F"/>
    <w:rsid w:val="008E625F"/>
    <w:rsid w:val="008E6354"/>
    <w:rsid w:val="008E751E"/>
    <w:rsid w:val="008E7ADE"/>
    <w:rsid w:val="008F02F8"/>
    <w:rsid w:val="008F0C27"/>
    <w:rsid w:val="008F264D"/>
    <w:rsid w:val="008F28CF"/>
    <w:rsid w:val="008F342F"/>
    <w:rsid w:val="008F3781"/>
    <w:rsid w:val="008F39A3"/>
    <w:rsid w:val="008F3C23"/>
    <w:rsid w:val="008F40EA"/>
    <w:rsid w:val="008F43FF"/>
    <w:rsid w:val="008F529C"/>
    <w:rsid w:val="008F558E"/>
    <w:rsid w:val="008F5925"/>
    <w:rsid w:val="008F69F9"/>
    <w:rsid w:val="008F6B0A"/>
    <w:rsid w:val="008F6BE6"/>
    <w:rsid w:val="008F6CC7"/>
    <w:rsid w:val="008F7B03"/>
    <w:rsid w:val="00900C64"/>
    <w:rsid w:val="0090133F"/>
    <w:rsid w:val="0090139D"/>
    <w:rsid w:val="009016C3"/>
    <w:rsid w:val="00901A2B"/>
    <w:rsid w:val="00901F38"/>
    <w:rsid w:val="00904576"/>
    <w:rsid w:val="00904CFA"/>
    <w:rsid w:val="00905227"/>
    <w:rsid w:val="00905CA3"/>
    <w:rsid w:val="00906EB8"/>
    <w:rsid w:val="0090720C"/>
    <w:rsid w:val="0090727B"/>
    <w:rsid w:val="0090728A"/>
    <w:rsid w:val="009072EB"/>
    <w:rsid w:val="009074E1"/>
    <w:rsid w:val="009077D2"/>
    <w:rsid w:val="00910223"/>
    <w:rsid w:val="009112F7"/>
    <w:rsid w:val="00911891"/>
    <w:rsid w:val="00911DE2"/>
    <w:rsid w:val="009122AF"/>
    <w:rsid w:val="009127BC"/>
    <w:rsid w:val="009128AB"/>
    <w:rsid w:val="00912D54"/>
    <w:rsid w:val="0091389F"/>
    <w:rsid w:val="00913937"/>
    <w:rsid w:val="00913ABA"/>
    <w:rsid w:val="0091427A"/>
    <w:rsid w:val="0091462C"/>
    <w:rsid w:val="00914835"/>
    <w:rsid w:val="009162C6"/>
    <w:rsid w:val="00916EEF"/>
    <w:rsid w:val="00917182"/>
    <w:rsid w:val="009172F4"/>
    <w:rsid w:val="009174C0"/>
    <w:rsid w:val="009175DB"/>
    <w:rsid w:val="00920315"/>
    <w:rsid w:val="009205D2"/>
    <w:rsid w:val="0092075D"/>
    <w:rsid w:val="009208F7"/>
    <w:rsid w:val="00920C3D"/>
    <w:rsid w:val="00920E7A"/>
    <w:rsid w:val="0092115B"/>
    <w:rsid w:val="00921A58"/>
    <w:rsid w:val="00921D7E"/>
    <w:rsid w:val="0092206D"/>
    <w:rsid w:val="009223EE"/>
    <w:rsid w:val="00922517"/>
    <w:rsid w:val="00922722"/>
    <w:rsid w:val="00922769"/>
    <w:rsid w:val="00922CC1"/>
    <w:rsid w:val="00923C7C"/>
    <w:rsid w:val="0092406C"/>
    <w:rsid w:val="00924095"/>
    <w:rsid w:val="00925646"/>
    <w:rsid w:val="00925F12"/>
    <w:rsid w:val="009261E6"/>
    <w:rsid w:val="009265DA"/>
    <w:rsid w:val="009266DA"/>
    <w:rsid w:val="00926707"/>
    <w:rsid w:val="009268C0"/>
    <w:rsid w:val="009268E1"/>
    <w:rsid w:val="00926F5B"/>
    <w:rsid w:val="00927D41"/>
    <w:rsid w:val="00931907"/>
    <w:rsid w:val="00931FFD"/>
    <w:rsid w:val="00932507"/>
    <w:rsid w:val="009327FE"/>
    <w:rsid w:val="00932EFF"/>
    <w:rsid w:val="00932FD4"/>
    <w:rsid w:val="00933A7A"/>
    <w:rsid w:val="00933EEC"/>
    <w:rsid w:val="00934368"/>
    <w:rsid w:val="00934405"/>
    <w:rsid w:val="009349B9"/>
    <w:rsid w:val="0093652A"/>
    <w:rsid w:val="0093675E"/>
    <w:rsid w:val="00936B57"/>
    <w:rsid w:val="009376B0"/>
    <w:rsid w:val="009408BE"/>
    <w:rsid w:val="00940E52"/>
    <w:rsid w:val="00941568"/>
    <w:rsid w:val="0094198D"/>
    <w:rsid w:val="00942444"/>
    <w:rsid w:val="009432BF"/>
    <w:rsid w:val="009439FE"/>
    <w:rsid w:val="00945574"/>
    <w:rsid w:val="0094588E"/>
    <w:rsid w:val="00945D9C"/>
    <w:rsid w:val="00945E7F"/>
    <w:rsid w:val="009464E9"/>
    <w:rsid w:val="0094657D"/>
    <w:rsid w:val="00946CEB"/>
    <w:rsid w:val="00946EBA"/>
    <w:rsid w:val="0094766E"/>
    <w:rsid w:val="00947897"/>
    <w:rsid w:val="009478C4"/>
    <w:rsid w:val="00947E7C"/>
    <w:rsid w:val="009504DF"/>
    <w:rsid w:val="00952031"/>
    <w:rsid w:val="009522FD"/>
    <w:rsid w:val="00952FCA"/>
    <w:rsid w:val="009543B1"/>
    <w:rsid w:val="009544A2"/>
    <w:rsid w:val="00954513"/>
    <w:rsid w:val="00954930"/>
    <w:rsid w:val="00954CCE"/>
    <w:rsid w:val="009557C1"/>
    <w:rsid w:val="0095656A"/>
    <w:rsid w:val="00956DE0"/>
    <w:rsid w:val="009573D3"/>
    <w:rsid w:val="009578C1"/>
    <w:rsid w:val="0096070E"/>
    <w:rsid w:val="00960D6E"/>
    <w:rsid w:val="009615AB"/>
    <w:rsid w:val="00961666"/>
    <w:rsid w:val="00961C46"/>
    <w:rsid w:val="009625F2"/>
    <w:rsid w:val="00962651"/>
    <w:rsid w:val="009628D0"/>
    <w:rsid w:val="00962D2F"/>
    <w:rsid w:val="009640FF"/>
    <w:rsid w:val="00964C68"/>
    <w:rsid w:val="00965A49"/>
    <w:rsid w:val="00965C19"/>
    <w:rsid w:val="00965E46"/>
    <w:rsid w:val="00966071"/>
    <w:rsid w:val="009660A3"/>
    <w:rsid w:val="009669C3"/>
    <w:rsid w:val="00966A99"/>
    <w:rsid w:val="00966BA6"/>
    <w:rsid w:val="00966DE9"/>
    <w:rsid w:val="0096749A"/>
    <w:rsid w:val="009677BE"/>
    <w:rsid w:val="00967BC2"/>
    <w:rsid w:val="00967BFD"/>
    <w:rsid w:val="00967C02"/>
    <w:rsid w:val="00967F9C"/>
    <w:rsid w:val="009717E7"/>
    <w:rsid w:val="00971E4B"/>
    <w:rsid w:val="00972396"/>
    <w:rsid w:val="00972751"/>
    <w:rsid w:val="00972B18"/>
    <w:rsid w:val="00972BC1"/>
    <w:rsid w:val="00973474"/>
    <w:rsid w:val="00973BCD"/>
    <w:rsid w:val="00973FCF"/>
    <w:rsid w:val="009748F8"/>
    <w:rsid w:val="00974B59"/>
    <w:rsid w:val="0097535A"/>
    <w:rsid w:val="00975441"/>
    <w:rsid w:val="00975955"/>
    <w:rsid w:val="00976C6F"/>
    <w:rsid w:val="00977C55"/>
    <w:rsid w:val="00977C58"/>
    <w:rsid w:val="00977DEB"/>
    <w:rsid w:val="00977EF0"/>
    <w:rsid w:val="0098019D"/>
    <w:rsid w:val="00981376"/>
    <w:rsid w:val="009817BD"/>
    <w:rsid w:val="009818CC"/>
    <w:rsid w:val="00981E06"/>
    <w:rsid w:val="0098340B"/>
    <w:rsid w:val="00983855"/>
    <w:rsid w:val="00983E7C"/>
    <w:rsid w:val="00984611"/>
    <w:rsid w:val="0098570F"/>
    <w:rsid w:val="00986830"/>
    <w:rsid w:val="009870D0"/>
    <w:rsid w:val="00987D57"/>
    <w:rsid w:val="0099003D"/>
    <w:rsid w:val="00991427"/>
    <w:rsid w:val="009920A2"/>
    <w:rsid w:val="00992285"/>
    <w:rsid w:val="009924C3"/>
    <w:rsid w:val="00992880"/>
    <w:rsid w:val="00993102"/>
    <w:rsid w:val="0099357F"/>
    <w:rsid w:val="009936C4"/>
    <w:rsid w:val="00994524"/>
    <w:rsid w:val="00994FA2"/>
    <w:rsid w:val="00995C05"/>
    <w:rsid w:val="0099673D"/>
    <w:rsid w:val="00996E9F"/>
    <w:rsid w:val="00997B0B"/>
    <w:rsid w:val="009A03D7"/>
    <w:rsid w:val="009A0957"/>
    <w:rsid w:val="009A0B72"/>
    <w:rsid w:val="009A13D8"/>
    <w:rsid w:val="009A149A"/>
    <w:rsid w:val="009A15C0"/>
    <w:rsid w:val="009A1AA5"/>
    <w:rsid w:val="009A204B"/>
    <w:rsid w:val="009A20C4"/>
    <w:rsid w:val="009A2459"/>
    <w:rsid w:val="009A3380"/>
    <w:rsid w:val="009A33A8"/>
    <w:rsid w:val="009A3451"/>
    <w:rsid w:val="009A3C1F"/>
    <w:rsid w:val="009A446C"/>
    <w:rsid w:val="009A4626"/>
    <w:rsid w:val="009A50AD"/>
    <w:rsid w:val="009A5295"/>
    <w:rsid w:val="009A53D8"/>
    <w:rsid w:val="009A557D"/>
    <w:rsid w:val="009A57C6"/>
    <w:rsid w:val="009A5CAC"/>
    <w:rsid w:val="009A638D"/>
    <w:rsid w:val="009A6391"/>
    <w:rsid w:val="009A6FD7"/>
    <w:rsid w:val="009B0486"/>
    <w:rsid w:val="009B08AD"/>
    <w:rsid w:val="009B0D25"/>
    <w:rsid w:val="009B1079"/>
    <w:rsid w:val="009B18DD"/>
    <w:rsid w:val="009B1B23"/>
    <w:rsid w:val="009B2687"/>
    <w:rsid w:val="009B4321"/>
    <w:rsid w:val="009B4887"/>
    <w:rsid w:val="009B5426"/>
    <w:rsid w:val="009B5601"/>
    <w:rsid w:val="009B63CA"/>
    <w:rsid w:val="009B7D23"/>
    <w:rsid w:val="009B7DFD"/>
    <w:rsid w:val="009C0230"/>
    <w:rsid w:val="009C057C"/>
    <w:rsid w:val="009C063F"/>
    <w:rsid w:val="009C212A"/>
    <w:rsid w:val="009C2401"/>
    <w:rsid w:val="009C2C3A"/>
    <w:rsid w:val="009C32D4"/>
    <w:rsid w:val="009C403E"/>
    <w:rsid w:val="009C4972"/>
    <w:rsid w:val="009C4A39"/>
    <w:rsid w:val="009C4BAD"/>
    <w:rsid w:val="009C4CDB"/>
    <w:rsid w:val="009C5379"/>
    <w:rsid w:val="009C54D2"/>
    <w:rsid w:val="009C572A"/>
    <w:rsid w:val="009C5DBD"/>
    <w:rsid w:val="009C61E6"/>
    <w:rsid w:val="009C68BE"/>
    <w:rsid w:val="009C6F08"/>
    <w:rsid w:val="009C6F10"/>
    <w:rsid w:val="009C7986"/>
    <w:rsid w:val="009C7EB8"/>
    <w:rsid w:val="009D0176"/>
    <w:rsid w:val="009D0809"/>
    <w:rsid w:val="009D122A"/>
    <w:rsid w:val="009D148F"/>
    <w:rsid w:val="009D2D3D"/>
    <w:rsid w:val="009D3D70"/>
    <w:rsid w:val="009D3DA8"/>
    <w:rsid w:val="009D49BC"/>
    <w:rsid w:val="009D4B81"/>
    <w:rsid w:val="009D6403"/>
    <w:rsid w:val="009D75C0"/>
    <w:rsid w:val="009D7992"/>
    <w:rsid w:val="009D7B39"/>
    <w:rsid w:val="009D7D15"/>
    <w:rsid w:val="009D7E53"/>
    <w:rsid w:val="009D7EAB"/>
    <w:rsid w:val="009E0DF0"/>
    <w:rsid w:val="009E1DEB"/>
    <w:rsid w:val="009E2766"/>
    <w:rsid w:val="009E3C05"/>
    <w:rsid w:val="009E3CA9"/>
    <w:rsid w:val="009E4D07"/>
    <w:rsid w:val="009E5F58"/>
    <w:rsid w:val="009E63FF"/>
    <w:rsid w:val="009E693A"/>
    <w:rsid w:val="009E6F7E"/>
    <w:rsid w:val="009E6FBF"/>
    <w:rsid w:val="009E7352"/>
    <w:rsid w:val="009E7A57"/>
    <w:rsid w:val="009F0E49"/>
    <w:rsid w:val="009F12CF"/>
    <w:rsid w:val="009F1720"/>
    <w:rsid w:val="009F1F2F"/>
    <w:rsid w:val="009F21CA"/>
    <w:rsid w:val="009F24B7"/>
    <w:rsid w:val="009F2ECA"/>
    <w:rsid w:val="009F3330"/>
    <w:rsid w:val="009F36DE"/>
    <w:rsid w:val="009F3CB8"/>
    <w:rsid w:val="009F496C"/>
    <w:rsid w:val="009F4DEE"/>
    <w:rsid w:val="009F4F57"/>
    <w:rsid w:val="009F4F6A"/>
    <w:rsid w:val="009F5492"/>
    <w:rsid w:val="009F69F8"/>
    <w:rsid w:val="009F7AA4"/>
    <w:rsid w:val="00A011C1"/>
    <w:rsid w:val="00A012C4"/>
    <w:rsid w:val="00A0184C"/>
    <w:rsid w:val="00A01918"/>
    <w:rsid w:val="00A019D7"/>
    <w:rsid w:val="00A02F89"/>
    <w:rsid w:val="00A03911"/>
    <w:rsid w:val="00A03ED4"/>
    <w:rsid w:val="00A04084"/>
    <w:rsid w:val="00A04850"/>
    <w:rsid w:val="00A052F0"/>
    <w:rsid w:val="00A056E7"/>
    <w:rsid w:val="00A0694C"/>
    <w:rsid w:val="00A06FD8"/>
    <w:rsid w:val="00A071D1"/>
    <w:rsid w:val="00A073A6"/>
    <w:rsid w:val="00A073FE"/>
    <w:rsid w:val="00A1011E"/>
    <w:rsid w:val="00A10745"/>
    <w:rsid w:val="00A1090C"/>
    <w:rsid w:val="00A10CD7"/>
    <w:rsid w:val="00A10D83"/>
    <w:rsid w:val="00A10EBB"/>
    <w:rsid w:val="00A10EFE"/>
    <w:rsid w:val="00A112AD"/>
    <w:rsid w:val="00A1142E"/>
    <w:rsid w:val="00A12A5F"/>
    <w:rsid w:val="00A1437A"/>
    <w:rsid w:val="00A1469A"/>
    <w:rsid w:val="00A14BC4"/>
    <w:rsid w:val="00A14E7D"/>
    <w:rsid w:val="00A150A5"/>
    <w:rsid w:val="00A169B7"/>
    <w:rsid w:val="00A16E36"/>
    <w:rsid w:val="00A176C7"/>
    <w:rsid w:val="00A200F5"/>
    <w:rsid w:val="00A20702"/>
    <w:rsid w:val="00A21237"/>
    <w:rsid w:val="00A21D77"/>
    <w:rsid w:val="00A22BA6"/>
    <w:rsid w:val="00A22D96"/>
    <w:rsid w:val="00A2351D"/>
    <w:rsid w:val="00A23590"/>
    <w:rsid w:val="00A23942"/>
    <w:rsid w:val="00A23962"/>
    <w:rsid w:val="00A239B3"/>
    <w:rsid w:val="00A246DC"/>
    <w:rsid w:val="00A247D7"/>
    <w:rsid w:val="00A24961"/>
    <w:rsid w:val="00A24B10"/>
    <w:rsid w:val="00A24EF1"/>
    <w:rsid w:val="00A25010"/>
    <w:rsid w:val="00A2550A"/>
    <w:rsid w:val="00A25A57"/>
    <w:rsid w:val="00A25F69"/>
    <w:rsid w:val="00A26C4A"/>
    <w:rsid w:val="00A27DD4"/>
    <w:rsid w:val="00A30014"/>
    <w:rsid w:val="00A30E9B"/>
    <w:rsid w:val="00A31032"/>
    <w:rsid w:val="00A327D7"/>
    <w:rsid w:val="00A32B1B"/>
    <w:rsid w:val="00A33121"/>
    <w:rsid w:val="00A3355E"/>
    <w:rsid w:val="00A33DCC"/>
    <w:rsid w:val="00A349F5"/>
    <w:rsid w:val="00A34EE1"/>
    <w:rsid w:val="00A35762"/>
    <w:rsid w:val="00A3641E"/>
    <w:rsid w:val="00A36924"/>
    <w:rsid w:val="00A36EF5"/>
    <w:rsid w:val="00A37D8B"/>
    <w:rsid w:val="00A4023B"/>
    <w:rsid w:val="00A406C0"/>
    <w:rsid w:val="00A4076C"/>
    <w:rsid w:val="00A40F1E"/>
    <w:rsid w:val="00A425F7"/>
    <w:rsid w:val="00A428C3"/>
    <w:rsid w:val="00A43896"/>
    <w:rsid w:val="00A442FE"/>
    <w:rsid w:val="00A4451D"/>
    <w:rsid w:val="00A44E44"/>
    <w:rsid w:val="00A4512D"/>
    <w:rsid w:val="00A452F5"/>
    <w:rsid w:val="00A4624F"/>
    <w:rsid w:val="00A46ECF"/>
    <w:rsid w:val="00A4783A"/>
    <w:rsid w:val="00A47A4A"/>
    <w:rsid w:val="00A50244"/>
    <w:rsid w:val="00A5087C"/>
    <w:rsid w:val="00A50C8D"/>
    <w:rsid w:val="00A52D14"/>
    <w:rsid w:val="00A537AC"/>
    <w:rsid w:val="00A53986"/>
    <w:rsid w:val="00A5409C"/>
    <w:rsid w:val="00A540A1"/>
    <w:rsid w:val="00A546FF"/>
    <w:rsid w:val="00A548B8"/>
    <w:rsid w:val="00A5513C"/>
    <w:rsid w:val="00A55C7A"/>
    <w:rsid w:val="00A56F17"/>
    <w:rsid w:val="00A575AE"/>
    <w:rsid w:val="00A57A2C"/>
    <w:rsid w:val="00A57D68"/>
    <w:rsid w:val="00A57DB3"/>
    <w:rsid w:val="00A606FB"/>
    <w:rsid w:val="00A609F5"/>
    <w:rsid w:val="00A6102E"/>
    <w:rsid w:val="00A618BF"/>
    <w:rsid w:val="00A627D7"/>
    <w:rsid w:val="00A62895"/>
    <w:rsid w:val="00A64C2D"/>
    <w:rsid w:val="00A656C7"/>
    <w:rsid w:val="00A65895"/>
    <w:rsid w:val="00A6680D"/>
    <w:rsid w:val="00A668ED"/>
    <w:rsid w:val="00A675B0"/>
    <w:rsid w:val="00A6776B"/>
    <w:rsid w:val="00A67938"/>
    <w:rsid w:val="00A70232"/>
    <w:rsid w:val="00A7045E"/>
    <w:rsid w:val="00A705AF"/>
    <w:rsid w:val="00A70D39"/>
    <w:rsid w:val="00A71137"/>
    <w:rsid w:val="00A71390"/>
    <w:rsid w:val="00A71697"/>
    <w:rsid w:val="00A71929"/>
    <w:rsid w:val="00A71A02"/>
    <w:rsid w:val="00A72454"/>
    <w:rsid w:val="00A72D1A"/>
    <w:rsid w:val="00A741BF"/>
    <w:rsid w:val="00A74334"/>
    <w:rsid w:val="00A74345"/>
    <w:rsid w:val="00A74CB6"/>
    <w:rsid w:val="00A75320"/>
    <w:rsid w:val="00A7638F"/>
    <w:rsid w:val="00A76460"/>
    <w:rsid w:val="00A76D71"/>
    <w:rsid w:val="00A76DDF"/>
    <w:rsid w:val="00A77696"/>
    <w:rsid w:val="00A777C6"/>
    <w:rsid w:val="00A80289"/>
    <w:rsid w:val="00A80557"/>
    <w:rsid w:val="00A80F38"/>
    <w:rsid w:val="00A819BB"/>
    <w:rsid w:val="00A81D33"/>
    <w:rsid w:val="00A8241E"/>
    <w:rsid w:val="00A82750"/>
    <w:rsid w:val="00A828E1"/>
    <w:rsid w:val="00A8340B"/>
    <w:rsid w:val="00A84269"/>
    <w:rsid w:val="00A84469"/>
    <w:rsid w:val="00A85583"/>
    <w:rsid w:val="00A85627"/>
    <w:rsid w:val="00A856BA"/>
    <w:rsid w:val="00A863FC"/>
    <w:rsid w:val="00A86D0E"/>
    <w:rsid w:val="00A86E33"/>
    <w:rsid w:val="00A878E9"/>
    <w:rsid w:val="00A87CDF"/>
    <w:rsid w:val="00A87F08"/>
    <w:rsid w:val="00A9025A"/>
    <w:rsid w:val="00A90880"/>
    <w:rsid w:val="00A909D0"/>
    <w:rsid w:val="00A91268"/>
    <w:rsid w:val="00A9191E"/>
    <w:rsid w:val="00A91EE1"/>
    <w:rsid w:val="00A92861"/>
    <w:rsid w:val="00A92A10"/>
    <w:rsid w:val="00A93083"/>
    <w:rsid w:val="00A930AE"/>
    <w:rsid w:val="00A933E5"/>
    <w:rsid w:val="00A946CA"/>
    <w:rsid w:val="00A9470E"/>
    <w:rsid w:val="00A9525B"/>
    <w:rsid w:val="00A95C76"/>
    <w:rsid w:val="00A962B3"/>
    <w:rsid w:val="00A963C0"/>
    <w:rsid w:val="00A971DC"/>
    <w:rsid w:val="00AA01F1"/>
    <w:rsid w:val="00AA071B"/>
    <w:rsid w:val="00AA09F6"/>
    <w:rsid w:val="00AA0B9B"/>
    <w:rsid w:val="00AA12FB"/>
    <w:rsid w:val="00AA1308"/>
    <w:rsid w:val="00AA1917"/>
    <w:rsid w:val="00AA1A95"/>
    <w:rsid w:val="00AA260F"/>
    <w:rsid w:val="00AA304A"/>
    <w:rsid w:val="00AA37B1"/>
    <w:rsid w:val="00AA3A87"/>
    <w:rsid w:val="00AA3B05"/>
    <w:rsid w:val="00AA3D48"/>
    <w:rsid w:val="00AA6554"/>
    <w:rsid w:val="00AA6D4D"/>
    <w:rsid w:val="00AA723B"/>
    <w:rsid w:val="00AA74EB"/>
    <w:rsid w:val="00AA77EB"/>
    <w:rsid w:val="00AB087D"/>
    <w:rsid w:val="00AB0E19"/>
    <w:rsid w:val="00AB0FF0"/>
    <w:rsid w:val="00AB184A"/>
    <w:rsid w:val="00AB1D6D"/>
    <w:rsid w:val="00AB1EE7"/>
    <w:rsid w:val="00AB23EA"/>
    <w:rsid w:val="00AB31F5"/>
    <w:rsid w:val="00AB3B30"/>
    <w:rsid w:val="00AB3FAA"/>
    <w:rsid w:val="00AB4B37"/>
    <w:rsid w:val="00AB4CB8"/>
    <w:rsid w:val="00AB573E"/>
    <w:rsid w:val="00AB5762"/>
    <w:rsid w:val="00AB5D3F"/>
    <w:rsid w:val="00AB66A3"/>
    <w:rsid w:val="00AB684F"/>
    <w:rsid w:val="00AB6E4D"/>
    <w:rsid w:val="00AB7AD3"/>
    <w:rsid w:val="00AB7E62"/>
    <w:rsid w:val="00AB7EE4"/>
    <w:rsid w:val="00AC03FF"/>
    <w:rsid w:val="00AC06C9"/>
    <w:rsid w:val="00AC0F15"/>
    <w:rsid w:val="00AC2133"/>
    <w:rsid w:val="00AC2679"/>
    <w:rsid w:val="00AC348E"/>
    <w:rsid w:val="00AC3C0A"/>
    <w:rsid w:val="00AC4AAB"/>
    <w:rsid w:val="00AC4BE4"/>
    <w:rsid w:val="00AC4F9D"/>
    <w:rsid w:val="00AC55D6"/>
    <w:rsid w:val="00AC58C0"/>
    <w:rsid w:val="00AC5DAB"/>
    <w:rsid w:val="00AC61CD"/>
    <w:rsid w:val="00AC6BF9"/>
    <w:rsid w:val="00AC799F"/>
    <w:rsid w:val="00AC79DA"/>
    <w:rsid w:val="00AC7A9B"/>
    <w:rsid w:val="00AD058E"/>
    <w:rsid w:val="00AD05E6"/>
    <w:rsid w:val="00AD0D3F"/>
    <w:rsid w:val="00AD10FC"/>
    <w:rsid w:val="00AD1613"/>
    <w:rsid w:val="00AD1C5A"/>
    <w:rsid w:val="00AD2E70"/>
    <w:rsid w:val="00AD3B1D"/>
    <w:rsid w:val="00AD3C1D"/>
    <w:rsid w:val="00AD3D5B"/>
    <w:rsid w:val="00AD47E8"/>
    <w:rsid w:val="00AD4D22"/>
    <w:rsid w:val="00AD57C2"/>
    <w:rsid w:val="00AD61C0"/>
    <w:rsid w:val="00AD6697"/>
    <w:rsid w:val="00AD6952"/>
    <w:rsid w:val="00AD6C3A"/>
    <w:rsid w:val="00AD6DA3"/>
    <w:rsid w:val="00AD72D7"/>
    <w:rsid w:val="00AD7FAA"/>
    <w:rsid w:val="00AE0022"/>
    <w:rsid w:val="00AE11CE"/>
    <w:rsid w:val="00AE12A0"/>
    <w:rsid w:val="00AE1528"/>
    <w:rsid w:val="00AE1D7D"/>
    <w:rsid w:val="00AE20F3"/>
    <w:rsid w:val="00AE2443"/>
    <w:rsid w:val="00AE250E"/>
    <w:rsid w:val="00AE2A8B"/>
    <w:rsid w:val="00AE2D5F"/>
    <w:rsid w:val="00AE3F64"/>
    <w:rsid w:val="00AE43F5"/>
    <w:rsid w:val="00AE4F98"/>
    <w:rsid w:val="00AE557C"/>
    <w:rsid w:val="00AE5674"/>
    <w:rsid w:val="00AE5C9C"/>
    <w:rsid w:val="00AF0424"/>
    <w:rsid w:val="00AF049A"/>
    <w:rsid w:val="00AF08FF"/>
    <w:rsid w:val="00AF115C"/>
    <w:rsid w:val="00AF14A5"/>
    <w:rsid w:val="00AF1BD0"/>
    <w:rsid w:val="00AF1DEA"/>
    <w:rsid w:val="00AF1EEA"/>
    <w:rsid w:val="00AF1EF3"/>
    <w:rsid w:val="00AF201C"/>
    <w:rsid w:val="00AF27A7"/>
    <w:rsid w:val="00AF2900"/>
    <w:rsid w:val="00AF2A7B"/>
    <w:rsid w:val="00AF45BD"/>
    <w:rsid w:val="00AF47C2"/>
    <w:rsid w:val="00AF49A3"/>
    <w:rsid w:val="00AF4C06"/>
    <w:rsid w:val="00AF4E11"/>
    <w:rsid w:val="00AF51E6"/>
    <w:rsid w:val="00AF5582"/>
    <w:rsid w:val="00AF595D"/>
    <w:rsid w:val="00AF5F1B"/>
    <w:rsid w:val="00AF6441"/>
    <w:rsid w:val="00AF64E3"/>
    <w:rsid w:val="00AF6C60"/>
    <w:rsid w:val="00AF7386"/>
    <w:rsid w:val="00AF7934"/>
    <w:rsid w:val="00AF7C94"/>
    <w:rsid w:val="00B004A4"/>
    <w:rsid w:val="00B00B81"/>
    <w:rsid w:val="00B012D3"/>
    <w:rsid w:val="00B012F9"/>
    <w:rsid w:val="00B01BB1"/>
    <w:rsid w:val="00B01E45"/>
    <w:rsid w:val="00B0234F"/>
    <w:rsid w:val="00B02765"/>
    <w:rsid w:val="00B030ED"/>
    <w:rsid w:val="00B04101"/>
    <w:rsid w:val="00B04580"/>
    <w:rsid w:val="00B04B09"/>
    <w:rsid w:val="00B0529A"/>
    <w:rsid w:val="00B0554B"/>
    <w:rsid w:val="00B05710"/>
    <w:rsid w:val="00B06359"/>
    <w:rsid w:val="00B0645D"/>
    <w:rsid w:val="00B0696C"/>
    <w:rsid w:val="00B06FE1"/>
    <w:rsid w:val="00B079D9"/>
    <w:rsid w:val="00B10723"/>
    <w:rsid w:val="00B11387"/>
    <w:rsid w:val="00B12511"/>
    <w:rsid w:val="00B13DEB"/>
    <w:rsid w:val="00B14482"/>
    <w:rsid w:val="00B14923"/>
    <w:rsid w:val="00B14929"/>
    <w:rsid w:val="00B14BFC"/>
    <w:rsid w:val="00B15190"/>
    <w:rsid w:val="00B15543"/>
    <w:rsid w:val="00B1566D"/>
    <w:rsid w:val="00B1597F"/>
    <w:rsid w:val="00B15C42"/>
    <w:rsid w:val="00B15D4A"/>
    <w:rsid w:val="00B15E0B"/>
    <w:rsid w:val="00B16078"/>
    <w:rsid w:val="00B1626B"/>
    <w:rsid w:val="00B165E9"/>
    <w:rsid w:val="00B16A51"/>
    <w:rsid w:val="00B174CE"/>
    <w:rsid w:val="00B1754D"/>
    <w:rsid w:val="00B178E3"/>
    <w:rsid w:val="00B17B4B"/>
    <w:rsid w:val="00B2049F"/>
    <w:rsid w:val="00B20A17"/>
    <w:rsid w:val="00B21D10"/>
    <w:rsid w:val="00B21FF4"/>
    <w:rsid w:val="00B22813"/>
    <w:rsid w:val="00B22C01"/>
    <w:rsid w:val="00B22FA4"/>
    <w:rsid w:val="00B236E0"/>
    <w:rsid w:val="00B238EC"/>
    <w:rsid w:val="00B248B8"/>
    <w:rsid w:val="00B24C46"/>
    <w:rsid w:val="00B25139"/>
    <w:rsid w:val="00B25440"/>
    <w:rsid w:val="00B25FF3"/>
    <w:rsid w:val="00B26101"/>
    <w:rsid w:val="00B261E8"/>
    <w:rsid w:val="00B26248"/>
    <w:rsid w:val="00B26522"/>
    <w:rsid w:val="00B2798B"/>
    <w:rsid w:val="00B3009B"/>
    <w:rsid w:val="00B30A54"/>
    <w:rsid w:val="00B30D4B"/>
    <w:rsid w:val="00B313AC"/>
    <w:rsid w:val="00B31C73"/>
    <w:rsid w:val="00B32222"/>
    <w:rsid w:val="00B330A1"/>
    <w:rsid w:val="00B33BD6"/>
    <w:rsid w:val="00B33BE9"/>
    <w:rsid w:val="00B34AD4"/>
    <w:rsid w:val="00B35962"/>
    <w:rsid w:val="00B35C4E"/>
    <w:rsid w:val="00B35F6C"/>
    <w:rsid w:val="00B3618D"/>
    <w:rsid w:val="00B36233"/>
    <w:rsid w:val="00B36344"/>
    <w:rsid w:val="00B366FA"/>
    <w:rsid w:val="00B36E80"/>
    <w:rsid w:val="00B37DBD"/>
    <w:rsid w:val="00B4042D"/>
    <w:rsid w:val="00B405F2"/>
    <w:rsid w:val="00B42194"/>
    <w:rsid w:val="00B42333"/>
    <w:rsid w:val="00B424E6"/>
    <w:rsid w:val="00B4284E"/>
    <w:rsid w:val="00B42851"/>
    <w:rsid w:val="00B42BD6"/>
    <w:rsid w:val="00B43639"/>
    <w:rsid w:val="00B43F1F"/>
    <w:rsid w:val="00B43F68"/>
    <w:rsid w:val="00B440AD"/>
    <w:rsid w:val="00B44565"/>
    <w:rsid w:val="00B44B53"/>
    <w:rsid w:val="00B4515B"/>
    <w:rsid w:val="00B45ABE"/>
    <w:rsid w:val="00B45AC7"/>
    <w:rsid w:val="00B45D27"/>
    <w:rsid w:val="00B46A82"/>
    <w:rsid w:val="00B47397"/>
    <w:rsid w:val="00B47E8A"/>
    <w:rsid w:val="00B47F1E"/>
    <w:rsid w:val="00B502EA"/>
    <w:rsid w:val="00B51A17"/>
    <w:rsid w:val="00B5214D"/>
    <w:rsid w:val="00B527D4"/>
    <w:rsid w:val="00B529C5"/>
    <w:rsid w:val="00B534D2"/>
    <w:rsid w:val="00B536F2"/>
    <w:rsid w:val="00B5372F"/>
    <w:rsid w:val="00B5374E"/>
    <w:rsid w:val="00B55807"/>
    <w:rsid w:val="00B5598A"/>
    <w:rsid w:val="00B55A70"/>
    <w:rsid w:val="00B57104"/>
    <w:rsid w:val="00B57750"/>
    <w:rsid w:val="00B57FEB"/>
    <w:rsid w:val="00B601EE"/>
    <w:rsid w:val="00B61129"/>
    <w:rsid w:val="00B611EC"/>
    <w:rsid w:val="00B61634"/>
    <w:rsid w:val="00B61B37"/>
    <w:rsid w:val="00B61DF5"/>
    <w:rsid w:val="00B62E52"/>
    <w:rsid w:val="00B632F3"/>
    <w:rsid w:val="00B63B8F"/>
    <w:rsid w:val="00B63D70"/>
    <w:rsid w:val="00B64109"/>
    <w:rsid w:val="00B64797"/>
    <w:rsid w:val="00B649D7"/>
    <w:rsid w:val="00B64CFA"/>
    <w:rsid w:val="00B64ED2"/>
    <w:rsid w:val="00B653EB"/>
    <w:rsid w:val="00B66983"/>
    <w:rsid w:val="00B66BEA"/>
    <w:rsid w:val="00B66DCF"/>
    <w:rsid w:val="00B67E7F"/>
    <w:rsid w:val="00B705FD"/>
    <w:rsid w:val="00B70EED"/>
    <w:rsid w:val="00B71130"/>
    <w:rsid w:val="00B720E3"/>
    <w:rsid w:val="00B7256A"/>
    <w:rsid w:val="00B72A80"/>
    <w:rsid w:val="00B72E9E"/>
    <w:rsid w:val="00B7303C"/>
    <w:rsid w:val="00B7341C"/>
    <w:rsid w:val="00B736D4"/>
    <w:rsid w:val="00B74386"/>
    <w:rsid w:val="00B74B69"/>
    <w:rsid w:val="00B74E08"/>
    <w:rsid w:val="00B750FB"/>
    <w:rsid w:val="00B75249"/>
    <w:rsid w:val="00B75A04"/>
    <w:rsid w:val="00B75D61"/>
    <w:rsid w:val="00B7628A"/>
    <w:rsid w:val="00B7636C"/>
    <w:rsid w:val="00B7702B"/>
    <w:rsid w:val="00B800A7"/>
    <w:rsid w:val="00B80620"/>
    <w:rsid w:val="00B80818"/>
    <w:rsid w:val="00B80892"/>
    <w:rsid w:val="00B80BF2"/>
    <w:rsid w:val="00B81298"/>
    <w:rsid w:val="00B81859"/>
    <w:rsid w:val="00B8229E"/>
    <w:rsid w:val="00B82DCE"/>
    <w:rsid w:val="00B837F7"/>
    <w:rsid w:val="00B839B2"/>
    <w:rsid w:val="00B8407A"/>
    <w:rsid w:val="00B84193"/>
    <w:rsid w:val="00B84376"/>
    <w:rsid w:val="00B843AF"/>
    <w:rsid w:val="00B84455"/>
    <w:rsid w:val="00B85242"/>
    <w:rsid w:val="00B85528"/>
    <w:rsid w:val="00B858E8"/>
    <w:rsid w:val="00B8635A"/>
    <w:rsid w:val="00B86859"/>
    <w:rsid w:val="00B87517"/>
    <w:rsid w:val="00B87988"/>
    <w:rsid w:val="00B9028F"/>
    <w:rsid w:val="00B91B07"/>
    <w:rsid w:val="00B91CC0"/>
    <w:rsid w:val="00B933B8"/>
    <w:rsid w:val="00B93595"/>
    <w:rsid w:val="00B939BF"/>
    <w:rsid w:val="00B9400F"/>
    <w:rsid w:val="00B94252"/>
    <w:rsid w:val="00B94942"/>
    <w:rsid w:val="00B94972"/>
    <w:rsid w:val="00B9522B"/>
    <w:rsid w:val="00B95449"/>
    <w:rsid w:val="00B95487"/>
    <w:rsid w:val="00B95904"/>
    <w:rsid w:val="00B95A2F"/>
    <w:rsid w:val="00B95D11"/>
    <w:rsid w:val="00B96007"/>
    <w:rsid w:val="00B96B4A"/>
    <w:rsid w:val="00B96D19"/>
    <w:rsid w:val="00B96E1C"/>
    <w:rsid w:val="00B9715A"/>
    <w:rsid w:val="00B975CD"/>
    <w:rsid w:val="00BA0ADC"/>
    <w:rsid w:val="00BA0D97"/>
    <w:rsid w:val="00BA104E"/>
    <w:rsid w:val="00BA14BE"/>
    <w:rsid w:val="00BA25EE"/>
    <w:rsid w:val="00BA2732"/>
    <w:rsid w:val="00BA275B"/>
    <w:rsid w:val="00BA293D"/>
    <w:rsid w:val="00BA29E1"/>
    <w:rsid w:val="00BA421F"/>
    <w:rsid w:val="00BA49BC"/>
    <w:rsid w:val="00BA56B7"/>
    <w:rsid w:val="00BA5854"/>
    <w:rsid w:val="00BA602B"/>
    <w:rsid w:val="00BA640D"/>
    <w:rsid w:val="00BA66CA"/>
    <w:rsid w:val="00BA7A1E"/>
    <w:rsid w:val="00BA7BDE"/>
    <w:rsid w:val="00BA7CA9"/>
    <w:rsid w:val="00BA7DF5"/>
    <w:rsid w:val="00BA7F48"/>
    <w:rsid w:val="00BB0466"/>
    <w:rsid w:val="00BB0722"/>
    <w:rsid w:val="00BB07F4"/>
    <w:rsid w:val="00BB1CB8"/>
    <w:rsid w:val="00BB282C"/>
    <w:rsid w:val="00BB2B41"/>
    <w:rsid w:val="00BB2F6C"/>
    <w:rsid w:val="00BB32EC"/>
    <w:rsid w:val="00BB3875"/>
    <w:rsid w:val="00BB3F3F"/>
    <w:rsid w:val="00BB3F57"/>
    <w:rsid w:val="00BB4476"/>
    <w:rsid w:val="00BB4F37"/>
    <w:rsid w:val="00BB5798"/>
    <w:rsid w:val="00BB5860"/>
    <w:rsid w:val="00BB599B"/>
    <w:rsid w:val="00BB5DD4"/>
    <w:rsid w:val="00BB68A8"/>
    <w:rsid w:val="00BB6AAD"/>
    <w:rsid w:val="00BB7971"/>
    <w:rsid w:val="00BC0DF8"/>
    <w:rsid w:val="00BC127F"/>
    <w:rsid w:val="00BC1B3A"/>
    <w:rsid w:val="00BC1D5B"/>
    <w:rsid w:val="00BC33F9"/>
    <w:rsid w:val="00BC478A"/>
    <w:rsid w:val="00BC4A19"/>
    <w:rsid w:val="00BC4E6D"/>
    <w:rsid w:val="00BC4F09"/>
    <w:rsid w:val="00BC50B6"/>
    <w:rsid w:val="00BC6ACD"/>
    <w:rsid w:val="00BC6C3C"/>
    <w:rsid w:val="00BC7C00"/>
    <w:rsid w:val="00BD0617"/>
    <w:rsid w:val="00BD09BF"/>
    <w:rsid w:val="00BD1A8E"/>
    <w:rsid w:val="00BD20A3"/>
    <w:rsid w:val="00BD27D5"/>
    <w:rsid w:val="00BD2E9B"/>
    <w:rsid w:val="00BD3034"/>
    <w:rsid w:val="00BD3B59"/>
    <w:rsid w:val="00BD46C0"/>
    <w:rsid w:val="00BD4725"/>
    <w:rsid w:val="00BD4A98"/>
    <w:rsid w:val="00BD5DDB"/>
    <w:rsid w:val="00BD5F6B"/>
    <w:rsid w:val="00BD65C1"/>
    <w:rsid w:val="00BD6F4C"/>
    <w:rsid w:val="00BD6FB0"/>
    <w:rsid w:val="00BD7249"/>
    <w:rsid w:val="00BE06D2"/>
    <w:rsid w:val="00BE106E"/>
    <w:rsid w:val="00BE1400"/>
    <w:rsid w:val="00BE1451"/>
    <w:rsid w:val="00BE1470"/>
    <w:rsid w:val="00BE1542"/>
    <w:rsid w:val="00BE1BB2"/>
    <w:rsid w:val="00BE233D"/>
    <w:rsid w:val="00BE2525"/>
    <w:rsid w:val="00BE28FB"/>
    <w:rsid w:val="00BE2B67"/>
    <w:rsid w:val="00BE2B7F"/>
    <w:rsid w:val="00BE2B8F"/>
    <w:rsid w:val="00BE2F5D"/>
    <w:rsid w:val="00BE38A6"/>
    <w:rsid w:val="00BE3C85"/>
    <w:rsid w:val="00BE4F5E"/>
    <w:rsid w:val="00BE5922"/>
    <w:rsid w:val="00BE5D41"/>
    <w:rsid w:val="00BE5F82"/>
    <w:rsid w:val="00BE6D75"/>
    <w:rsid w:val="00BE7ACC"/>
    <w:rsid w:val="00BF140A"/>
    <w:rsid w:val="00BF1CC9"/>
    <w:rsid w:val="00BF21E1"/>
    <w:rsid w:val="00BF262F"/>
    <w:rsid w:val="00BF2A09"/>
    <w:rsid w:val="00BF35DD"/>
    <w:rsid w:val="00BF3607"/>
    <w:rsid w:val="00BF3744"/>
    <w:rsid w:val="00BF377E"/>
    <w:rsid w:val="00BF3BE3"/>
    <w:rsid w:val="00BF3D98"/>
    <w:rsid w:val="00BF4CEF"/>
    <w:rsid w:val="00BF5F6E"/>
    <w:rsid w:val="00BF640F"/>
    <w:rsid w:val="00BF686E"/>
    <w:rsid w:val="00BF709E"/>
    <w:rsid w:val="00BF75EC"/>
    <w:rsid w:val="00BF7AD7"/>
    <w:rsid w:val="00BF7ED1"/>
    <w:rsid w:val="00C00930"/>
    <w:rsid w:val="00C01C7F"/>
    <w:rsid w:val="00C01CBF"/>
    <w:rsid w:val="00C025A1"/>
    <w:rsid w:val="00C04493"/>
    <w:rsid w:val="00C049A3"/>
    <w:rsid w:val="00C04ED8"/>
    <w:rsid w:val="00C05205"/>
    <w:rsid w:val="00C053B2"/>
    <w:rsid w:val="00C060AD"/>
    <w:rsid w:val="00C0639A"/>
    <w:rsid w:val="00C0670D"/>
    <w:rsid w:val="00C06C1F"/>
    <w:rsid w:val="00C06FCD"/>
    <w:rsid w:val="00C07313"/>
    <w:rsid w:val="00C107EF"/>
    <w:rsid w:val="00C10864"/>
    <w:rsid w:val="00C1099D"/>
    <w:rsid w:val="00C10F0D"/>
    <w:rsid w:val="00C10F12"/>
    <w:rsid w:val="00C113BF"/>
    <w:rsid w:val="00C11415"/>
    <w:rsid w:val="00C11449"/>
    <w:rsid w:val="00C116AC"/>
    <w:rsid w:val="00C11DF6"/>
    <w:rsid w:val="00C12837"/>
    <w:rsid w:val="00C13C56"/>
    <w:rsid w:val="00C144D3"/>
    <w:rsid w:val="00C14AC8"/>
    <w:rsid w:val="00C14E06"/>
    <w:rsid w:val="00C156D1"/>
    <w:rsid w:val="00C15D8A"/>
    <w:rsid w:val="00C16621"/>
    <w:rsid w:val="00C17861"/>
    <w:rsid w:val="00C179AC"/>
    <w:rsid w:val="00C17E73"/>
    <w:rsid w:val="00C17F8F"/>
    <w:rsid w:val="00C17FE7"/>
    <w:rsid w:val="00C20209"/>
    <w:rsid w:val="00C20B86"/>
    <w:rsid w:val="00C2176E"/>
    <w:rsid w:val="00C21B4E"/>
    <w:rsid w:val="00C22EE3"/>
    <w:rsid w:val="00C23430"/>
    <w:rsid w:val="00C25305"/>
    <w:rsid w:val="00C25805"/>
    <w:rsid w:val="00C2583B"/>
    <w:rsid w:val="00C26481"/>
    <w:rsid w:val="00C26FA1"/>
    <w:rsid w:val="00C27885"/>
    <w:rsid w:val="00C279D6"/>
    <w:rsid w:val="00C27A68"/>
    <w:rsid w:val="00C27D67"/>
    <w:rsid w:val="00C27EE7"/>
    <w:rsid w:val="00C3010B"/>
    <w:rsid w:val="00C30B33"/>
    <w:rsid w:val="00C31591"/>
    <w:rsid w:val="00C31669"/>
    <w:rsid w:val="00C32B48"/>
    <w:rsid w:val="00C33228"/>
    <w:rsid w:val="00C33F6F"/>
    <w:rsid w:val="00C3401A"/>
    <w:rsid w:val="00C34B9C"/>
    <w:rsid w:val="00C35ADE"/>
    <w:rsid w:val="00C35B73"/>
    <w:rsid w:val="00C365FE"/>
    <w:rsid w:val="00C402A8"/>
    <w:rsid w:val="00C41110"/>
    <w:rsid w:val="00C41C52"/>
    <w:rsid w:val="00C41C87"/>
    <w:rsid w:val="00C4259F"/>
    <w:rsid w:val="00C42A90"/>
    <w:rsid w:val="00C42C6E"/>
    <w:rsid w:val="00C4303F"/>
    <w:rsid w:val="00C437D3"/>
    <w:rsid w:val="00C43A72"/>
    <w:rsid w:val="00C43B66"/>
    <w:rsid w:val="00C43E71"/>
    <w:rsid w:val="00C444CF"/>
    <w:rsid w:val="00C44BD4"/>
    <w:rsid w:val="00C44C77"/>
    <w:rsid w:val="00C4554E"/>
    <w:rsid w:val="00C4631F"/>
    <w:rsid w:val="00C46DF3"/>
    <w:rsid w:val="00C4761F"/>
    <w:rsid w:val="00C5034C"/>
    <w:rsid w:val="00C506D8"/>
    <w:rsid w:val="00C50BE7"/>
    <w:rsid w:val="00C50E16"/>
    <w:rsid w:val="00C514E8"/>
    <w:rsid w:val="00C525E7"/>
    <w:rsid w:val="00C52920"/>
    <w:rsid w:val="00C54669"/>
    <w:rsid w:val="00C54BA5"/>
    <w:rsid w:val="00C55048"/>
    <w:rsid w:val="00C55258"/>
    <w:rsid w:val="00C55523"/>
    <w:rsid w:val="00C55B04"/>
    <w:rsid w:val="00C55E67"/>
    <w:rsid w:val="00C56408"/>
    <w:rsid w:val="00C56C34"/>
    <w:rsid w:val="00C56D74"/>
    <w:rsid w:val="00C574F1"/>
    <w:rsid w:val="00C575E1"/>
    <w:rsid w:val="00C57CBF"/>
    <w:rsid w:val="00C57DD7"/>
    <w:rsid w:val="00C610BD"/>
    <w:rsid w:val="00C61514"/>
    <w:rsid w:val="00C62203"/>
    <w:rsid w:val="00C624EC"/>
    <w:rsid w:val="00C62577"/>
    <w:rsid w:val="00C6285C"/>
    <w:rsid w:val="00C63EAE"/>
    <w:rsid w:val="00C65047"/>
    <w:rsid w:val="00C650E8"/>
    <w:rsid w:val="00C650EB"/>
    <w:rsid w:val="00C6525B"/>
    <w:rsid w:val="00C6635D"/>
    <w:rsid w:val="00C6648D"/>
    <w:rsid w:val="00C66940"/>
    <w:rsid w:val="00C67253"/>
    <w:rsid w:val="00C6739A"/>
    <w:rsid w:val="00C673F0"/>
    <w:rsid w:val="00C70984"/>
    <w:rsid w:val="00C70E7E"/>
    <w:rsid w:val="00C71DB0"/>
    <w:rsid w:val="00C71E7E"/>
    <w:rsid w:val="00C721C8"/>
    <w:rsid w:val="00C72F5C"/>
    <w:rsid w:val="00C7311E"/>
    <w:rsid w:val="00C73261"/>
    <w:rsid w:val="00C733C1"/>
    <w:rsid w:val="00C73954"/>
    <w:rsid w:val="00C74360"/>
    <w:rsid w:val="00C74D24"/>
    <w:rsid w:val="00C75227"/>
    <w:rsid w:val="00C755BC"/>
    <w:rsid w:val="00C75DBF"/>
    <w:rsid w:val="00C76353"/>
    <w:rsid w:val="00C7645E"/>
    <w:rsid w:val="00C7699A"/>
    <w:rsid w:val="00C76E2D"/>
    <w:rsid w:val="00C76F7A"/>
    <w:rsid w:val="00C7768B"/>
    <w:rsid w:val="00C77D81"/>
    <w:rsid w:val="00C80860"/>
    <w:rsid w:val="00C809B1"/>
    <w:rsid w:val="00C80F24"/>
    <w:rsid w:val="00C814AE"/>
    <w:rsid w:val="00C82EEB"/>
    <w:rsid w:val="00C82FD6"/>
    <w:rsid w:val="00C83451"/>
    <w:rsid w:val="00C8354D"/>
    <w:rsid w:val="00C8385E"/>
    <w:rsid w:val="00C8403F"/>
    <w:rsid w:val="00C8490E"/>
    <w:rsid w:val="00C84E53"/>
    <w:rsid w:val="00C8520E"/>
    <w:rsid w:val="00C8614E"/>
    <w:rsid w:val="00C86207"/>
    <w:rsid w:val="00C864CA"/>
    <w:rsid w:val="00C87C29"/>
    <w:rsid w:val="00C87D74"/>
    <w:rsid w:val="00C90203"/>
    <w:rsid w:val="00C9064F"/>
    <w:rsid w:val="00C90931"/>
    <w:rsid w:val="00C90AD2"/>
    <w:rsid w:val="00C91262"/>
    <w:rsid w:val="00C91674"/>
    <w:rsid w:val="00C927A5"/>
    <w:rsid w:val="00C92BE1"/>
    <w:rsid w:val="00C92D6A"/>
    <w:rsid w:val="00C92E60"/>
    <w:rsid w:val="00C936C1"/>
    <w:rsid w:val="00C9426B"/>
    <w:rsid w:val="00C9511A"/>
    <w:rsid w:val="00C9546C"/>
    <w:rsid w:val="00C9582E"/>
    <w:rsid w:val="00C96EE7"/>
    <w:rsid w:val="00C971DC"/>
    <w:rsid w:val="00CA01BD"/>
    <w:rsid w:val="00CA0B0D"/>
    <w:rsid w:val="00CA0D0A"/>
    <w:rsid w:val="00CA0E2D"/>
    <w:rsid w:val="00CA16B7"/>
    <w:rsid w:val="00CA1D9A"/>
    <w:rsid w:val="00CA1E85"/>
    <w:rsid w:val="00CA212A"/>
    <w:rsid w:val="00CA361E"/>
    <w:rsid w:val="00CA4BE3"/>
    <w:rsid w:val="00CA5689"/>
    <w:rsid w:val="00CA59E1"/>
    <w:rsid w:val="00CA5B24"/>
    <w:rsid w:val="00CA5F5B"/>
    <w:rsid w:val="00CA62AE"/>
    <w:rsid w:val="00CA68DB"/>
    <w:rsid w:val="00CA72EE"/>
    <w:rsid w:val="00CA7BCE"/>
    <w:rsid w:val="00CA7C60"/>
    <w:rsid w:val="00CB0A1D"/>
    <w:rsid w:val="00CB0BC8"/>
    <w:rsid w:val="00CB0C47"/>
    <w:rsid w:val="00CB106D"/>
    <w:rsid w:val="00CB1A56"/>
    <w:rsid w:val="00CB1D35"/>
    <w:rsid w:val="00CB2486"/>
    <w:rsid w:val="00CB286E"/>
    <w:rsid w:val="00CB378B"/>
    <w:rsid w:val="00CB3929"/>
    <w:rsid w:val="00CB3993"/>
    <w:rsid w:val="00CB524A"/>
    <w:rsid w:val="00CB5A25"/>
    <w:rsid w:val="00CB5B1A"/>
    <w:rsid w:val="00CB609D"/>
    <w:rsid w:val="00CB6134"/>
    <w:rsid w:val="00CB6788"/>
    <w:rsid w:val="00CB6E30"/>
    <w:rsid w:val="00CB7A09"/>
    <w:rsid w:val="00CB7CFD"/>
    <w:rsid w:val="00CC09BC"/>
    <w:rsid w:val="00CC0F2B"/>
    <w:rsid w:val="00CC1207"/>
    <w:rsid w:val="00CC14D7"/>
    <w:rsid w:val="00CC1DF2"/>
    <w:rsid w:val="00CC220B"/>
    <w:rsid w:val="00CC2BE2"/>
    <w:rsid w:val="00CC3245"/>
    <w:rsid w:val="00CC391C"/>
    <w:rsid w:val="00CC393F"/>
    <w:rsid w:val="00CC40FC"/>
    <w:rsid w:val="00CC4D02"/>
    <w:rsid w:val="00CC4F1D"/>
    <w:rsid w:val="00CC508C"/>
    <w:rsid w:val="00CC5C43"/>
    <w:rsid w:val="00CC606A"/>
    <w:rsid w:val="00CD02AE"/>
    <w:rsid w:val="00CD0A48"/>
    <w:rsid w:val="00CD138E"/>
    <w:rsid w:val="00CD15BF"/>
    <w:rsid w:val="00CD1E90"/>
    <w:rsid w:val="00CD202E"/>
    <w:rsid w:val="00CD2A4F"/>
    <w:rsid w:val="00CD4823"/>
    <w:rsid w:val="00CD482E"/>
    <w:rsid w:val="00CD521E"/>
    <w:rsid w:val="00CD5300"/>
    <w:rsid w:val="00CD5C3A"/>
    <w:rsid w:val="00CD6F15"/>
    <w:rsid w:val="00CD7276"/>
    <w:rsid w:val="00CD72C2"/>
    <w:rsid w:val="00CD7AB6"/>
    <w:rsid w:val="00CE0124"/>
    <w:rsid w:val="00CE03CA"/>
    <w:rsid w:val="00CE0E06"/>
    <w:rsid w:val="00CE125F"/>
    <w:rsid w:val="00CE1BED"/>
    <w:rsid w:val="00CE1F69"/>
    <w:rsid w:val="00CE22F1"/>
    <w:rsid w:val="00CE27CD"/>
    <w:rsid w:val="00CE2C4C"/>
    <w:rsid w:val="00CE32F1"/>
    <w:rsid w:val="00CE40F5"/>
    <w:rsid w:val="00CE4905"/>
    <w:rsid w:val="00CE4F30"/>
    <w:rsid w:val="00CE50F2"/>
    <w:rsid w:val="00CE60D3"/>
    <w:rsid w:val="00CE6502"/>
    <w:rsid w:val="00CE7208"/>
    <w:rsid w:val="00CF05F1"/>
    <w:rsid w:val="00CF097D"/>
    <w:rsid w:val="00CF0A21"/>
    <w:rsid w:val="00CF0E2E"/>
    <w:rsid w:val="00CF26C1"/>
    <w:rsid w:val="00CF2C1D"/>
    <w:rsid w:val="00CF310D"/>
    <w:rsid w:val="00CF3159"/>
    <w:rsid w:val="00CF32A2"/>
    <w:rsid w:val="00CF32CE"/>
    <w:rsid w:val="00CF34C9"/>
    <w:rsid w:val="00CF351A"/>
    <w:rsid w:val="00CF41EA"/>
    <w:rsid w:val="00CF5A4A"/>
    <w:rsid w:val="00CF5AA4"/>
    <w:rsid w:val="00CF5B38"/>
    <w:rsid w:val="00CF5C86"/>
    <w:rsid w:val="00CF7D3C"/>
    <w:rsid w:val="00D026FA"/>
    <w:rsid w:val="00D0295C"/>
    <w:rsid w:val="00D02AED"/>
    <w:rsid w:val="00D03161"/>
    <w:rsid w:val="00D0338A"/>
    <w:rsid w:val="00D03933"/>
    <w:rsid w:val="00D03CB0"/>
    <w:rsid w:val="00D03E00"/>
    <w:rsid w:val="00D0404F"/>
    <w:rsid w:val="00D045DC"/>
    <w:rsid w:val="00D04B7F"/>
    <w:rsid w:val="00D0581B"/>
    <w:rsid w:val="00D05944"/>
    <w:rsid w:val="00D0636D"/>
    <w:rsid w:val="00D063FC"/>
    <w:rsid w:val="00D0690C"/>
    <w:rsid w:val="00D0751F"/>
    <w:rsid w:val="00D07584"/>
    <w:rsid w:val="00D07FFC"/>
    <w:rsid w:val="00D10C57"/>
    <w:rsid w:val="00D114A2"/>
    <w:rsid w:val="00D117E0"/>
    <w:rsid w:val="00D11C24"/>
    <w:rsid w:val="00D11CAF"/>
    <w:rsid w:val="00D127D1"/>
    <w:rsid w:val="00D128A1"/>
    <w:rsid w:val="00D13614"/>
    <w:rsid w:val="00D13F02"/>
    <w:rsid w:val="00D14104"/>
    <w:rsid w:val="00D1417B"/>
    <w:rsid w:val="00D141F7"/>
    <w:rsid w:val="00D1424D"/>
    <w:rsid w:val="00D147EB"/>
    <w:rsid w:val="00D14B8A"/>
    <w:rsid w:val="00D14CA4"/>
    <w:rsid w:val="00D14D69"/>
    <w:rsid w:val="00D159C3"/>
    <w:rsid w:val="00D15C03"/>
    <w:rsid w:val="00D15EA8"/>
    <w:rsid w:val="00D16137"/>
    <w:rsid w:val="00D165F4"/>
    <w:rsid w:val="00D168F9"/>
    <w:rsid w:val="00D16B3A"/>
    <w:rsid w:val="00D16F3D"/>
    <w:rsid w:val="00D17953"/>
    <w:rsid w:val="00D17A21"/>
    <w:rsid w:val="00D2071D"/>
    <w:rsid w:val="00D20F82"/>
    <w:rsid w:val="00D21748"/>
    <w:rsid w:val="00D220AE"/>
    <w:rsid w:val="00D22FB3"/>
    <w:rsid w:val="00D23964"/>
    <w:rsid w:val="00D25108"/>
    <w:rsid w:val="00D2589C"/>
    <w:rsid w:val="00D2646A"/>
    <w:rsid w:val="00D268B3"/>
    <w:rsid w:val="00D2697E"/>
    <w:rsid w:val="00D30B27"/>
    <w:rsid w:val="00D30DC6"/>
    <w:rsid w:val="00D30E41"/>
    <w:rsid w:val="00D31763"/>
    <w:rsid w:val="00D31A40"/>
    <w:rsid w:val="00D31C93"/>
    <w:rsid w:val="00D32059"/>
    <w:rsid w:val="00D3266D"/>
    <w:rsid w:val="00D32770"/>
    <w:rsid w:val="00D32798"/>
    <w:rsid w:val="00D3295F"/>
    <w:rsid w:val="00D32BE9"/>
    <w:rsid w:val="00D32D4C"/>
    <w:rsid w:val="00D33C54"/>
    <w:rsid w:val="00D33ED3"/>
    <w:rsid w:val="00D34667"/>
    <w:rsid w:val="00D349B0"/>
    <w:rsid w:val="00D34CAA"/>
    <w:rsid w:val="00D34E75"/>
    <w:rsid w:val="00D3580B"/>
    <w:rsid w:val="00D35F31"/>
    <w:rsid w:val="00D36084"/>
    <w:rsid w:val="00D3611A"/>
    <w:rsid w:val="00D362E8"/>
    <w:rsid w:val="00D3650F"/>
    <w:rsid w:val="00D36724"/>
    <w:rsid w:val="00D374AC"/>
    <w:rsid w:val="00D377EC"/>
    <w:rsid w:val="00D37D5E"/>
    <w:rsid w:val="00D37F63"/>
    <w:rsid w:val="00D401E1"/>
    <w:rsid w:val="00D408B4"/>
    <w:rsid w:val="00D408FB"/>
    <w:rsid w:val="00D40F85"/>
    <w:rsid w:val="00D41143"/>
    <w:rsid w:val="00D4161C"/>
    <w:rsid w:val="00D41642"/>
    <w:rsid w:val="00D421D7"/>
    <w:rsid w:val="00D42306"/>
    <w:rsid w:val="00D423B1"/>
    <w:rsid w:val="00D42771"/>
    <w:rsid w:val="00D43576"/>
    <w:rsid w:val="00D43806"/>
    <w:rsid w:val="00D44388"/>
    <w:rsid w:val="00D4493A"/>
    <w:rsid w:val="00D45294"/>
    <w:rsid w:val="00D4592C"/>
    <w:rsid w:val="00D45D94"/>
    <w:rsid w:val="00D46733"/>
    <w:rsid w:val="00D46836"/>
    <w:rsid w:val="00D46D2E"/>
    <w:rsid w:val="00D47435"/>
    <w:rsid w:val="00D47473"/>
    <w:rsid w:val="00D474F4"/>
    <w:rsid w:val="00D4750E"/>
    <w:rsid w:val="00D4753E"/>
    <w:rsid w:val="00D5027D"/>
    <w:rsid w:val="00D5140E"/>
    <w:rsid w:val="00D51507"/>
    <w:rsid w:val="00D51FCD"/>
    <w:rsid w:val="00D524C8"/>
    <w:rsid w:val="00D528D1"/>
    <w:rsid w:val="00D52AFD"/>
    <w:rsid w:val="00D52C27"/>
    <w:rsid w:val="00D53DF1"/>
    <w:rsid w:val="00D5423C"/>
    <w:rsid w:val="00D542CE"/>
    <w:rsid w:val="00D547E4"/>
    <w:rsid w:val="00D54805"/>
    <w:rsid w:val="00D55EFE"/>
    <w:rsid w:val="00D564F2"/>
    <w:rsid w:val="00D56C9F"/>
    <w:rsid w:val="00D57050"/>
    <w:rsid w:val="00D5705A"/>
    <w:rsid w:val="00D5767C"/>
    <w:rsid w:val="00D57C97"/>
    <w:rsid w:val="00D57CB8"/>
    <w:rsid w:val="00D60D42"/>
    <w:rsid w:val="00D60E25"/>
    <w:rsid w:val="00D63926"/>
    <w:rsid w:val="00D63B94"/>
    <w:rsid w:val="00D63BFA"/>
    <w:rsid w:val="00D648D8"/>
    <w:rsid w:val="00D64D36"/>
    <w:rsid w:val="00D65194"/>
    <w:rsid w:val="00D658A6"/>
    <w:rsid w:val="00D66A03"/>
    <w:rsid w:val="00D66ED9"/>
    <w:rsid w:val="00D6750E"/>
    <w:rsid w:val="00D67BA2"/>
    <w:rsid w:val="00D70E24"/>
    <w:rsid w:val="00D7189F"/>
    <w:rsid w:val="00D71D51"/>
    <w:rsid w:val="00D722DB"/>
    <w:rsid w:val="00D72496"/>
    <w:rsid w:val="00D72621"/>
    <w:rsid w:val="00D7270F"/>
    <w:rsid w:val="00D72827"/>
    <w:rsid w:val="00D7288A"/>
    <w:rsid w:val="00D728F0"/>
    <w:rsid w:val="00D72B61"/>
    <w:rsid w:val="00D72C41"/>
    <w:rsid w:val="00D73D49"/>
    <w:rsid w:val="00D73DCB"/>
    <w:rsid w:val="00D744CB"/>
    <w:rsid w:val="00D7501D"/>
    <w:rsid w:val="00D75495"/>
    <w:rsid w:val="00D75ED5"/>
    <w:rsid w:val="00D762E9"/>
    <w:rsid w:val="00D76E1F"/>
    <w:rsid w:val="00D773E6"/>
    <w:rsid w:val="00D81458"/>
    <w:rsid w:val="00D81B51"/>
    <w:rsid w:val="00D82AD2"/>
    <w:rsid w:val="00D83652"/>
    <w:rsid w:val="00D83DF2"/>
    <w:rsid w:val="00D84404"/>
    <w:rsid w:val="00D8460F"/>
    <w:rsid w:val="00D84690"/>
    <w:rsid w:val="00D852D1"/>
    <w:rsid w:val="00D85555"/>
    <w:rsid w:val="00D85829"/>
    <w:rsid w:val="00D85A79"/>
    <w:rsid w:val="00D85BCB"/>
    <w:rsid w:val="00D862D8"/>
    <w:rsid w:val="00D865A8"/>
    <w:rsid w:val="00D868B7"/>
    <w:rsid w:val="00D8724E"/>
    <w:rsid w:val="00D87312"/>
    <w:rsid w:val="00D90CB7"/>
    <w:rsid w:val="00D91476"/>
    <w:rsid w:val="00D91CC3"/>
    <w:rsid w:val="00D92620"/>
    <w:rsid w:val="00D94163"/>
    <w:rsid w:val="00D94275"/>
    <w:rsid w:val="00D9429C"/>
    <w:rsid w:val="00D952C2"/>
    <w:rsid w:val="00D95B18"/>
    <w:rsid w:val="00D96BEF"/>
    <w:rsid w:val="00D976D0"/>
    <w:rsid w:val="00D97749"/>
    <w:rsid w:val="00DA0141"/>
    <w:rsid w:val="00DA09D0"/>
    <w:rsid w:val="00DA0B47"/>
    <w:rsid w:val="00DA0F45"/>
    <w:rsid w:val="00DA114B"/>
    <w:rsid w:val="00DA1318"/>
    <w:rsid w:val="00DA201C"/>
    <w:rsid w:val="00DA208F"/>
    <w:rsid w:val="00DA25F3"/>
    <w:rsid w:val="00DA280F"/>
    <w:rsid w:val="00DA3D1D"/>
    <w:rsid w:val="00DA5756"/>
    <w:rsid w:val="00DA6AED"/>
    <w:rsid w:val="00DA6C03"/>
    <w:rsid w:val="00DA6ECE"/>
    <w:rsid w:val="00DA7642"/>
    <w:rsid w:val="00DB002E"/>
    <w:rsid w:val="00DB0138"/>
    <w:rsid w:val="00DB06FF"/>
    <w:rsid w:val="00DB0F99"/>
    <w:rsid w:val="00DB18D9"/>
    <w:rsid w:val="00DB1B39"/>
    <w:rsid w:val="00DB1EE9"/>
    <w:rsid w:val="00DB2FDB"/>
    <w:rsid w:val="00DB3042"/>
    <w:rsid w:val="00DB3622"/>
    <w:rsid w:val="00DB378D"/>
    <w:rsid w:val="00DB3AA6"/>
    <w:rsid w:val="00DB4C3E"/>
    <w:rsid w:val="00DB4E69"/>
    <w:rsid w:val="00DB5589"/>
    <w:rsid w:val="00DB5894"/>
    <w:rsid w:val="00DB5992"/>
    <w:rsid w:val="00DB5CF0"/>
    <w:rsid w:val="00DB6286"/>
    <w:rsid w:val="00DB645F"/>
    <w:rsid w:val="00DB7472"/>
    <w:rsid w:val="00DB74F2"/>
    <w:rsid w:val="00DB76E9"/>
    <w:rsid w:val="00DB7882"/>
    <w:rsid w:val="00DB78BF"/>
    <w:rsid w:val="00DC0A67"/>
    <w:rsid w:val="00DC0B85"/>
    <w:rsid w:val="00DC0C49"/>
    <w:rsid w:val="00DC15A3"/>
    <w:rsid w:val="00DC16F3"/>
    <w:rsid w:val="00DC193A"/>
    <w:rsid w:val="00DC1A31"/>
    <w:rsid w:val="00DC1D5E"/>
    <w:rsid w:val="00DC1F64"/>
    <w:rsid w:val="00DC20F9"/>
    <w:rsid w:val="00DC2282"/>
    <w:rsid w:val="00DC2313"/>
    <w:rsid w:val="00DC25B1"/>
    <w:rsid w:val="00DC32F3"/>
    <w:rsid w:val="00DC40D1"/>
    <w:rsid w:val="00DC40DB"/>
    <w:rsid w:val="00DC492E"/>
    <w:rsid w:val="00DC4CA0"/>
    <w:rsid w:val="00DC5220"/>
    <w:rsid w:val="00DC52B4"/>
    <w:rsid w:val="00DC5448"/>
    <w:rsid w:val="00DC5508"/>
    <w:rsid w:val="00DC5550"/>
    <w:rsid w:val="00DC59C4"/>
    <w:rsid w:val="00DC5EB7"/>
    <w:rsid w:val="00DC608E"/>
    <w:rsid w:val="00DC675E"/>
    <w:rsid w:val="00DC694B"/>
    <w:rsid w:val="00DC7040"/>
    <w:rsid w:val="00DC7910"/>
    <w:rsid w:val="00DC7F86"/>
    <w:rsid w:val="00DD014E"/>
    <w:rsid w:val="00DD01FB"/>
    <w:rsid w:val="00DD05DC"/>
    <w:rsid w:val="00DD0CA5"/>
    <w:rsid w:val="00DD170A"/>
    <w:rsid w:val="00DD2061"/>
    <w:rsid w:val="00DD29BB"/>
    <w:rsid w:val="00DD2B17"/>
    <w:rsid w:val="00DD2E64"/>
    <w:rsid w:val="00DD315A"/>
    <w:rsid w:val="00DD3EB2"/>
    <w:rsid w:val="00DD3F84"/>
    <w:rsid w:val="00DD46C5"/>
    <w:rsid w:val="00DD4BFD"/>
    <w:rsid w:val="00DD50B3"/>
    <w:rsid w:val="00DD63E7"/>
    <w:rsid w:val="00DD6802"/>
    <w:rsid w:val="00DD6859"/>
    <w:rsid w:val="00DD6906"/>
    <w:rsid w:val="00DD694E"/>
    <w:rsid w:val="00DD7A75"/>
    <w:rsid w:val="00DD7DAB"/>
    <w:rsid w:val="00DE0689"/>
    <w:rsid w:val="00DE0E4F"/>
    <w:rsid w:val="00DE128B"/>
    <w:rsid w:val="00DE17E7"/>
    <w:rsid w:val="00DE1B5D"/>
    <w:rsid w:val="00DE1C36"/>
    <w:rsid w:val="00DE2470"/>
    <w:rsid w:val="00DE2803"/>
    <w:rsid w:val="00DE3355"/>
    <w:rsid w:val="00DE4911"/>
    <w:rsid w:val="00DE49BC"/>
    <w:rsid w:val="00DE4AB6"/>
    <w:rsid w:val="00DE4C79"/>
    <w:rsid w:val="00DE54AD"/>
    <w:rsid w:val="00DE59BC"/>
    <w:rsid w:val="00DE5CB4"/>
    <w:rsid w:val="00DE62FF"/>
    <w:rsid w:val="00DE6F26"/>
    <w:rsid w:val="00DE71D1"/>
    <w:rsid w:val="00DE78E5"/>
    <w:rsid w:val="00DF016E"/>
    <w:rsid w:val="00DF0433"/>
    <w:rsid w:val="00DF04A2"/>
    <w:rsid w:val="00DF0B47"/>
    <w:rsid w:val="00DF0BE5"/>
    <w:rsid w:val="00DF0D5D"/>
    <w:rsid w:val="00DF10FD"/>
    <w:rsid w:val="00DF2278"/>
    <w:rsid w:val="00DF238B"/>
    <w:rsid w:val="00DF2611"/>
    <w:rsid w:val="00DF2E3A"/>
    <w:rsid w:val="00DF4731"/>
    <w:rsid w:val="00DF486F"/>
    <w:rsid w:val="00DF4F94"/>
    <w:rsid w:val="00DF5047"/>
    <w:rsid w:val="00DF54E2"/>
    <w:rsid w:val="00DF5B5B"/>
    <w:rsid w:val="00DF63D6"/>
    <w:rsid w:val="00DF647C"/>
    <w:rsid w:val="00DF7619"/>
    <w:rsid w:val="00E005C5"/>
    <w:rsid w:val="00E00AE0"/>
    <w:rsid w:val="00E021CE"/>
    <w:rsid w:val="00E022FF"/>
    <w:rsid w:val="00E02919"/>
    <w:rsid w:val="00E02CD9"/>
    <w:rsid w:val="00E039AB"/>
    <w:rsid w:val="00E039DE"/>
    <w:rsid w:val="00E03DA6"/>
    <w:rsid w:val="00E042D8"/>
    <w:rsid w:val="00E04B9A"/>
    <w:rsid w:val="00E04C41"/>
    <w:rsid w:val="00E04FB4"/>
    <w:rsid w:val="00E057F0"/>
    <w:rsid w:val="00E05C01"/>
    <w:rsid w:val="00E06665"/>
    <w:rsid w:val="00E06F94"/>
    <w:rsid w:val="00E07273"/>
    <w:rsid w:val="00E077BB"/>
    <w:rsid w:val="00E07B83"/>
    <w:rsid w:val="00E07EE7"/>
    <w:rsid w:val="00E10209"/>
    <w:rsid w:val="00E1103B"/>
    <w:rsid w:val="00E118A5"/>
    <w:rsid w:val="00E1196F"/>
    <w:rsid w:val="00E11A25"/>
    <w:rsid w:val="00E11F8C"/>
    <w:rsid w:val="00E1229D"/>
    <w:rsid w:val="00E12F04"/>
    <w:rsid w:val="00E136F1"/>
    <w:rsid w:val="00E13CC2"/>
    <w:rsid w:val="00E1457F"/>
    <w:rsid w:val="00E169D8"/>
    <w:rsid w:val="00E173D6"/>
    <w:rsid w:val="00E17B44"/>
    <w:rsid w:val="00E203B5"/>
    <w:rsid w:val="00E20E4A"/>
    <w:rsid w:val="00E2136B"/>
    <w:rsid w:val="00E214F9"/>
    <w:rsid w:val="00E21702"/>
    <w:rsid w:val="00E2179F"/>
    <w:rsid w:val="00E21853"/>
    <w:rsid w:val="00E21CDB"/>
    <w:rsid w:val="00E21FDF"/>
    <w:rsid w:val="00E22ABB"/>
    <w:rsid w:val="00E22EF7"/>
    <w:rsid w:val="00E236AA"/>
    <w:rsid w:val="00E23D35"/>
    <w:rsid w:val="00E24D25"/>
    <w:rsid w:val="00E253C5"/>
    <w:rsid w:val="00E258A6"/>
    <w:rsid w:val="00E26A49"/>
    <w:rsid w:val="00E26E3D"/>
    <w:rsid w:val="00E26EAD"/>
    <w:rsid w:val="00E271C2"/>
    <w:rsid w:val="00E27912"/>
    <w:rsid w:val="00E27D61"/>
    <w:rsid w:val="00E27FEA"/>
    <w:rsid w:val="00E30BE0"/>
    <w:rsid w:val="00E31D73"/>
    <w:rsid w:val="00E324EF"/>
    <w:rsid w:val="00E333F2"/>
    <w:rsid w:val="00E33D89"/>
    <w:rsid w:val="00E34D59"/>
    <w:rsid w:val="00E34E83"/>
    <w:rsid w:val="00E35627"/>
    <w:rsid w:val="00E35DCC"/>
    <w:rsid w:val="00E35F30"/>
    <w:rsid w:val="00E3701F"/>
    <w:rsid w:val="00E370DD"/>
    <w:rsid w:val="00E37152"/>
    <w:rsid w:val="00E37590"/>
    <w:rsid w:val="00E37922"/>
    <w:rsid w:val="00E37BD0"/>
    <w:rsid w:val="00E37E88"/>
    <w:rsid w:val="00E40142"/>
    <w:rsid w:val="00E4086F"/>
    <w:rsid w:val="00E410A3"/>
    <w:rsid w:val="00E411EE"/>
    <w:rsid w:val="00E42029"/>
    <w:rsid w:val="00E43208"/>
    <w:rsid w:val="00E434FC"/>
    <w:rsid w:val="00E43B3C"/>
    <w:rsid w:val="00E43BAF"/>
    <w:rsid w:val="00E45742"/>
    <w:rsid w:val="00E45C7D"/>
    <w:rsid w:val="00E470D7"/>
    <w:rsid w:val="00E50188"/>
    <w:rsid w:val="00E50493"/>
    <w:rsid w:val="00E50857"/>
    <w:rsid w:val="00E50858"/>
    <w:rsid w:val="00E5094A"/>
    <w:rsid w:val="00E51465"/>
    <w:rsid w:val="00E515CB"/>
    <w:rsid w:val="00E52260"/>
    <w:rsid w:val="00E52756"/>
    <w:rsid w:val="00E52901"/>
    <w:rsid w:val="00E52C53"/>
    <w:rsid w:val="00E537B9"/>
    <w:rsid w:val="00E53B81"/>
    <w:rsid w:val="00E54454"/>
    <w:rsid w:val="00E55058"/>
    <w:rsid w:val="00E5531B"/>
    <w:rsid w:val="00E55CBA"/>
    <w:rsid w:val="00E55EBA"/>
    <w:rsid w:val="00E566A2"/>
    <w:rsid w:val="00E5798A"/>
    <w:rsid w:val="00E57CF4"/>
    <w:rsid w:val="00E57F7A"/>
    <w:rsid w:val="00E600AB"/>
    <w:rsid w:val="00E6020B"/>
    <w:rsid w:val="00E60595"/>
    <w:rsid w:val="00E61D43"/>
    <w:rsid w:val="00E622FB"/>
    <w:rsid w:val="00E63510"/>
    <w:rsid w:val="00E639B6"/>
    <w:rsid w:val="00E63BD1"/>
    <w:rsid w:val="00E63F12"/>
    <w:rsid w:val="00E642FA"/>
    <w:rsid w:val="00E6434B"/>
    <w:rsid w:val="00E64548"/>
    <w:rsid w:val="00E6463D"/>
    <w:rsid w:val="00E647ED"/>
    <w:rsid w:val="00E64910"/>
    <w:rsid w:val="00E64A62"/>
    <w:rsid w:val="00E64E89"/>
    <w:rsid w:val="00E65255"/>
    <w:rsid w:val="00E6527B"/>
    <w:rsid w:val="00E65E43"/>
    <w:rsid w:val="00E67BEF"/>
    <w:rsid w:val="00E71417"/>
    <w:rsid w:val="00E71A36"/>
    <w:rsid w:val="00E71BB7"/>
    <w:rsid w:val="00E71EC5"/>
    <w:rsid w:val="00E72142"/>
    <w:rsid w:val="00E72196"/>
    <w:rsid w:val="00E721B1"/>
    <w:rsid w:val="00E72E9B"/>
    <w:rsid w:val="00E732F0"/>
    <w:rsid w:val="00E73773"/>
    <w:rsid w:val="00E73D9C"/>
    <w:rsid w:val="00E74BE4"/>
    <w:rsid w:val="00E75048"/>
    <w:rsid w:val="00E758CB"/>
    <w:rsid w:val="00E75C60"/>
    <w:rsid w:val="00E76B36"/>
    <w:rsid w:val="00E77D5B"/>
    <w:rsid w:val="00E77E08"/>
    <w:rsid w:val="00E803E7"/>
    <w:rsid w:val="00E80461"/>
    <w:rsid w:val="00E809AF"/>
    <w:rsid w:val="00E80CE1"/>
    <w:rsid w:val="00E82075"/>
    <w:rsid w:val="00E8225F"/>
    <w:rsid w:val="00E82973"/>
    <w:rsid w:val="00E82CE6"/>
    <w:rsid w:val="00E830A1"/>
    <w:rsid w:val="00E83336"/>
    <w:rsid w:val="00E83B68"/>
    <w:rsid w:val="00E83FBE"/>
    <w:rsid w:val="00E843B7"/>
    <w:rsid w:val="00E844A8"/>
    <w:rsid w:val="00E8479B"/>
    <w:rsid w:val="00E849DA"/>
    <w:rsid w:val="00E84AA6"/>
    <w:rsid w:val="00E85301"/>
    <w:rsid w:val="00E85370"/>
    <w:rsid w:val="00E8A121"/>
    <w:rsid w:val="00E90154"/>
    <w:rsid w:val="00E91E17"/>
    <w:rsid w:val="00E92240"/>
    <w:rsid w:val="00E9229B"/>
    <w:rsid w:val="00E927AC"/>
    <w:rsid w:val="00E9408E"/>
    <w:rsid w:val="00E94147"/>
    <w:rsid w:val="00E94533"/>
    <w:rsid w:val="00E9462E"/>
    <w:rsid w:val="00E948D1"/>
    <w:rsid w:val="00E94B8C"/>
    <w:rsid w:val="00E957D0"/>
    <w:rsid w:val="00E96C95"/>
    <w:rsid w:val="00E97035"/>
    <w:rsid w:val="00E97194"/>
    <w:rsid w:val="00E97ACD"/>
    <w:rsid w:val="00EA0BC4"/>
    <w:rsid w:val="00EA1C74"/>
    <w:rsid w:val="00EA24AB"/>
    <w:rsid w:val="00EA2A46"/>
    <w:rsid w:val="00EA470E"/>
    <w:rsid w:val="00EA47A7"/>
    <w:rsid w:val="00EA47CE"/>
    <w:rsid w:val="00EA4C2C"/>
    <w:rsid w:val="00EA4C8B"/>
    <w:rsid w:val="00EA4FD8"/>
    <w:rsid w:val="00EA55D0"/>
    <w:rsid w:val="00EA57EB"/>
    <w:rsid w:val="00EA62C4"/>
    <w:rsid w:val="00EA6363"/>
    <w:rsid w:val="00EA6EA0"/>
    <w:rsid w:val="00EA76A1"/>
    <w:rsid w:val="00EB15AD"/>
    <w:rsid w:val="00EB21D1"/>
    <w:rsid w:val="00EB21DC"/>
    <w:rsid w:val="00EB22A3"/>
    <w:rsid w:val="00EB2467"/>
    <w:rsid w:val="00EB3226"/>
    <w:rsid w:val="00EB3633"/>
    <w:rsid w:val="00EB3D85"/>
    <w:rsid w:val="00EB4186"/>
    <w:rsid w:val="00EB49E7"/>
    <w:rsid w:val="00EB555B"/>
    <w:rsid w:val="00EB5926"/>
    <w:rsid w:val="00EB5EBD"/>
    <w:rsid w:val="00EB643A"/>
    <w:rsid w:val="00EB66BF"/>
    <w:rsid w:val="00EB6C5B"/>
    <w:rsid w:val="00EB6D08"/>
    <w:rsid w:val="00EC12BE"/>
    <w:rsid w:val="00EC1652"/>
    <w:rsid w:val="00EC19D3"/>
    <w:rsid w:val="00EC213A"/>
    <w:rsid w:val="00EC280F"/>
    <w:rsid w:val="00EC38E7"/>
    <w:rsid w:val="00EC4A51"/>
    <w:rsid w:val="00EC4C9D"/>
    <w:rsid w:val="00EC4DFD"/>
    <w:rsid w:val="00EC53D2"/>
    <w:rsid w:val="00EC5548"/>
    <w:rsid w:val="00EC61BC"/>
    <w:rsid w:val="00EC6220"/>
    <w:rsid w:val="00EC6603"/>
    <w:rsid w:val="00EC661B"/>
    <w:rsid w:val="00EC7744"/>
    <w:rsid w:val="00ED05C8"/>
    <w:rsid w:val="00ED0A13"/>
    <w:rsid w:val="00ED0B17"/>
    <w:rsid w:val="00ED0DAD"/>
    <w:rsid w:val="00ED0F46"/>
    <w:rsid w:val="00ED1629"/>
    <w:rsid w:val="00ED2373"/>
    <w:rsid w:val="00ED313E"/>
    <w:rsid w:val="00ED3798"/>
    <w:rsid w:val="00ED3ABB"/>
    <w:rsid w:val="00ED4C09"/>
    <w:rsid w:val="00ED521D"/>
    <w:rsid w:val="00ED61FD"/>
    <w:rsid w:val="00ED66FE"/>
    <w:rsid w:val="00ED6BC0"/>
    <w:rsid w:val="00ED744B"/>
    <w:rsid w:val="00EE07FA"/>
    <w:rsid w:val="00EE0A68"/>
    <w:rsid w:val="00EE0B6D"/>
    <w:rsid w:val="00EE119D"/>
    <w:rsid w:val="00EE1396"/>
    <w:rsid w:val="00EE2FB4"/>
    <w:rsid w:val="00EE30AB"/>
    <w:rsid w:val="00EE3E8A"/>
    <w:rsid w:val="00EE3F3C"/>
    <w:rsid w:val="00EE4497"/>
    <w:rsid w:val="00EE4676"/>
    <w:rsid w:val="00EE46DD"/>
    <w:rsid w:val="00EE4C6B"/>
    <w:rsid w:val="00EE5148"/>
    <w:rsid w:val="00EE69FB"/>
    <w:rsid w:val="00EE6C81"/>
    <w:rsid w:val="00EE7445"/>
    <w:rsid w:val="00EE7650"/>
    <w:rsid w:val="00EE778A"/>
    <w:rsid w:val="00EE7F30"/>
    <w:rsid w:val="00EE7F39"/>
    <w:rsid w:val="00EF0736"/>
    <w:rsid w:val="00EF0D9E"/>
    <w:rsid w:val="00EF19E2"/>
    <w:rsid w:val="00EF1BB6"/>
    <w:rsid w:val="00EF2DDB"/>
    <w:rsid w:val="00EF32A2"/>
    <w:rsid w:val="00EF3C69"/>
    <w:rsid w:val="00EF3DEB"/>
    <w:rsid w:val="00EF55AB"/>
    <w:rsid w:val="00EF5A1C"/>
    <w:rsid w:val="00EF63DB"/>
    <w:rsid w:val="00EF6E46"/>
    <w:rsid w:val="00EF6EC6"/>
    <w:rsid w:val="00EF6ECA"/>
    <w:rsid w:val="00EF718D"/>
    <w:rsid w:val="00EF747B"/>
    <w:rsid w:val="00EF76CA"/>
    <w:rsid w:val="00F0041A"/>
    <w:rsid w:val="00F01CE5"/>
    <w:rsid w:val="00F01DFF"/>
    <w:rsid w:val="00F024E1"/>
    <w:rsid w:val="00F03691"/>
    <w:rsid w:val="00F039C4"/>
    <w:rsid w:val="00F049F6"/>
    <w:rsid w:val="00F05104"/>
    <w:rsid w:val="00F0516D"/>
    <w:rsid w:val="00F0522E"/>
    <w:rsid w:val="00F053AE"/>
    <w:rsid w:val="00F056EB"/>
    <w:rsid w:val="00F059EB"/>
    <w:rsid w:val="00F05F18"/>
    <w:rsid w:val="00F068FE"/>
    <w:rsid w:val="00F06C10"/>
    <w:rsid w:val="00F071B1"/>
    <w:rsid w:val="00F0730B"/>
    <w:rsid w:val="00F0761B"/>
    <w:rsid w:val="00F077C6"/>
    <w:rsid w:val="00F07FBD"/>
    <w:rsid w:val="00F102A2"/>
    <w:rsid w:val="00F1049E"/>
    <w:rsid w:val="00F10731"/>
    <w:rsid w:val="00F10801"/>
    <w:rsid w:val="00F1096F"/>
    <w:rsid w:val="00F10B56"/>
    <w:rsid w:val="00F10C86"/>
    <w:rsid w:val="00F11953"/>
    <w:rsid w:val="00F1202D"/>
    <w:rsid w:val="00F12589"/>
    <w:rsid w:val="00F12595"/>
    <w:rsid w:val="00F12B14"/>
    <w:rsid w:val="00F134D9"/>
    <w:rsid w:val="00F13676"/>
    <w:rsid w:val="00F1403D"/>
    <w:rsid w:val="00F143F9"/>
    <w:rsid w:val="00F1463F"/>
    <w:rsid w:val="00F14F3C"/>
    <w:rsid w:val="00F155E7"/>
    <w:rsid w:val="00F202EC"/>
    <w:rsid w:val="00F20A23"/>
    <w:rsid w:val="00F212B6"/>
    <w:rsid w:val="00F21302"/>
    <w:rsid w:val="00F21467"/>
    <w:rsid w:val="00F21B1B"/>
    <w:rsid w:val="00F220EA"/>
    <w:rsid w:val="00F22798"/>
    <w:rsid w:val="00F22A9B"/>
    <w:rsid w:val="00F2377C"/>
    <w:rsid w:val="00F24CA1"/>
    <w:rsid w:val="00F256AE"/>
    <w:rsid w:val="00F26844"/>
    <w:rsid w:val="00F27DCE"/>
    <w:rsid w:val="00F3102F"/>
    <w:rsid w:val="00F3146B"/>
    <w:rsid w:val="00F3179E"/>
    <w:rsid w:val="00F321DE"/>
    <w:rsid w:val="00F3247A"/>
    <w:rsid w:val="00F32566"/>
    <w:rsid w:val="00F329B5"/>
    <w:rsid w:val="00F32D09"/>
    <w:rsid w:val="00F33048"/>
    <w:rsid w:val="00F33167"/>
    <w:rsid w:val="00F33777"/>
    <w:rsid w:val="00F337EB"/>
    <w:rsid w:val="00F33C2A"/>
    <w:rsid w:val="00F34028"/>
    <w:rsid w:val="00F34466"/>
    <w:rsid w:val="00F3473E"/>
    <w:rsid w:val="00F35C0E"/>
    <w:rsid w:val="00F363DD"/>
    <w:rsid w:val="00F3797A"/>
    <w:rsid w:val="00F40031"/>
    <w:rsid w:val="00F40648"/>
    <w:rsid w:val="00F40745"/>
    <w:rsid w:val="00F40C36"/>
    <w:rsid w:val="00F41E70"/>
    <w:rsid w:val="00F42112"/>
    <w:rsid w:val="00F42346"/>
    <w:rsid w:val="00F42788"/>
    <w:rsid w:val="00F42BF0"/>
    <w:rsid w:val="00F42E04"/>
    <w:rsid w:val="00F43AFE"/>
    <w:rsid w:val="00F447A3"/>
    <w:rsid w:val="00F4480F"/>
    <w:rsid w:val="00F451A7"/>
    <w:rsid w:val="00F454DB"/>
    <w:rsid w:val="00F455F3"/>
    <w:rsid w:val="00F45A04"/>
    <w:rsid w:val="00F464D6"/>
    <w:rsid w:val="00F46EB3"/>
    <w:rsid w:val="00F4705C"/>
    <w:rsid w:val="00F4773D"/>
    <w:rsid w:val="00F47A4A"/>
    <w:rsid w:val="00F47DA2"/>
    <w:rsid w:val="00F50B2A"/>
    <w:rsid w:val="00F513D5"/>
    <w:rsid w:val="00F51475"/>
    <w:rsid w:val="00F51623"/>
    <w:rsid w:val="00F519FC"/>
    <w:rsid w:val="00F524C2"/>
    <w:rsid w:val="00F52AA2"/>
    <w:rsid w:val="00F53155"/>
    <w:rsid w:val="00F53BE2"/>
    <w:rsid w:val="00F54007"/>
    <w:rsid w:val="00F543E0"/>
    <w:rsid w:val="00F5440A"/>
    <w:rsid w:val="00F5479B"/>
    <w:rsid w:val="00F5489B"/>
    <w:rsid w:val="00F55150"/>
    <w:rsid w:val="00F55364"/>
    <w:rsid w:val="00F56E08"/>
    <w:rsid w:val="00F60336"/>
    <w:rsid w:val="00F60ECE"/>
    <w:rsid w:val="00F61513"/>
    <w:rsid w:val="00F6239D"/>
    <w:rsid w:val="00F62D7B"/>
    <w:rsid w:val="00F63F30"/>
    <w:rsid w:val="00F645CF"/>
    <w:rsid w:val="00F64A67"/>
    <w:rsid w:val="00F64AEA"/>
    <w:rsid w:val="00F653C9"/>
    <w:rsid w:val="00F65450"/>
    <w:rsid w:val="00F65A9F"/>
    <w:rsid w:val="00F66331"/>
    <w:rsid w:val="00F6665A"/>
    <w:rsid w:val="00F7087C"/>
    <w:rsid w:val="00F715D2"/>
    <w:rsid w:val="00F71877"/>
    <w:rsid w:val="00F71B8F"/>
    <w:rsid w:val="00F71D85"/>
    <w:rsid w:val="00F72025"/>
    <w:rsid w:val="00F7274F"/>
    <w:rsid w:val="00F73179"/>
    <w:rsid w:val="00F738D8"/>
    <w:rsid w:val="00F73CB2"/>
    <w:rsid w:val="00F741AB"/>
    <w:rsid w:val="00F743A4"/>
    <w:rsid w:val="00F74C2C"/>
    <w:rsid w:val="00F7568D"/>
    <w:rsid w:val="00F7679B"/>
    <w:rsid w:val="00F76F93"/>
    <w:rsid w:val="00F76FA8"/>
    <w:rsid w:val="00F77934"/>
    <w:rsid w:val="00F77C2F"/>
    <w:rsid w:val="00F8015D"/>
    <w:rsid w:val="00F802EF"/>
    <w:rsid w:val="00F80A09"/>
    <w:rsid w:val="00F80F92"/>
    <w:rsid w:val="00F8118A"/>
    <w:rsid w:val="00F81482"/>
    <w:rsid w:val="00F81DB6"/>
    <w:rsid w:val="00F82A62"/>
    <w:rsid w:val="00F83235"/>
    <w:rsid w:val="00F8367C"/>
    <w:rsid w:val="00F836F9"/>
    <w:rsid w:val="00F83A22"/>
    <w:rsid w:val="00F84410"/>
    <w:rsid w:val="00F852F5"/>
    <w:rsid w:val="00F85426"/>
    <w:rsid w:val="00F854D1"/>
    <w:rsid w:val="00F85DA7"/>
    <w:rsid w:val="00F86192"/>
    <w:rsid w:val="00F869AE"/>
    <w:rsid w:val="00F86C3A"/>
    <w:rsid w:val="00F87888"/>
    <w:rsid w:val="00F87E2F"/>
    <w:rsid w:val="00F90124"/>
    <w:rsid w:val="00F9091F"/>
    <w:rsid w:val="00F90E62"/>
    <w:rsid w:val="00F912F3"/>
    <w:rsid w:val="00F9163B"/>
    <w:rsid w:val="00F916C3"/>
    <w:rsid w:val="00F92BD7"/>
    <w:rsid w:val="00F92EFB"/>
    <w:rsid w:val="00F934FE"/>
    <w:rsid w:val="00F93F08"/>
    <w:rsid w:val="00F9475F"/>
    <w:rsid w:val="00F94CED"/>
    <w:rsid w:val="00F960C0"/>
    <w:rsid w:val="00F961FF"/>
    <w:rsid w:val="00F96217"/>
    <w:rsid w:val="00F970EA"/>
    <w:rsid w:val="00F9739B"/>
    <w:rsid w:val="00FA199E"/>
    <w:rsid w:val="00FA1E6D"/>
    <w:rsid w:val="00FA2163"/>
    <w:rsid w:val="00FA2AF0"/>
    <w:rsid w:val="00FA2CEE"/>
    <w:rsid w:val="00FA2DBB"/>
    <w:rsid w:val="00FA2E74"/>
    <w:rsid w:val="00FA2F1C"/>
    <w:rsid w:val="00FA318C"/>
    <w:rsid w:val="00FA33FE"/>
    <w:rsid w:val="00FA480F"/>
    <w:rsid w:val="00FA496A"/>
    <w:rsid w:val="00FA49DC"/>
    <w:rsid w:val="00FA4C79"/>
    <w:rsid w:val="00FA5025"/>
    <w:rsid w:val="00FA50AA"/>
    <w:rsid w:val="00FA60DF"/>
    <w:rsid w:val="00FA6109"/>
    <w:rsid w:val="00FA6D08"/>
    <w:rsid w:val="00FA7A7F"/>
    <w:rsid w:val="00FA7D9A"/>
    <w:rsid w:val="00FB03B7"/>
    <w:rsid w:val="00FB0BBC"/>
    <w:rsid w:val="00FB0FC3"/>
    <w:rsid w:val="00FB17FB"/>
    <w:rsid w:val="00FB1E8A"/>
    <w:rsid w:val="00FB1E90"/>
    <w:rsid w:val="00FB2BF3"/>
    <w:rsid w:val="00FB2F92"/>
    <w:rsid w:val="00FB3025"/>
    <w:rsid w:val="00FB377B"/>
    <w:rsid w:val="00FB44E7"/>
    <w:rsid w:val="00FB474F"/>
    <w:rsid w:val="00FB4B64"/>
    <w:rsid w:val="00FB4C16"/>
    <w:rsid w:val="00FB4D9F"/>
    <w:rsid w:val="00FB50BA"/>
    <w:rsid w:val="00FB5965"/>
    <w:rsid w:val="00FB5B2B"/>
    <w:rsid w:val="00FB608F"/>
    <w:rsid w:val="00FB6F92"/>
    <w:rsid w:val="00FB735F"/>
    <w:rsid w:val="00FB77F0"/>
    <w:rsid w:val="00FC026E"/>
    <w:rsid w:val="00FC11BD"/>
    <w:rsid w:val="00FC11FD"/>
    <w:rsid w:val="00FC1653"/>
    <w:rsid w:val="00FC1812"/>
    <w:rsid w:val="00FC1EC7"/>
    <w:rsid w:val="00FC2063"/>
    <w:rsid w:val="00FC2ECE"/>
    <w:rsid w:val="00FC3B18"/>
    <w:rsid w:val="00FC3E1E"/>
    <w:rsid w:val="00FC4FAF"/>
    <w:rsid w:val="00FC5124"/>
    <w:rsid w:val="00FC5381"/>
    <w:rsid w:val="00FC58F5"/>
    <w:rsid w:val="00FC6DEE"/>
    <w:rsid w:val="00FC71D1"/>
    <w:rsid w:val="00FC7DCC"/>
    <w:rsid w:val="00FD058B"/>
    <w:rsid w:val="00FD1268"/>
    <w:rsid w:val="00FD154B"/>
    <w:rsid w:val="00FD1615"/>
    <w:rsid w:val="00FD16F8"/>
    <w:rsid w:val="00FD18E6"/>
    <w:rsid w:val="00FD1E77"/>
    <w:rsid w:val="00FD1EE5"/>
    <w:rsid w:val="00FD1F82"/>
    <w:rsid w:val="00FD2A59"/>
    <w:rsid w:val="00FD2E03"/>
    <w:rsid w:val="00FD37D4"/>
    <w:rsid w:val="00FD3846"/>
    <w:rsid w:val="00FD39FD"/>
    <w:rsid w:val="00FD3C83"/>
    <w:rsid w:val="00FD3FF4"/>
    <w:rsid w:val="00FD4731"/>
    <w:rsid w:val="00FD4F71"/>
    <w:rsid w:val="00FD5926"/>
    <w:rsid w:val="00FD5A03"/>
    <w:rsid w:val="00FD65B6"/>
    <w:rsid w:val="00FD66C7"/>
    <w:rsid w:val="00FD7588"/>
    <w:rsid w:val="00FD7932"/>
    <w:rsid w:val="00FE05E3"/>
    <w:rsid w:val="00FE0EBE"/>
    <w:rsid w:val="00FE10A3"/>
    <w:rsid w:val="00FE135F"/>
    <w:rsid w:val="00FE22FB"/>
    <w:rsid w:val="00FE269C"/>
    <w:rsid w:val="00FE2987"/>
    <w:rsid w:val="00FE2ED8"/>
    <w:rsid w:val="00FE3108"/>
    <w:rsid w:val="00FE31FE"/>
    <w:rsid w:val="00FE40CF"/>
    <w:rsid w:val="00FE4403"/>
    <w:rsid w:val="00FE46AD"/>
    <w:rsid w:val="00FE5F5F"/>
    <w:rsid w:val="00FE6A47"/>
    <w:rsid w:val="00FE6ADA"/>
    <w:rsid w:val="00FE7DC7"/>
    <w:rsid w:val="00FE7DFB"/>
    <w:rsid w:val="00FF01CF"/>
    <w:rsid w:val="00FF0368"/>
    <w:rsid w:val="00FF0AB0"/>
    <w:rsid w:val="00FF12DF"/>
    <w:rsid w:val="00FF151A"/>
    <w:rsid w:val="00FF17E3"/>
    <w:rsid w:val="00FF246F"/>
    <w:rsid w:val="00FF28AC"/>
    <w:rsid w:val="00FF2EEA"/>
    <w:rsid w:val="00FF2F6C"/>
    <w:rsid w:val="00FF3166"/>
    <w:rsid w:val="00FF43AB"/>
    <w:rsid w:val="00FF4833"/>
    <w:rsid w:val="00FF4E3F"/>
    <w:rsid w:val="00FF4E84"/>
    <w:rsid w:val="00FF64CE"/>
    <w:rsid w:val="00FF6550"/>
    <w:rsid w:val="00FF6750"/>
    <w:rsid w:val="00FF68E3"/>
    <w:rsid w:val="00FF6A7C"/>
    <w:rsid w:val="00FF77D3"/>
    <w:rsid w:val="00FF7C8C"/>
    <w:rsid w:val="00FF7F62"/>
    <w:rsid w:val="03399844"/>
    <w:rsid w:val="0362C0F8"/>
    <w:rsid w:val="03760EC7"/>
    <w:rsid w:val="037E03D0"/>
    <w:rsid w:val="049C2F69"/>
    <w:rsid w:val="0506200D"/>
    <w:rsid w:val="05662F06"/>
    <w:rsid w:val="05C982B4"/>
    <w:rsid w:val="06070643"/>
    <w:rsid w:val="072B4159"/>
    <w:rsid w:val="07939639"/>
    <w:rsid w:val="08491F81"/>
    <w:rsid w:val="0887DB58"/>
    <w:rsid w:val="089F17A8"/>
    <w:rsid w:val="09040935"/>
    <w:rsid w:val="091E1206"/>
    <w:rsid w:val="098CA437"/>
    <w:rsid w:val="09ACD3E0"/>
    <w:rsid w:val="0A358010"/>
    <w:rsid w:val="0A931E27"/>
    <w:rsid w:val="0ACB9723"/>
    <w:rsid w:val="0BC99233"/>
    <w:rsid w:val="0BE1B6B4"/>
    <w:rsid w:val="0E5DDF53"/>
    <w:rsid w:val="0E63CB76"/>
    <w:rsid w:val="0E791487"/>
    <w:rsid w:val="0E857ECC"/>
    <w:rsid w:val="0EC1462F"/>
    <w:rsid w:val="0F1E68CE"/>
    <w:rsid w:val="104D08CB"/>
    <w:rsid w:val="106F8582"/>
    <w:rsid w:val="1152869D"/>
    <w:rsid w:val="1167A82D"/>
    <w:rsid w:val="1278D4B6"/>
    <w:rsid w:val="1440B6F8"/>
    <w:rsid w:val="1452BA27"/>
    <w:rsid w:val="14766CE8"/>
    <w:rsid w:val="156F241E"/>
    <w:rsid w:val="16414C4C"/>
    <w:rsid w:val="16BE1DE9"/>
    <w:rsid w:val="175984AD"/>
    <w:rsid w:val="183CA555"/>
    <w:rsid w:val="18DEAC65"/>
    <w:rsid w:val="1A6447C9"/>
    <w:rsid w:val="1C22CD9F"/>
    <w:rsid w:val="1C742DED"/>
    <w:rsid w:val="1DA52E38"/>
    <w:rsid w:val="1E1B676E"/>
    <w:rsid w:val="1E719F5F"/>
    <w:rsid w:val="1EB774CA"/>
    <w:rsid w:val="1ED38533"/>
    <w:rsid w:val="1FBC96A0"/>
    <w:rsid w:val="204CB336"/>
    <w:rsid w:val="216E8A9D"/>
    <w:rsid w:val="2206E15D"/>
    <w:rsid w:val="22F6728D"/>
    <w:rsid w:val="2390AF40"/>
    <w:rsid w:val="24633A67"/>
    <w:rsid w:val="258FBB98"/>
    <w:rsid w:val="261D3997"/>
    <w:rsid w:val="26267DD5"/>
    <w:rsid w:val="269E5208"/>
    <w:rsid w:val="2AC2273E"/>
    <w:rsid w:val="2B0C5EAB"/>
    <w:rsid w:val="2BE4A6B5"/>
    <w:rsid w:val="2C1B7A48"/>
    <w:rsid w:val="2E111CD4"/>
    <w:rsid w:val="30E22591"/>
    <w:rsid w:val="3595A123"/>
    <w:rsid w:val="3595F862"/>
    <w:rsid w:val="35BD45FF"/>
    <w:rsid w:val="3796D72D"/>
    <w:rsid w:val="37AF2BDB"/>
    <w:rsid w:val="3A580018"/>
    <w:rsid w:val="3AF6033A"/>
    <w:rsid w:val="3B0A7A49"/>
    <w:rsid w:val="3B151957"/>
    <w:rsid w:val="3BF838C7"/>
    <w:rsid w:val="3C91A163"/>
    <w:rsid w:val="3D31D5A6"/>
    <w:rsid w:val="3E9FCF77"/>
    <w:rsid w:val="3EE9CCBD"/>
    <w:rsid w:val="3F2FCD80"/>
    <w:rsid w:val="401193ED"/>
    <w:rsid w:val="4025E865"/>
    <w:rsid w:val="40816A71"/>
    <w:rsid w:val="41306BC2"/>
    <w:rsid w:val="41580955"/>
    <w:rsid w:val="424F3677"/>
    <w:rsid w:val="42918562"/>
    <w:rsid w:val="43E3F833"/>
    <w:rsid w:val="4417FA02"/>
    <w:rsid w:val="44DEAF3D"/>
    <w:rsid w:val="45B78E75"/>
    <w:rsid w:val="48A64133"/>
    <w:rsid w:val="4A440A79"/>
    <w:rsid w:val="4A45E07D"/>
    <w:rsid w:val="4A7A8BE3"/>
    <w:rsid w:val="4AB7EA5A"/>
    <w:rsid w:val="4B8420C5"/>
    <w:rsid w:val="4C0D12A5"/>
    <w:rsid w:val="4C75BEDA"/>
    <w:rsid w:val="4D5990EB"/>
    <w:rsid w:val="4E8F1F79"/>
    <w:rsid w:val="4EBAFC9C"/>
    <w:rsid w:val="4ECA02D6"/>
    <w:rsid w:val="4F14007F"/>
    <w:rsid w:val="4F352167"/>
    <w:rsid w:val="4FC25C25"/>
    <w:rsid w:val="4FC519B8"/>
    <w:rsid w:val="506F201A"/>
    <w:rsid w:val="51A86824"/>
    <w:rsid w:val="52DF26DF"/>
    <w:rsid w:val="52E44F72"/>
    <w:rsid w:val="55054939"/>
    <w:rsid w:val="551E9AD7"/>
    <w:rsid w:val="55982CBC"/>
    <w:rsid w:val="56BDB6C1"/>
    <w:rsid w:val="57E9D4B4"/>
    <w:rsid w:val="5826C7BF"/>
    <w:rsid w:val="59750BDC"/>
    <w:rsid w:val="5AA51721"/>
    <w:rsid w:val="5B739B9C"/>
    <w:rsid w:val="5D57622E"/>
    <w:rsid w:val="5D5A5A08"/>
    <w:rsid w:val="5ED1A487"/>
    <w:rsid w:val="5F5EF491"/>
    <w:rsid w:val="5FFBAB3A"/>
    <w:rsid w:val="60697AEA"/>
    <w:rsid w:val="613DFCEE"/>
    <w:rsid w:val="61882748"/>
    <w:rsid w:val="61CD98A4"/>
    <w:rsid w:val="6236FC62"/>
    <w:rsid w:val="62667AA7"/>
    <w:rsid w:val="62C66AF8"/>
    <w:rsid w:val="62F318CC"/>
    <w:rsid w:val="636B30E8"/>
    <w:rsid w:val="640CCAC2"/>
    <w:rsid w:val="6489FC0B"/>
    <w:rsid w:val="64E7B2AD"/>
    <w:rsid w:val="65B3DFBE"/>
    <w:rsid w:val="667D1A47"/>
    <w:rsid w:val="66CB3E55"/>
    <w:rsid w:val="6884957A"/>
    <w:rsid w:val="68BED74C"/>
    <w:rsid w:val="68CC1B37"/>
    <w:rsid w:val="6905B085"/>
    <w:rsid w:val="69EE2545"/>
    <w:rsid w:val="6C33F6FD"/>
    <w:rsid w:val="6D3A4004"/>
    <w:rsid w:val="6D58602F"/>
    <w:rsid w:val="6D7A439D"/>
    <w:rsid w:val="6DE7A1F4"/>
    <w:rsid w:val="6F10BCA2"/>
    <w:rsid w:val="6FBA3082"/>
    <w:rsid w:val="6FD7FD0D"/>
    <w:rsid w:val="706E0815"/>
    <w:rsid w:val="70BFFF4A"/>
    <w:rsid w:val="722EDBAC"/>
    <w:rsid w:val="72325D39"/>
    <w:rsid w:val="72E1A1A8"/>
    <w:rsid w:val="73696EAD"/>
    <w:rsid w:val="7391E332"/>
    <w:rsid w:val="77309B1B"/>
    <w:rsid w:val="775F6807"/>
    <w:rsid w:val="7794D121"/>
    <w:rsid w:val="79B0024F"/>
    <w:rsid w:val="79F673A7"/>
    <w:rsid w:val="7B66B31C"/>
    <w:rsid w:val="7D26D712"/>
    <w:rsid w:val="7D4C00C7"/>
    <w:rsid w:val="7E15C169"/>
    <w:rsid w:val="7E542001"/>
    <w:rsid w:val="7E65BF60"/>
    <w:rsid w:val="7ED5282A"/>
    <w:rsid w:val="7F04A65B"/>
    <w:rsid w:val="7F5088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594C11EC-021E-4417-949D-F11CF867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D3ABB"/>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3B66FC"/>
    <w:pPr>
      <w:keepNext/>
      <w:numPr>
        <w:numId w:val="54"/>
      </w:numPr>
      <w:spacing w:before="600" w:after="240"/>
      <w:ind w:left="624" w:hanging="624"/>
      <w:outlineLvl w:val="0"/>
    </w:pPr>
    <w:rPr>
      <w:rFonts w:ascii="Arial" w:hAnsi="Arial" w:cs="Arial"/>
      <w:b/>
      <w:bCs/>
      <w:color w:val="1E1545" w:themeColor="text1"/>
      <w:kern w:val="28"/>
      <w:sz w:val="36"/>
      <w:szCs w:val="36"/>
      <w:lang w:eastAsia="en-US"/>
    </w:rPr>
  </w:style>
  <w:style w:type="paragraph" w:styleId="Heading2">
    <w:name w:val="heading 2"/>
    <w:next w:val="Normal"/>
    <w:qFormat/>
    <w:rsid w:val="00E333F2"/>
    <w:pPr>
      <w:keepNext/>
      <w:numPr>
        <w:ilvl w:val="1"/>
        <w:numId w:val="54"/>
      </w:numPr>
      <w:spacing w:before="360" w:after="240"/>
      <w:outlineLvl w:val="1"/>
    </w:pPr>
    <w:rPr>
      <w:rFonts w:ascii="Arial" w:hAnsi="Arial" w:cs="Arial"/>
      <w:b/>
      <w:bCs/>
      <w:iCs/>
      <w:color w:val="2AB1BB" w:themeColor="accent1"/>
      <w:sz w:val="24"/>
      <w:szCs w:val="28"/>
      <w:lang w:eastAsia="en-US"/>
    </w:rPr>
  </w:style>
  <w:style w:type="paragraph" w:styleId="Heading3">
    <w:name w:val="heading 3"/>
    <w:next w:val="Normal"/>
    <w:link w:val="Heading3Char"/>
    <w:qFormat/>
    <w:rsid w:val="006D27F3"/>
    <w:pPr>
      <w:keepNext/>
      <w:numPr>
        <w:ilvl w:val="2"/>
        <w:numId w:val="54"/>
      </w:numPr>
      <w:spacing w:before="240" w:after="120"/>
      <w:outlineLvl w:val="2"/>
    </w:pPr>
    <w:rPr>
      <w:rFonts w:ascii="Arial" w:hAnsi="Arial" w:cs="Arial"/>
      <w:b/>
      <w:bCs/>
      <w:color w:val="2AB1BB" w:themeColor="accent1"/>
      <w:sz w:val="24"/>
      <w:szCs w:val="22"/>
      <w:lang w:eastAsia="en-US"/>
    </w:rPr>
  </w:style>
  <w:style w:type="paragraph" w:styleId="Heading4">
    <w:name w:val="heading 4"/>
    <w:next w:val="Normal"/>
    <w:link w:val="Heading4Char"/>
    <w:qFormat/>
    <w:rsid w:val="00E169D8"/>
    <w:pPr>
      <w:keepNext/>
      <w:numPr>
        <w:ilvl w:val="3"/>
        <w:numId w:val="54"/>
      </w:numPr>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numPr>
        <w:ilvl w:val="4"/>
        <w:numId w:val="54"/>
      </w:numPr>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numPr>
        <w:ilvl w:val="5"/>
        <w:numId w:val="54"/>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numPr>
        <w:ilvl w:val="6"/>
        <w:numId w:val="54"/>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F32566"/>
    <w:pPr>
      <w:keepNext/>
      <w:keepLines/>
      <w:numPr>
        <w:ilvl w:val="7"/>
        <w:numId w:val="54"/>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F32566"/>
    <w:pPr>
      <w:keepNext/>
      <w:keepLines/>
      <w:numPr>
        <w:ilvl w:val="8"/>
        <w:numId w:val="54"/>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5"/>
      </w:numPr>
    </w:pPr>
  </w:style>
  <w:style w:type="paragraph" w:styleId="ListNumber2">
    <w:name w:val="List Number 2"/>
    <w:basedOn w:val="Normal"/>
    <w:qFormat/>
    <w:rsid w:val="00B87988"/>
    <w:pPr>
      <w:numPr>
        <w:numId w:val="4"/>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6"/>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3B6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ED3ABB"/>
    <w:pPr>
      <w:tabs>
        <w:tab w:val="center" w:pos="4513"/>
        <w:tab w:val="right" w:pos="9026"/>
      </w:tabs>
      <w:outlineLvl w:val="0"/>
    </w:pPr>
    <w:rPr>
      <w:rFonts w:ascii="Arial" w:hAnsi="Arial"/>
      <w:b/>
      <w:color w:val="1E1545" w:themeColor="text2"/>
      <w:sz w:val="36"/>
      <w:szCs w:val="24"/>
      <w:lang w:eastAsia="en-US"/>
    </w:rPr>
  </w:style>
  <w:style w:type="character" w:customStyle="1" w:styleId="HeaderChar">
    <w:name w:val="Header Char"/>
    <w:basedOn w:val="DefaultParagraphFont"/>
    <w:link w:val="Header"/>
    <w:rsid w:val="00ED3ABB"/>
    <w:rPr>
      <w:rFonts w:ascii="Arial" w:hAnsi="Arial"/>
      <w:b/>
      <w:color w:val="1E1545" w:themeColor="text2"/>
      <w:sz w:val="36"/>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ED3ABB"/>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val="0"/>
        <w:color w:val="F1F2F2" w:themeColor="background1"/>
        <w:sz w:val="22"/>
      </w:rPr>
      <w:tblPr/>
      <w:tcPr>
        <w:shd w:val="clear" w:color="auto" w:fill="32373A"/>
      </w:tcPr>
    </w:tblStylePr>
    <w:tblStylePr w:type="firstCol">
      <w:rPr>
        <w:b/>
      </w:rPr>
    </w:tblStylePr>
  </w:style>
  <w:style w:type="paragraph" w:customStyle="1" w:styleId="Tablelistbullet">
    <w:name w:val="Table list bullet"/>
    <w:basedOn w:val="Tabletext"/>
    <w:qFormat/>
    <w:rsid w:val="00BF7AD7"/>
    <w:pPr>
      <w:numPr>
        <w:numId w:val="7"/>
      </w:numPr>
    </w:pPr>
  </w:style>
  <w:style w:type="paragraph" w:customStyle="1" w:styleId="Tablelistnumber">
    <w:name w:val="Table list number"/>
    <w:basedOn w:val="Tabletext"/>
    <w:qFormat/>
    <w:rsid w:val="00BF7AD7"/>
    <w:pPr>
      <w:numPr>
        <w:numId w:val="8"/>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984611"/>
    <w:pPr>
      <w:spacing w:before="480" w:after="240" w:line="400" w:lineRule="exact"/>
    </w:pPr>
    <w:rPr>
      <w:color w:val="2AB1BB" w:themeColor="accent1"/>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9"/>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0"/>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55"/>
      </w:num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1"/>
      </w:numPr>
    </w:pPr>
  </w:style>
  <w:style w:type="numbering" w:customStyle="1" w:styleId="CurrentList1">
    <w:name w:val="Current List1"/>
    <w:uiPriority w:val="99"/>
    <w:rsid w:val="008E6354"/>
    <w:pPr>
      <w:numPr>
        <w:numId w:val="12"/>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F73179"/>
    <w:rPr>
      <w:rFonts w:ascii="Arial" w:hAnsi="Arial"/>
      <w:b/>
      <w:bCs/>
      <w:iCs/>
      <w:color w:val="1E1545" w:themeColor="text1"/>
      <w:sz w:val="24"/>
      <w:szCs w:val="24"/>
      <w:lang w:eastAsia="en-US"/>
    </w:rPr>
  </w:style>
  <w:style w:type="character" w:customStyle="1" w:styleId="Style3Char">
    <w:name w:val="Style3 Char"/>
    <w:basedOn w:val="Heading4Char"/>
    <w:link w:val="Style3"/>
    <w:rsid w:val="00F73179"/>
    <w:rPr>
      <w:rFonts w:ascii="Aptos" w:hAnsi="Aptos"/>
      <w:b/>
      <w:bCs/>
      <w:iCs/>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520EED"/>
    <w:pPr>
      <w:numPr>
        <w:numId w:val="13"/>
      </w:numPr>
      <w:contextualSpacing/>
    </w:p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ED3ABB"/>
    <w:pPr>
      <w:spacing w:before="360"/>
      <w:outlineLvl w:val="1"/>
    </w:pPr>
    <w:rPr>
      <w:rFonts w:cstheme="minorBidi"/>
      <w:b/>
      <w:bCs/>
      <w:noProof/>
      <w:color w:val="2AB1BB" w:themeColor="accent1"/>
      <w:shd w:val="clear" w:color="auto" w:fill="FFFFFF"/>
      <w:lang w:eastAsia="en-GB"/>
    </w:rPr>
  </w:style>
  <w:style w:type="paragraph" w:customStyle="1" w:styleId="paragraph">
    <w:name w:val="paragraph"/>
    <w:basedOn w:val="Normal"/>
    <w:rsid w:val="00B763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B7636C"/>
  </w:style>
  <w:style w:type="character" w:customStyle="1" w:styleId="eop">
    <w:name w:val="eop"/>
    <w:basedOn w:val="DefaultParagraphFont"/>
    <w:rsid w:val="00B7636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rsid w:val="00920E7A"/>
    <w:rPr>
      <w:rFonts w:ascii="Arial" w:hAnsi="Arial"/>
      <w:color w:val="1E1545" w:themeColor="text1"/>
      <w:sz w:val="24"/>
      <w:szCs w:val="24"/>
      <w:lang w:eastAsia="en-US"/>
    </w:rPr>
  </w:style>
  <w:style w:type="paragraph" w:customStyle="1" w:styleId="NormalText">
    <w:name w:val="Normal Text"/>
    <w:basedOn w:val="Normal"/>
    <w:qFormat/>
    <w:rsid w:val="009464E9"/>
    <w:pPr>
      <w:spacing w:line="288" w:lineRule="auto"/>
    </w:pPr>
    <w:rPr>
      <w:rFonts w:cstheme="minorBidi"/>
      <w:szCs w:val="20"/>
      <w:shd w:val="clear" w:color="auto" w:fill="FFFFFF"/>
      <w:lang w:eastAsia="en-GB"/>
    </w:rPr>
  </w:style>
  <w:style w:type="character" w:styleId="Mention">
    <w:name w:val="Mention"/>
    <w:basedOn w:val="DefaultParagraphFont"/>
    <w:uiPriority w:val="99"/>
    <w:unhideWhenUsed/>
    <w:rsid w:val="00CA72EE"/>
    <w:rPr>
      <w:color w:val="2B579A"/>
      <w:shd w:val="clear" w:color="auto" w:fill="E1DFDD"/>
    </w:rPr>
  </w:style>
  <w:style w:type="paragraph" w:customStyle="1" w:styleId="Titleforpagesbetweensections">
    <w:name w:val="Title for pages between sections"/>
    <w:basedOn w:val="SectionTitle"/>
    <w:link w:val="TitleforpagesbetweensectionsChar"/>
    <w:qFormat/>
    <w:rsid w:val="002C13D1"/>
    <w:rPr>
      <w:rFonts w:cs="Arial"/>
    </w:rPr>
  </w:style>
  <w:style w:type="character" w:customStyle="1" w:styleId="SectionTitleChar">
    <w:name w:val="Section Title Char"/>
    <w:basedOn w:val="DefaultParagraphFont"/>
    <w:link w:val="SectionTitle"/>
    <w:rsid w:val="002C13D1"/>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2C13D1"/>
    <w:rPr>
      <w:rFonts w:ascii="Arial" w:hAnsi="Arial" w:cs="Arial"/>
      <w:b/>
      <w:bCs/>
      <w:color w:val="F1F2F2" w:themeColor="background1"/>
      <w:sz w:val="80"/>
      <w:szCs w:val="80"/>
      <w:shd w:val="clear" w:color="auto" w:fill="1E1545" w:themeFill="text1"/>
      <w:lang w:eastAsia="en-US"/>
    </w:rPr>
  </w:style>
  <w:style w:type="paragraph" w:customStyle="1" w:styleId="Sub-headingforsections">
    <w:name w:val="Sub-heading for sections"/>
    <w:basedOn w:val="Heading3"/>
    <w:link w:val="Sub-headingforsectionsChar"/>
    <w:qFormat/>
    <w:rsid w:val="00F32566"/>
    <w:pPr>
      <w:outlineLvl w:val="1"/>
    </w:pPr>
  </w:style>
  <w:style w:type="character" w:customStyle="1" w:styleId="Heading3Char">
    <w:name w:val="Heading 3 Char"/>
    <w:basedOn w:val="DefaultParagraphFont"/>
    <w:link w:val="Heading3"/>
    <w:rsid w:val="006D27F3"/>
    <w:rPr>
      <w:rFonts w:ascii="Arial" w:hAnsi="Arial" w:cs="Arial"/>
      <w:b/>
      <w:bCs/>
      <w:color w:val="2AB1BB" w:themeColor="accent1"/>
      <w:sz w:val="24"/>
      <w:szCs w:val="22"/>
      <w:lang w:eastAsia="en-US"/>
    </w:rPr>
  </w:style>
  <w:style w:type="character" w:customStyle="1" w:styleId="Sub-headingforsectionsChar">
    <w:name w:val="Sub-heading for sections Char"/>
    <w:basedOn w:val="Heading3Char"/>
    <w:link w:val="Sub-headingforsections"/>
    <w:rsid w:val="00F32566"/>
    <w:rPr>
      <w:rFonts w:ascii="Arial" w:hAnsi="Arial" w:cs="Arial"/>
      <w:b/>
      <w:bCs/>
      <w:color w:val="2AB1BB" w:themeColor="accent1"/>
      <w:sz w:val="24"/>
      <w:szCs w:val="22"/>
      <w:lang w:eastAsia="en-US"/>
    </w:rPr>
  </w:style>
  <w:style w:type="paragraph" w:customStyle="1" w:styleId="SubjectHeading">
    <w:name w:val="Subject Heading"/>
    <w:basedOn w:val="Normal"/>
    <w:link w:val="SubjectHeadingChar"/>
    <w:qFormat/>
    <w:rsid w:val="00E333F2"/>
    <w:pPr>
      <w:pBdr>
        <w:top w:val="single" w:sz="6" w:space="1" w:color="2AB1BB" w:themeColor="accent1"/>
        <w:bottom w:val="single" w:sz="6" w:space="1" w:color="2AB1BB" w:themeColor="accent1"/>
        <w:between w:val="single" w:sz="6" w:space="1" w:color="2AB1BB" w:themeColor="accent1"/>
      </w:pBdr>
      <w:tabs>
        <w:tab w:val="left" w:pos="480"/>
        <w:tab w:val="right" w:pos="9061"/>
      </w:tabs>
      <w:spacing w:before="240" w:after="240"/>
    </w:pPr>
    <w:rPr>
      <w:rFonts w:cs="Arial"/>
      <w:b/>
    </w:rPr>
  </w:style>
  <w:style w:type="character" w:customStyle="1" w:styleId="SubjectHeadingChar">
    <w:name w:val="Subject Heading Char"/>
    <w:basedOn w:val="DefaultParagraphFont"/>
    <w:link w:val="SubjectHeading"/>
    <w:rsid w:val="00E333F2"/>
    <w:rPr>
      <w:rFonts w:ascii="Arial" w:hAnsi="Arial" w:cs="Arial"/>
      <w:b/>
      <w:color w:val="1E1545" w:themeColor="text1"/>
      <w:sz w:val="24"/>
      <w:szCs w:val="24"/>
      <w:lang w:eastAsia="en-US"/>
    </w:rPr>
  </w:style>
  <w:style w:type="character" w:customStyle="1" w:styleId="Heading8Char">
    <w:name w:val="Heading 8 Char"/>
    <w:basedOn w:val="DefaultParagraphFont"/>
    <w:link w:val="Heading8"/>
    <w:semiHidden/>
    <w:rsid w:val="00F32566"/>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semiHidden/>
    <w:rsid w:val="00F32566"/>
    <w:rPr>
      <w:rFonts w:asciiTheme="majorHAnsi" w:eastAsiaTheme="majorEastAsia" w:hAnsiTheme="majorHAnsi" w:cstheme="majorBidi"/>
      <w:i/>
      <w:iCs/>
      <w:color w:val="332476" w:themeColor="text1" w:themeTint="D8"/>
      <w:sz w:val="21"/>
      <w:szCs w:val="21"/>
      <w:lang w:eastAsia="en-US"/>
    </w:rPr>
  </w:style>
  <w:style w:type="paragraph" w:styleId="List5">
    <w:name w:val="List 5"/>
    <w:basedOn w:val="Normal"/>
    <w:rsid w:val="00E333F2"/>
    <w:pPr>
      <w:ind w:left="1415" w:hanging="283"/>
      <w:contextualSpacing/>
    </w:pPr>
  </w:style>
  <w:style w:type="paragraph" w:styleId="Date">
    <w:name w:val="Date"/>
    <w:basedOn w:val="Normal"/>
    <w:next w:val="Normal"/>
    <w:link w:val="DateChar"/>
    <w:rsid w:val="00ED3ABB"/>
    <w:rPr>
      <w:b/>
      <w:color w:val="1E1545" w:themeColor="text2"/>
      <w:sz w:val="28"/>
    </w:rPr>
  </w:style>
  <w:style w:type="character" w:customStyle="1" w:styleId="DateChar">
    <w:name w:val="Date Char"/>
    <w:basedOn w:val="DefaultParagraphFont"/>
    <w:link w:val="Date"/>
    <w:rsid w:val="00ED3ABB"/>
    <w:rPr>
      <w:rFonts w:ascii="Arial" w:hAnsi="Arial"/>
      <w:b/>
      <w:color w:val="1E1545" w:themeColor="text2"/>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0690229">
      <w:bodyDiv w:val="1"/>
      <w:marLeft w:val="0"/>
      <w:marRight w:val="0"/>
      <w:marTop w:val="0"/>
      <w:marBottom w:val="0"/>
      <w:divBdr>
        <w:top w:val="none" w:sz="0" w:space="0" w:color="auto"/>
        <w:left w:val="none" w:sz="0" w:space="0" w:color="auto"/>
        <w:bottom w:val="none" w:sz="0" w:space="0" w:color="auto"/>
        <w:right w:val="none" w:sz="0" w:space="0" w:color="auto"/>
      </w:divBdr>
      <w:divsChild>
        <w:div w:id="318384873">
          <w:marLeft w:val="0"/>
          <w:marRight w:val="0"/>
          <w:marTop w:val="0"/>
          <w:marBottom w:val="0"/>
          <w:divBdr>
            <w:top w:val="none" w:sz="0" w:space="0" w:color="auto"/>
            <w:left w:val="none" w:sz="0" w:space="0" w:color="auto"/>
            <w:bottom w:val="none" w:sz="0" w:space="0" w:color="auto"/>
            <w:right w:val="none" w:sz="0" w:space="0" w:color="auto"/>
          </w:divBdr>
        </w:div>
        <w:div w:id="1005789634">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084598">
      <w:bodyDiv w:val="1"/>
      <w:marLeft w:val="0"/>
      <w:marRight w:val="0"/>
      <w:marTop w:val="0"/>
      <w:marBottom w:val="0"/>
      <w:divBdr>
        <w:top w:val="none" w:sz="0" w:space="0" w:color="auto"/>
        <w:left w:val="none" w:sz="0" w:space="0" w:color="auto"/>
        <w:bottom w:val="none" w:sz="0" w:space="0" w:color="auto"/>
        <w:right w:val="none" w:sz="0" w:space="0" w:color="auto"/>
      </w:divBdr>
      <w:divsChild>
        <w:div w:id="15740135">
          <w:marLeft w:val="0"/>
          <w:marRight w:val="0"/>
          <w:marTop w:val="0"/>
          <w:marBottom w:val="0"/>
          <w:divBdr>
            <w:top w:val="none" w:sz="0" w:space="0" w:color="auto"/>
            <w:left w:val="none" w:sz="0" w:space="0" w:color="auto"/>
            <w:bottom w:val="none" w:sz="0" w:space="0" w:color="auto"/>
            <w:right w:val="none" w:sz="0" w:space="0" w:color="auto"/>
          </w:divBdr>
          <w:divsChild>
            <w:div w:id="1217397280">
              <w:marLeft w:val="0"/>
              <w:marRight w:val="0"/>
              <w:marTop w:val="0"/>
              <w:marBottom w:val="0"/>
              <w:divBdr>
                <w:top w:val="none" w:sz="0" w:space="0" w:color="auto"/>
                <w:left w:val="none" w:sz="0" w:space="0" w:color="auto"/>
                <w:bottom w:val="none" w:sz="0" w:space="0" w:color="auto"/>
                <w:right w:val="none" w:sz="0" w:space="0" w:color="auto"/>
              </w:divBdr>
            </w:div>
          </w:divsChild>
        </w:div>
        <w:div w:id="40058025">
          <w:marLeft w:val="0"/>
          <w:marRight w:val="0"/>
          <w:marTop w:val="0"/>
          <w:marBottom w:val="0"/>
          <w:divBdr>
            <w:top w:val="none" w:sz="0" w:space="0" w:color="auto"/>
            <w:left w:val="none" w:sz="0" w:space="0" w:color="auto"/>
            <w:bottom w:val="none" w:sz="0" w:space="0" w:color="auto"/>
            <w:right w:val="none" w:sz="0" w:space="0" w:color="auto"/>
          </w:divBdr>
          <w:divsChild>
            <w:div w:id="1008362626">
              <w:marLeft w:val="0"/>
              <w:marRight w:val="0"/>
              <w:marTop w:val="0"/>
              <w:marBottom w:val="0"/>
              <w:divBdr>
                <w:top w:val="none" w:sz="0" w:space="0" w:color="auto"/>
                <w:left w:val="none" w:sz="0" w:space="0" w:color="auto"/>
                <w:bottom w:val="none" w:sz="0" w:space="0" w:color="auto"/>
                <w:right w:val="none" w:sz="0" w:space="0" w:color="auto"/>
              </w:divBdr>
            </w:div>
          </w:divsChild>
        </w:div>
        <w:div w:id="42559001">
          <w:marLeft w:val="0"/>
          <w:marRight w:val="0"/>
          <w:marTop w:val="0"/>
          <w:marBottom w:val="0"/>
          <w:divBdr>
            <w:top w:val="none" w:sz="0" w:space="0" w:color="auto"/>
            <w:left w:val="none" w:sz="0" w:space="0" w:color="auto"/>
            <w:bottom w:val="none" w:sz="0" w:space="0" w:color="auto"/>
            <w:right w:val="none" w:sz="0" w:space="0" w:color="auto"/>
          </w:divBdr>
          <w:divsChild>
            <w:div w:id="77748934">
              <w:marLeft w:val="0"/>
              <w:marRight w:val="0"/>
              <w:marTop w:val="0"/>
              <w:marBottom w:val="0"/>
              <w:divBdr>
                <w:top w:val="none" w:sz="0" w:space="0" w:color="auto"/>
                <w:left w:val="none" w:sz="0" w:space="0" w:color="auto"/>
                <w:bottom w:val="none" w:sz="0" w:space="0" w:color="auto"/>
                <w:right w:val="none" w:sz="0" w:space="0" w:color="auto"/>
              </w:divBdr>
            </w:div>
          </w:divsChild>
        </w:div>
        <w:div w:id="85810443">
          <w:marLeft w:val="0"/>
          <w:marRight w:val="0"/>
          <w:marTop w:val="0"/>
          <w:marBottom w:val="0"/>
          <w:divBdr>
            <w:top w:val="none" w:sz="0" w:space="0" w:color="auto"/>
            <w:left w:val="none" w:sz="0" w:space="0" w:color="auto"/>
            <w:bottom w:val="none" w:sz="0" w:space="0" w:color="auto"/>
            <w:right w:val="none" w:sz="0" w:space="0" w:color="auto"/>
          </w:divBdr>
          <w:divsChild>
            <w:div w:id="617838861">
              <w:marLeft w:val="0"/>
              <w:marRight w:val="0"/>
              <w:marTop w:val="0"/>
              <w:marBottom w:val="0"/>
              <w:divBdr>
                <w:top w:val="none" w:sz="0" w:space="0" w:color="auto"/>
                <w:left w:val="none" w:sz="0" w:space="0" w:color="auto"/>
                <w:bottom w:val="none" w:sz="0" w:space="0" w:color="auto"/>
                <w:right w:val="none" w:sz="0" w:space="0" w:color="auto"/>
              </w:divBdr>
            </w:div>
          </w:divsChild>
        </w:div>
        <w:div w:id="107437798">
          <w:marLeft w:val="0"/>
          <w:marRight w:val="0"/>
          <w:marTop w:val="0"/>
          <w:marBottom w:val="0"/>
          <w:divBdr>
            <w:top w:val="none" w:sz="0" w:space="0" w:color="auto"/>
            <w:left w:val="none" w:sz="0" w:space="0" w:color="auto"/>
            <w:bottom w:val="none" w:sz="0" w:space="0" w:color="auto"/>
            <w:right w:val="none" w:sz="0" w:space="0" w:color="auto"/>
          </w:divBdr>
          <w:divsChild>
            <w:div w:id="547957846">
              <w:marLeft w:val="0"/>
              <w:marRight w:val="0"/>
              <w:marTop w:val="0"/>
              <w:marBottom w:val="0"/>
              <w:divBdr>
                <w:top w:val="none" w:sz="0" w:space="0" w:color="auto"/>
                <w:left w:val="none" w:sz="0" w:space="0" w:color="auto"/>
                <w:bottom w:val="none" w:sz="0" w:space="0" w:color="auto"/>
                <w:right w:val="none" w:sz="0" w:space="0" w:color="auto"/>
              </w:divBdr>
            </w:div>
          </w:divsChild>
        </w:div>
        <w:div w:id="115293872">
          <w:marLeft w:val="0"/>
          <w:marRight w:val="0"/>
          <w:marTop w:val="0"/>
          <w:marBottom w:val="0"/>
          <w:divBdr>
            <w:top w:val="none" w:sz="0" w:space="0" w:color="auto"/>
            <w:left w:val="none" w:sz="0" w:space="0" w:color="auto"/>
            <w:bottom w:val="none" w:sz="0" w:space="0" w:color="auto"/>
            <w:right w:val="none" w:sz="0" w:space="0" w:color="auto"/>
          </w:divBdr>
          <w:divsChild>
            <w:div w:id="1375421682">
              <w:marLeft w:val="0"/>
              <w:marRight w:val="0"/>
              <w:marTop w:val="0"/>
              <w:marBottom w:val="0"/>
              <w:divBdr>
                <w:top w:val="none" w:sz="0" w:space="0" w:color="auto"/>
                <w:left w:val="none" w:sz="0" w:space="0" w:color="auto"/>
                <w:bottom w:val="none" w:sz="0" w:space="0" w:color="auto"/>
                <w:right w:val="none" w:sz="0" w:space="0" w:color="auto"/>
              </w:divBdr>
            </w:div>
          </w:divsChild>
        </w:div>
        <w:div w:id="123894425">
          <w:marLeft w:val="0"/>
          <w:marRight w:val="0"/>
          <w:marTop w:val="0"/>
          <w:marBottom w:val="0"/>
          <w:divBdr>
            <w:top w:val="none" w:sz="0" w:space="0" w:color="auto"/>
            <w:left w:val="none" w:sz="0" w:space="0" w:color="auto"/>
            <w:bottom w:val="none" w:sz="0" w:space="0" w:color="auto"/>
            <w:right w:val="none" w:sz="0" w:space="0" w:color="auto"/>
          </w:divBdr>
          <w:divsChild>
            <w:div w:id="1234202782">
              <w:marLeft w:val="0"/>
              <w:marRight w:val="0"/>
              <w:marTop w:val="0"/>
              <w:marBottom w:val="0"/>
              <w:divBdr>
                <w:top w:val="none" w:sz="0" w:space="0" w:color="auto"/>
                <w:left w:val="none" w:sz="0" w:space="0" w:color="auto"/>
                <w:bottom w:val="none" w:sz="0" w:space="0" w:color="auto"/>
                <w:right w:val="none" w:sz="0" w:space="0" w:color="auto"/>
              </w:divBdr>
            </w:div>
          </w:divsChild>
        </w:div>
        <w:div w:id="179515763">
          <w:marLeft w:val="0"/>
          <w:marRight w:val="0"/>
          <w:marTop w:val="0"/>
          <w:marBottom w:val="0"/>
          <w:divBdr>
            <w:top w:val="none" w:sz="0" w:space="0" w:color="auto"/>
            <w:left w:val="none" w:sz="0" w:space="0" w:color="auto"/>
            <w:bottom w:val="none" w:sz="0" w:space="0" w:color="auto"/>
            <w:right w:val="none" w:sz="0" w:space="0" w:color="auto"/>
          </w:divBdr>
          <w:divsChild>
            <w:div w:id="318267012">
              <w:marLeft w:val="0"/>
              <w:marRight w:val="0"/>
              <w:marTop w:val="0"/>
              <w:marBottom w:val="0"/>
              <w:divBdr>
                <w:top w:val="none" w:sz="0" w:space="0" w:color="auto"/>
                <w:left w:val="none" w:sz="0" w:space="0" w:color="auto"/>
                <w:bottom w:val="none" w:sz="0" w:space="0" w:color="auto"/>
                <w:right w:val="none" w:sz="0" w:space="0" w:color="auto"/>
              </w:divBdr>
            </w:div>
          </w:divsChild>
        </w:div>
        <w:div w:id="219443535">
          <w:marLeft w:val="0"/>
          <w:marRight w:val="0"/>
          <w:marTop w:val="0"/>
          <w:marBottom w:val="0"/>
          <w:divBdr>
            <w:top w:val="none" w:sz="0" w:space="0" w:color="auto"/>
            <w:left w:val="none" w:sz="0" w:space="0" w:color="auto"/>
            <w:bottom w:val="none" w:sz="0" w:space="0" w:color="auto"/>
            <w:right w:val="none" w:sz="0" w:space="0" w:color="auto"/>
          </w:divBdr>
          <w:divsChild>
            <w:div w:id="216085541">
              <w:marLeft w:val="0"/>
              <w:marRight w:val="0"/>
              <w:marTop w:val="0"/>
              <w:marBottom w:val="0"/>
              <w:divBdr>
                <w:top w:val="none" w:sz="0" w:space="0" w:color="auto"/>
                <w:left w:val="none" w:sz="0" w:space="0" w:color="auto"/>
                <w:bottom w:val="none" w:sz="0" w:space="0" w:color="auto"/>
                <w:right w:val="none" w:sz="0" w:space="0" w:color="auto"/>
              </w:divBdr>
            </w:div>
          </w:divsChild>
        </w:div>
        <w:div w:id="240796794">
          <w:marLeft w:val="0"/>
          <w:marRight w:val="0"/>
          <w:marTop w:val="0"/>
          <w:marBottom w:val="0"/>
          <w:divBdr>
            <w:top w:val="none" w:sz="0" w:space="0" w:color="auto"/>
            <w:left w:val="none" w:sz="0" w:space="0" w:color="auto"/>
            <w:bottom w:val="none" w:sz="0" w:space="0" w:color="auto"/>
            <w:right w:val="none" w:sz="0" w:space="0" w:color="auto"/>
          </w:divBdr>
          <w:divsChild>
            <w:div w:id="1530333125">
              <w:marLeft w:val="0"/>
              <w:marRight w:val="0"/>
              <w:marTop w:val="0"/>
              <w:marBottom w:val="0"/>
              <w:divBdr>
                <w:top w:val="none" w:sz="0" w:space="0" w:color="auto"/>
                <w:left w:val="none" w:sz="0" w:space="0" w:color="auto"/>
                <w:bottom w:val="none" w:sz="0" w:space="0" w:color="auto"/>
                <w:right w:val="none" w:sz="0" w:space="0" w:color="auto"/>
              </w:divBdr>
            </w:div>
          </w:divsChild>
        </w:div>
        <w:div w:id="262420023">
          <w:marLeft w:val="0"/>
          <w:marRight w:val="0"/>
          <w:marTop w:val="0"/>
          <w:marBottom w:val="0"/>
          <w:divBdr>
            <w:top w:val="none" w:sz="0" w:space="0" w:color="auto"/>
            <w:left w:val="none" w:sz="0" w:space="0" w:color="auto"/>
            <w:bottom w:val="none" w:sz="0" w:space="0" w:color="auto"/>
            <w:right w:val="none" w:sz="0" w:space="0" w:color="auto"/>
          </w:divBdr>
          <w:divsChild>
            <w:div w:id="275985512">
              <w:marLeft w:val="0"/>
              <w:marRight w:val="0"/>
              <w:marTop w:val="0"/>
              <w:marBottom w:val="0"/>
              <w:divBdr>
                <w:top w:val="none" w:sz="0" w:space="0" w:color="auto"/>
                <w:left w:val="none" w:sz="0" w:space="0" w:color="auto"/>
                <w:bottom w:val="none" w:sz="0" w:space="0" w:color="auto"/>
                <w:right w:val="none" w:sz="0" w:space="0" w:color="auto"/>
              </w:divBdr>
            </w:div>
          </w:divsChild>
        </w:div>
        <w:div w:id="354624012">
          <w:marLeft w:val="0"/>
          <w:marRight w:val="0"/>
          <w:marTop w:val="0"/>
          <w:marBottom w:val="0"/>
          <w:divBdr>
            <w:top w:val="none" w:sz="0" w:space="0" w:color="auto"/>
            <w:left w:val="none" w:sz="0" w:space="0" w:color="auto"/>
            <w:bottom w:val="none" w:sz="0" w:space="0" w:color="auto"/>
            <w:right w:val="none" w:sz="0" w:space="0" w:color="auto"/>
          </w:divBdr>
          <w:divsChild>
            <w:div w:id="446894415">
              <w:marLeft w:val="0"/>
              <w:marRight w:val="0"/>
              <w:marTop w:val="0"/>
              <w:marBottom w:val="0"/>
              <w:divBdr>
                <w:top w:val="none" w:sz="0" w:space="0" w:color="auto"/>
                <w:left w:val="none" w:sz="0" w:space="0" w:color="auto"/>
                <w:bottom w:val="none" w:sz="0" w:space="0" w:color="auto"/>
                <w:right w:val="none" w:sz="0" w:space="0" w:color="auto"/>
              </w:divBdr>
            </w:div>
          </w:divsChild>
        </w:div>
        <w:div w:id="359161502">
          <w:marLeft w:val="0"/>
          <w:marRight w:val="0"/>
          <w:marTop w:val="0"/>
          <w:marBottom w:val="0"/>
          <w:divBdr>
            <w:top w:val="none" w:sz="0" w:space="0" w:color="auto"/>
            <w:left w:val="none" w:sz="0" w:space="0" w:color="auto"/>
            <w:bottom w:val="none" w:sz="0" w:space="0" w:color="auto"/>
            <w:right w:val="none" w:sz="0" w:space="0" w:color="auto"/>
          </w:divBdr>
          <w:divsChild>
            <w:div w:id="1061249265">
              <w:marLeft w:val="0"/>
              <w:marRight w:val="0"/>
              <w:marTop w:val="0"/>
              <w:marBottom w:val="0"/>
              <w:divBdr>
                <w:top w:val="none" w:sz="0" w:space="0" w:color="auto"/>
                <w:left w:val="none" w:sz="0" w:space="0" w:color="auto"/>
                <w:bottom w:val="none" w:sz="0" w:space="0" w:color="auto"/>
                <w:right w:val="none" w:sz="0" w:space="0" w:color="auto"/>
              </w:divBdr>
            </w:div>
          </w:divsChild>
        </w:div>
        <w:div w:id="379281363">
          <w:marLeft w:val="0"/>
          <w:marRight w:val="0"/>
          <w:marTop w:val="0"/>
          <w:marBottom w:val="0"/>
          <w:divBdr>
            <w:top w:val="none" w:sz="0" w:space="0" w:color="auto"/>
            <w:left w:val="none" w:sz="0" w:space="0" w:color="auto"/>
            <w:bottom w:val="none" w:sz="0" w:space="0" w:color="auto"/>
            <w:right w:val="none" w:sz="0" w:space="0" w:color="auto"/>
          </w:divBdr>
          <w:divsChild>
            <w:div w:id="112990283">
              <w:marLeft w:val="0"/>
              <w:marRight w:val="0"/>
              <w:marTop w:val="0"/>
              <w:marBottom w:val="0"/>
              <w:divBdr>
                <w:top w:val="none" w:sz="0" w:space="0" w:color="auto"/>
                <w:left w:val="none" w:sz="0" w:space="0" w:color="auto"/>
                <w:bottom w:val="none" w:sz="0" w:space="0" w:color="auto"/>
                <w:right w:val="none" w:sz="0" w:space="0" w:color="auto"/>
              </w:divBdr>
            </w:div>
          </w:divsChild>
        </w:div>
        <w:div w:id="414909782">
          <w:marLeft w:val="0"/>
          <w:marRight w:val="0"/>
          <w:marTop w:val="0"/>
          <w:marBottom w:val="0"/>
          <w:divBdr>
            <w:top w:val="none" w:sz="0" w:space="0" w:color="auto"/>
            <w:left w:val="none" w:sz="0" w:space="0" w:color="auto"/>
            <w:bottom w:val="none" w:sz="0" w:space="0" w:color="auto"/>
            <w:right w:val="none" w:sz="0" w:space="0" w:color="auto"/>
          </w:divBdr>
          <w:divsChild>
            <w:div w:id="1887378238">
              <w:marLeft w:val="0"/>
              <w:marRight w:val="0"/>
              <w:marTop w:val="0"/>
              <w:marBottom w:val="0"/>
              <w:divBdr>
                <w:top w:val="none" w:sz="0" w:space="0" w:color="auto"/>
                <w:left w:val="none" w:sz="0" w:space="0" w:color="auto"/>
                <w:bottom w:val="none" w:sz="0" w:space="0" w:color="auto"/>
                <w:right w:val="none" w:sz="0" w:space="0" w:color="auto"/>
              </w:divBdr>
            </w:div>
          </w:divsChild>
        </w:div>
        <w:div w:id="430009670">
          <w:marLeft w:val="0"/>
          <w:marRight w:val="0"/>
          <w:marTop w:val="0"/>
          <w:marBottom w:val="0"/>
          <w:divBdr>
            <w:top w:val="none" w:sz="0" w:space="0" w:color="auto"/>
            <w:left w:val="none" w:sz="0" w:space="0" w:color="auto"/>
            <w:bottom w:val="none" w:sz="0" w:space="0" w:color="auto"/>
            <w:right w:val="none" w:sz="0" w:space="0" w:color="auto"/>
          </w:divBdr>
          <w:divsChild>
            <w:div w:id="352390566">
              <w:marLeft w:val="0"/>
              <w:marRight w:val="0"/>
              <w:marTop w:val="0"/>
              <w:marBottom w:val="0"/>
              <w:divBdr>
                <w:top w:val="none" w:sz="0" w:space="0" w:color="auto"/>
                <w:left w:val="none" w:sz="0" w:space="0" w:color="auto"/>
                <w:bottom w:val="none" w:sz="0" w:space="0" w:color="auto"/>
                <w:right w:val="none" w:sz="0" w:space="0" w:color="auto"/>
              </w:divBdr>
            </w:div>
          </w:divsChild>
        </w:div>
        <w:div w:id="439031462">
          <w:marLeft w:val="0"/>
          <w:marRight w:val="0"/>
          <w:marTop w:val="0"/>
          <w:marBottom w:val="0"/>
          <w:divBdr>
            <w:top w:val="none" w:sz="0" w:space="0" w:color="auto"/>
            <w:left w:val="none" w:sz="0" w:space="0" w:color="auto"/>
            <w:bottom w:val="none" w:sz="0" w:space="0" w:color="auto"/>
            <w:right w:val="none" w:sz="0" w:space="0" w:color="auto"/>
          </w:divBdr>
          <w:divsChild>
            <w:div w:id="1012878112">
              <w:marLeft w:val="0"/>
              <w:marRight w:val="0"/>
              <w:marTop w:val="0"/>
              <w:marBottom w:val="0"/>
              <w:divBdr>
                <w:top w:val="none" w:sz="0" w:space="0" w:color="auto"/>
                <w:left w:val="none" w:sz="0" w:space="0" w:color="auto"/>
                <w:bottom w:val="none" w:sz="0" w:space="0" w:color="auto"/>
                <w:right w:val="none" w:sz="0" w:space="0" w:color="auto"/>
              </w:divBdr>
            </w:div>
          </w:divsChild>
        </w:div>
        <w:div w:id="448671568">
          <w:marLeft w:val="0"/>
          <w:marRight w:val="0"/>
          <w:marTop w:val="0"/>
          <w:marBottom w:val="0"/>
          <w:divBdr>
            <w:top w:val="none" w:sz="0" w:space="0" w:color="auto"/>
            <w:left w:val="none" w:sz="0" w:space="0" w:color="auto"/>
            <w:bottom w:val="none" w:sz="0" w:space="0" w:color="auto"/>
            <w:right w:val="none" w:sz="0" w:space="0" w:color="auto"/>
          </w:divBdr>
          <w:divsChild>
            <w:div w:id="1876386009">
              <w:marLeft w:val="0"/>
              <w:marRight w:val="0"/>
              <w:marTop w:val="0"/>
              <w:marBottom w:val="0"/>
              <w:divBdr>
                <w:top w:val="none" w:sz="0" w:space="0" w:color="auto"/>
                <w:left w:val="none" w:sz="0" w:space="0" w:color="auto"/>
                <w:bottom w:val="none" w:sz="0" w:space="0" w:color="auto"/>
                <w:right w:val="none" w:sz="0" w:space="0" w:color="auto"/>
              </w:divBdr>
            </w:div>
          </w:divsChild>
        </w:div>
        <w:div w:id="477191204">
          <w:marLeft w:val="0"/>
          <w:marRight w:val="0"/>
          <w:marTop w:val="0"/>
          <w:marBottom w:val="0"/>
          <w:divBdr>
            <w:top w:val="none" w:sz="0" w:space="0" w:color="auto"/>
            <w:left w:val="none" w:sz="0" w:space="0" w:color="auto"/>
            <w:bottom w:val="none" w:sz="0" w:space="0" w:color="auto"/>
            <w:right w:val="none" w:sz="0" w:space="0" w:color="auto"/>
          </w:divBdr>
          <w:divsChild>
            <w:div w:id="309410497">
              <w:marLeft w:val="0"/>
              <w:marRight w:val="0"/>
              <w:marTop w:val="0"/>
              <w:marBottom w:val="0"/>
              <w:divBdr>
                <w:top w:val="none" w:sz="0" w:space="0" w:color="auto"/>
                <w:left w:val="none" w:sz="0" w:space="0" w:color="auto"/>
                <w:bottom w:val="none" w:sz="0" w:space="0" w:color="auto"/>
                <w:right w:val="none" w:sz="0" w:space="0" w:color="auto"/>
              </w:divBdr>
            </w:div>
          </w:divsChild>
        </w:div>
        <w:div w:id="499082676">
          <w:marLeft w:val="0"/>
          <w:marRight w:val="0"/>
          <w:marTop w:val="0"/>
          <w:marBottom w:val="0"/>
          <w:divBdr>
            <w:top w:val="none" w:sz="0" w:space="0" w:color="auto"/>
            <w:left w:val="none" w:sz="0" w:space="0" w:color="auto"/>
            <w:bottom w:val="none" w:sz="0" w:space="0" w:color="auto"/>
            <w:right w:val="none" w:sz="0" w:space="0" w:color="auto"/>
          </w:divBdr>
          <w:divsChild>
            <w:div w:id="1904171819">
              <w:marLeft w:val="0"/>
              <w:marRight w:val="0"/>
              <w:marTop w:val="0"/>
              <w:marBottom w:val="0"/>
              <w:divBdr>
                <w:top w:val="none" w:sz="0" w:space="0" w:color="auto"/>
                <w:left w:val="none" w:sz="0" w:space="0" w:color="auto"/>
                <w:bottom w:val="none" w:sz="0" w:space="0" w:color="auto"/>
                <w:right w:val="none" w:sz="0" w:space="0" w:color="auto"/>
              </w:divBdr>
            </w:div>
          </w:divsChild>
        </w:div>
        <w:div w:id="522207335">
          <w:marLeft w:val="0"/>
          <w:marRight w:val="0"/>
          <w:marTop w:val="0"/>
          <w:marBottom w:val="0"/>
          <w:divBdr>
            <w:top w:val="none" w:sz="0" w:space="0" w:color="auto"/>
            <w:left w:val="none" w:sz="0" w:space="0" w:color="auto"/>
            <w:bottom w:val="none" w:sz="0" w:space="0" w:color="auto"/>
            <w:right w:val="none" w:sz="0" w:space="0" w:color="auto"/>
          </w:divBdr>
          <w:divsChild>
            <w:div w:id="1338070927">
              <w:marLeft w:val="0"/>
              <w:marRight w:val="0"/>
              <w:marTop w:val="0"/>
              <w:marBottom w:val="0"/>
              <w:divBdr>
                <w:top w:val="none" w:sz="0" w:space="0" w:color="auto"/>
                <w:left w:val="none" w:sz="0" w:space="0" w:color="auto"/>
                <w:bottom w:val="none" w:sz="0" w:space="0" w:color="auto"/>
                <w:right w:val="none" w:sz="0" w:space="0" w:color="auto"/>
              </w:divBdr>
            </w:div>
          </w:divsChild>
        </w:div>
        <w:div w:id="547033832">
          <w:marLeft w:val="0"/>
          <w:marRight w:val="0"/>
          <w:marTop w:val="0"/>
          <w:marBottom w:val="0"/>
          <w:divBdr>
            <w:top w:val="none" w:sz="0" w:space="0" w:color="auto"/>
            <w:left w:val="none" w:sz="0" w:space="0" w:color="auto"/>
            <w:bottom w:val="none" w:sz="0" w:space="0" w:color="auto"/>
            <w:right w:val="none" w:sz="0" w:space="0" w:color="auto"/>
          </w:divBdr>
          <w:divsChild>
            <w:div w:id="9719177">
              <w:marLeft w:val="0"/>
              <w:marRight w:val="0"/>
              <w:marTop w:val="0"/>
              <w:marBottom w:val="0"/>
              <w:divBdr>
                <w:top w:val="none" w:sz="0" w:space="0" w:color="auto"/>
                <w:left w:val="none" w:sz="0" w:space="0" w:color="auto"/>
                <w:bottom w:val="none" w:sz="0" w:space="0" w:color="auto"/>
                <w:right w:val="none" w:sz="0" w:space="0" w:color="auto"/>
              </w:divBdr>
            </w:div>
          </w:divsChild>
        </w:div>
        <w:div w:id="584799324">
          <w:marLeft w:val="0"/>
          <w:marRight w:val="0"/>
          <w:marTop w:val="0"/>
          <w:marBottom w:val="0"/>
          <w:divBdr>
            <w:top w:val="none" w:sz="0" w:space="0" w:color="auto"/>
            <w:left w:val="none" w:sz="0" w:space="0" w:color="auto"/>
            <w:bottom w:val="none" w:sz="0" w:space="0" w:color="auto"/>
            <w:right w:val="none" w:sz="0" w:space="0" w:color="auto"/>
          </w:divBdr>
          <w:divsChild>
            <w:div w:id="1689678994">
              <w:marLeft w:val="0"/>
              <w:marRight w:val="0"/>
              <w:marTop w:val="0"/>
              <w:marBottom w:val="0"/>
              <w:divBdr>
                <w:top w:val="none" w:sz="0" w:space="0" w:color="auto"/>
                <w:left w:val="none" w:sz="0" w:space="0" w:color="auto"/>
                <w:bottom w:val="none" w:sz="0" w:space="0" w:color="auto"/>
                <w:right w:val="none" w:sz="0" w:space="0" w:color="auto"/>
              </w:divBdr>
            </w:div>
          </w:divsChild>
        </w:div>
        <w:div w:id="630936915">
          <w:marLeft w:val="0"/>
          <w:marRight w:val="0"/>
          <w:marTop w:val="0"/>
          <w:marBottom w:val="0"/>
          <w:divBdr>
            <w:top w:val="none" w:sz="0" w:space="0" w:color="auto"/>
            <w:left w:val="none" w:sz="0" w:space="0" w:color="auto"/>
            <w:bottom w:val="none" w:sz="0" w:space="0" w:color="auto"/>
            <w:right w:val="none" w:sz="0" w:space="0" w:color="auto"/>
          </w:divBdr>
          <w:divsChild>
            <w:div w:id="627663026">
              <w:marLeft w:val="0"/>
              <w:marRight w:val="0"/>
              <w:marTop w:val="0"/>
              <w:marBottom w:val="0"/>
              <w:divBdr>
                <w:top w:val="none" w:sz="0" w:space="0" w:color="auto"/>
                <w:left w:val="none" w:sz="0" w:space="0" w:color="auto"/>
                <w:bottom w:val="none" w:sz="0" w:space="0" w:color="auto"/>
                <w:right w:val="none" w:sz="0" w:space="0" w:color="auto"/>
              </w:divBdr>
            </w:div>
          </w:divsChild>
        </w:div>
        <w:div w:id="644428877">
          <w:marLeft w:val="0"/>
          <w:marRight w:val="0"/>
          <w:marTop w:val="0"/>
          <w:marBottom w:val="0"/>
          <w:divBdr>
            <w:top w:val="none" w:sz="0" w:space="0" w:color="auto"/>
            <w:left w:val="none" w:sz="0" w:space="0" w:color="auto"/>
            <w:bottom w:val="none" w:sz="0" w:space="0" w:color="auto"/>
            <w:right w:val="none" w:sz="0" w:space="0" w:color="auto"/>
          </w:divBdr>
          <w:divsChild>
            <w:div w:id="584918210">
              <w:marLeft w:val="0"/>
              <w:marRight w:val="0"/>
              <w:marTop w:val="0"/>
              <w:marBottom w:val="0"/>
              <w:divBdr>
                <w:top w:val="none" w:sz="0" w:space="0" w:color="auto"/>
                <w:left w:val="none" w:sz="0" w:space="0" w:color="auto"/>
                <w:bottom w:val="none" w:sz="0" w:space="0" w:color="auto"/>
                <w:right w:val="none" w:sz="0" w:space="0" w:color="auto"/>
              </w:divBdr>
            </w:div>
          </w:divsChild>
        </w:div>
        <w:div w:id="647444112">
          <w:marLeft w:val="0"/>
          <w:marRight w:val="0"/>
          <w:marTop w:val="0"/>
          <w:marBottom w:val="0"/>
          <w:divBdr>
            <w:top w:val="none" w:sz="0" w:space="0" w:color="auto"/>
            <w:left w:val="none" w:sz="0" w:space="0" w:color="auto"/>
            <w:bottom w:val="none" w:sz="0" w:space="0" w:color="auto"/>
            <w:right w:val="none" w:sz="0" w:space="0" w:color="auto"/>
          </w:divBdr>
          <w:divsChild>
            <w:div w:id="1784809210">
              <w:marLeft w:val="0"/>
              <w:marRight w:val="0"/>
              <w:marTop w:val="0"/>
              <w:marBottom w:val="0"/>
              <w:divBdr>
                <w:top w:val="none" w:sz="0" w:space="0" w:color="auto"/>
                <w:left w:val="none" w:sz="0" w:space="0" w:color="auto"/>
                <w:bottom w:val="none" w:sz="0" w:space="0" w:color="auto"/>
                <w:right w:val="none" w:sz="0" w:space="0" w:color="auto"/>
              </w:divBdr>
            </w:div>
          </w:divsChild>
        </w:div>
        <w:div w:id="665329299">
          <w:marLeft w:val="0"/>
          <w:marRight w:val="0"/>
          <w:marTop w:val="0"/>
          <w:marBottom w:val="0"/>
          <w:divBdr>
            <w:top w:val="none" w:sz="0" w:space="0" w:color="auto"/>
            <w:left w:val="none" w:sz="0" w:space="0" w:color="auto"/>
            <w:bottom w:val="none" w:sz="0" w:space="0" w:color="auto"/>
            <w:right w:val="none" w:sz="0" w:space="0" w:color="auto"/>
          </w:divBdr>
          <w:divsChild>
            <w:div w:id="239340509">
              <w:marLeft w:val="0"/>
              <w:marRight w:val="0"/>
              <w:marTop w:val="0"/>
              <w:marBottom w:val="0"/>
              <w:divBdr>
                <w:top w:val="none" w:sz="0" w:space="0" w:color="auto"/>
                <w:left w:val="none" w:sz="0" w:space="0" w:color="auto"/>
                <w:bottom w:val="none" w:sz="0" w:space="0" w:color="auto"/>
                <w:right w:val="none" w:sz="0" w:space="0" w:color="auto"/>
              </w:divBdr>
            </w:div>
          </w:divsChild>
        </w:div>
        <w:div w:id="671185580">
          <w:marLeft w:val="0"/>
          <w:marRight w:val="0"/>
          <w:marTop w:val="0"/>
          <w:marBottom w:val="0"/>
          <w:divBdr>
            <w:top w:val="none" w:sz="0" w:space="0" w:color="auto"/>
            <w:left w:val="none" w:sz="0" w:space="0" w:color="auto"/>
            <w:bottom w:val="none" w:sz="0" w:space="0" w:color="auto"/>
            <w:right w:val="none" w:sz="0" w:space="0" w:color="auto"/>
          </w:divBdr>
          <w:divsChild>
            <w:div w:id="1826848371">
              <w:marLeft w:val="0"/>
              <w:marRight w:val="0"/>
              <w:marTop w:val="0"/>
              <w:marBottom w:val="0"/>
              <w:divBdr>
                <w:top w:val="none" w:sz="0" w:space="0" w:color="auto"/>
                <w:left w:val="none" w:sz="0" w:space="0" w:color="auto"/>
                <w:bottom w:val="none" w:sz="0" w:space="0" w:color="auto"/>
                <w:right w:val="none" w:sz="0" w:space="0" w:color="auto"/>
              </w:divBdr>
            </w:div>
          </w:divsChild>
        </w:div>
        <w:div w:id="690034612">
          <w:marLeft w:val="0"/>
          <w:marRight w:val="0"/>
          <w:marTop w:val="0"/>
          <w:marBottom w:val="0"/>
          <w:divBdr>
            <w:top w:val="none" w:sz="0" w:space="0" w:color="auto"/>
            <w:left w:val="none" w:sz="0" w:space="0" w:color="auto"/>
            <w:bottom w:val="none" w:sz="0" w:space="0" w:color="auto"/>
            <w:right w:val="none" w:sz="0" w:space="0" w:color="auto"/>
          </w:divBdr>
          <w:divsChild>
            <w:div w:id="780954536">
              <w:marLeft w:val="0"/>
              <w:marRight w:val="0"/>
              <w:marTop w:val="0"/>
              <w:marBottom w:val="0"/>
              <w:divBdr>
                <w:top w:val="none" w:sz="0" w:space="0" w:color="auto"/>
                <w:left w:val="none" w:sz="0" w:space="0" w:color="auto"/>
                <w:bottom w:val="none" w:sz="0" w:space="0" w:color="auto"/>
                <w:right w:val="none" w:sz="0" w:space="0" w:color="auto"/>
              </w:divBdr>
            </w:div>
          </w:divsChild>
        </w:div>
        <w:div w:id="789931809">
          <w:marLeft w:val="0"/>
          <w:marRight w:val="0"/>
          <w:marTop w:val="0"/>
          <w:marBottom w:val="0"/>
          <w:divBdr>
            <w:top w:val="none" w:sz="0" w:space="0" w:color="auto"/>
            <w:left w:val="none" w:sz="0" w:space="0" w:color="auto"/>
            <w:bottom w:val="none" w:sz="0" w:space="0" w:color="auto"/>
            <w:right w:val="none" w:sz="0" w:space="0" w:color="auto"/>
          </w:divBdr>
          <w:divsChild>
            <w:div w:id="1592158610">
              <w:marLeft w:val="0"/>
              <w:marRight w:val="0"/>
              <w:marTop w:val="0"/>
              <w:marBottom w:val="0"/>
              <w:divBdr>
                <w:top w:val="none" w:sz="0" w:space="0" w:color="auto"/>
                <w:left w:val="none" w:sz="0" w:space="0" w:color="auto"/>
                <w:bottom w:val="none" w:sz="0" w:space="0" w:color="auto"/>
                <w:right w:val="none" w:sz="0" w:space="0" w:color="auto"/>
              </w:divBdr>
            </w:div>
          </w:divsChild>
        </w:div>
        <w:div w:id="848643970">
          <w:marLeft w:val="0"/>
          <w:marRight w:val="0"/>
          <w:marTop w:val="0"/>
          <w:marBottom w:val="0"/>
          <w:divBdr>
            <w:top w:val="none" w:sz="0" w:space="0" w:color="auto"/>
            <w:left w:val="none" w:sz="0" w:space="0" w:color="auto"/>
            <w:bottom w:val="none" w:sz="0" w:space="0" w:color="auto"/>
            <w:right w:val="none" w:sz="0" w:space="0" w:color="auto"/>
          </w:divBdr>
          <w:divsChild>
            <w:div w:id="1994262430">
              <w:marLeft w:val="0"/>
              <w:marRight w:val="0"/>
              <w:marTop w:val="0"/>
              <w:marBottom w:val="0"/>
              <w:divBdr>
                <w:top w:val="none" w:sz="0" w:space="0" w:color="auto"/>
                <w:left w:val="none" w:sz="0" w:space="0" w:color="auto"/>
                <w:bottom w:val="none" w:sz="0" w:space="0" w:color="auto"/>
                <w:right w:val="none" w:sz="0" w:space="0" w:color="auto"/>
              </w:divBdr>
            </w:div>
          </w:divsChild>
        </w:div>
        <w:div w:id="923339901">
          <w:marLeft w:val="0"/>
          <w:marRight w:val="0"/>
          <w:marTop w:val="0"/>
          <w:marBottom w:val="0"/>
          <w:divBdr>
            <w:top w:val="none" w:sz="0" w:space="0" w:color="auto"/>
            <w:left w:val="none" w:sz="0" w:space="0" w:color="auto"/>
            <w:bottom w:val="none" w:sz="0" w:space="0" w:color="auto"/>
            <w:right w:val="none" w:sz="0" w:space="0" w:color="auto"/>
          </w:divBdr>
          <w:divsChild>
            <w:div w:id="1666199400">
              <w:marLeft w:val="0"/>
              <w:marRight w:val="0"/>
              <w:marTop w:val="0"/>
              <w:marBottom w:val="0"/>
              <w:divBdr>
                <w:top w:val="none" w:sz="0" w:space="0" w:color="auto"/>
                <w:left w:val="none" w:sz="0" w:space="0" w:color="auto"/>
                <w:bottom w:val="none" w:sz="0" w:space="0" w:color="auto"/>
                <w:right w:val="none" w:sz="0" w:space="0" w:color="auto"/>
              </w:divBdr>
            </w:div>
          </w:divsChild>
        </w:div>
        <w:div w:id="928587538">
          <w:marLeft w:val="0"/>
          <w:marRight w:val="0"/>
          <w:marTop w:val="0"/>
          <w:marBottom w:val="0"/>
          <w:divBdr>
            <w:top w:val="none" w:sz="0" w:space="0" w:color="auto"/>
            <w:left w:val="none" w:sz="0" w:space="0" w:color="auto"/>
            <w:bottom w:val="none" w:sz="0" w:space="0" w:color="auto"/>
            <w:right w:val="none" w:sz="0" w:space="0" w:color="auto"/>
          </w:divBdr>
          <w:divsChild>
            <w:div w:id="1957173992">
              <w:marLeft w:val="0"/>
              <w:marRight w:val="0"/>
              <w:marTop w:val="0"/>
              <w:marBottom w:val="0"/>
              <w:divBdr>
                <w:top w:val="none" w:sz="0" w:space="0" w:color="auto"/>
                <w:left w:val="none" w:sz="0" w:space="0" w:color="auto"/>
                <w:bottom w:val="none" w:sz="0" w:space="0" w:color="auto"/>
                <w:right w:val="none" w:sz="0" w:space="0" w:color="auto"/>
              </w:divBdr>
            </w:div>
          </w:divsChild>
        </w:div>
        <w:div w:id="956640897">
          <w:marLeft w:val="0"/>
          <w:marRight w:val="0"/>
          <w:marTop w:val="0"/>
          <w:marBottom w:val="0"/>
          <w:divBdr>
            <w:top w:val="none" w:sz="0" w:space="0" w:color="auto"/>
            <w:left w:val="none" w:sz="0" w:space="0" w:color="auto"/>
            <w:bottom w:val="none" w:sz="0" w:space="0" w:color="auto"/>
            <w:right w:val="none" w:sz="0" w:space="0" w:color="auto"/>
          </w:divBdr>
          <w:divsChild>
            <w:div w:id="1385135561">
              <w:marLeft w:val="0"/>
              <w:marRight w:val="0"/>
              <w:marTop w:val="0"/>
              <w:marBottom w:val="0"/>
              <w:divBdr>
                <w:top w:val="none" w:sz="0" w:space="0" w:color="auto"/>
                <w:left w:val="none" w:sz="0" w:space="0" w:color="auto"/>
                <w:bottom w:val="none" w:sz="0" w:space="0" w:color="auto"/>
                <w:right w:val="none" w:sz="0" w:space="0" w:color="auto"/>
              </w:divBdr>
            </w:div>
          </w:divsChild>
        </w:div>
        <w:div w:id="995298899">
          <w:marLeft w:val="0"/>
          <w:marRight w:val="0"/>
          <w:marTop w:val="0"/>
          <w:marBottom w:val="0"/>
          <w:divBdr>
            <w:top w:val="none" w:sz="0" w:space="0" w:color="auto"/>
            <w:left w:val="none" w:sz="0" w:space="0" w:color="auto"/>
            <w:bottom w:val="none" w:sz="0" w:space="0" w:color="auto"/>
            <w:right w:val="none" w:sz="0" w:space="0" w:color="auto"/>
          </w:divBdr>
          <w:divsChild>
            <w:div w:id="306856646">
              <w:marLeft w:val="0"/>
              <w:marRight w:val="0"/>
              <w:marTop w:val="0"/>
              <w:marBottom w:val="0"/>
              <w:divBdr>
                <w:top w:val="none" w:sz="0" w:space="0" w:color="auto"/>
                <w:left w:val="none" w:sz="0" w:space="0" w:color="auto"/>
                <w:bottom w:val="none" w:sz="0" w:space="0" w:color="auto"/>
                <w:right w:val="none" w:sz="0" w:space="0" w:color="auto"/>
              </w:divBdr>
            </w:div>
          </w:divsChild>
        </w:div>
        <w:div w:id="1016930277">
          <w:marLeft w:val="0"/>
          <w:marRight w:val="0"/>
          <w:marTop w:val="0"/>
          <w:marBottom w:val="0"/>
          <w:divBdr>
            <w:top w:val="none" w:sz="0" w:space="0" w:color="auto"/>
            <w:left w:val="none" w:sz="0" w:space="0" w:color="auto"/>
            <w:bottom w:val="none" w:sz="0" w:space="0" w:color="auto"/>
            <w:right w:val="none" w:sz="0" w:space="0" w:color="auto"/>
          </w:divBdr>
          <w:divsChild>
            <w:div w:id="679893370">
              <w:marLeft w:val="0"/>
              <w:marRight w:val="0"/>
              <w:marTop w:val="0"/>
              <w:marBottom w:val="0"/>
              <w:divBdr>
                <w:top w:val="none" w:sz="0" w:space="0" w:color="auto"/>
                <w:left w:val="none" w:sz="0" w:space="0" w:color="auto"/>
                <w:bottom w:val="none" w:sz="0" w:space="0" w:color="auto"/>
                <w:right w:val="none" w:sz="0" w:space="0" w:color="auto"/>
              </w:divBdr>
            </w:div>
          </w:divsChild>
        </w:div>
        <w:div w:id="1129740124">
          <w:marLeft w:val="0"/>
          <w:marRight w:val="0"/>
          <w:marTop w:val="0"/>
          <w:marBottom w:val="0"/>
          <w:divBdr>
            <w:top w:val="none" w:sz="0" w:space="0" w:color="auto"/>
            <w:left w:val="none" w:sz="0" w:space="0" w:color="auto"/>
            <w:bottom w:val="none" w:sz="0" w:space="0" w:color="auto"/>
            <w:right w:val="none" w:sz="0" w:space="0" w:color="auto"/>
          </w:divBdr>
          <w:divsChild>
            <w:div w:id="1885016073">
              <w:marLeft w:val="0"/>
              <w:marRight w:val="0"/>
              <w:marTop w:val="0"/>
              <w:marBottom w:val="0"/>
              <w:divBdr>
                <w:top w:val="none" w:sz="0" w:space="0" w:color="auto"/>
                <w:left w:val="none" w:sz="0" w:space="0" w:color="auto"/>
                <w:bottom w:val="none" w:sz="0" w:space="0" w:color="auto"/>
                <w:right w:val="none" w:sz="0" w:space="0" w:color="auto"/>
              </w:divBdr>
            </w:div>
          </w:divsChild>
        </w:div>
        <w:div w:id="1141536498">
          <w:marLeft w:val="0"/>
          <w:marRight w:val="0"/>
          <w:marTop w:val="0"/>
          <w:marBottom w:val="0"/>
          <w:divBdr>
            <w:top w:val="none" w:sz="0" w:space="0" w:color="auto"/>
            <w:left w:val="none" w:sz="0" w:space="0" w:color="auto"/>
            <w:bottom w:val="none" w:sz="0" w:space="0" w:color="auto"/>
            <w:right w:val="none" w:sz="0" w:space="0" w:color="auto"/>
          </w:divBdr>
          <w:divsChild>
            <w:div w:id="824666318">
              <w:marLeft w:val="0"/>
              <w:marRight w:val="0"/>
              <w:marTop w:val="0"/>
              <w:marBottom w:val="0"/>
              <w:divBdr>
                <w:top w:val="none" w:sz="0" w:space="0" w:color="auto"/>
                <w:left w:val="none" w:sz="0" w:space="0" w:color="auto"/>
                <w:bottom w:val="none" w:sz="0" w:space="0" w:color="auto"/>
                <w:right w:val="none" w:sz="0" w:space="0" w:color="auto"/>
              </w:divBdr>
            </w:div>
          </w:divsChild>
        </w:div>
        <w:div w:id="1214318128">
          <w:marLeft w:val="0"/>
          <w:marRight w:val="0"/>
          <w:marTop w:val="0"/>
          <w:marBottom w:val="0"/>
          <w:divBdr>
            <w:top w:val="none" w:sz="0" w:space="0" w:color="auto"/>
            <w:left w:val="none" w:sz="0" w:space="0" w:color="auto"/>
            <w:bottom w:val="none" w:sz="0" w:space="0" w:color="auto"/>
            <w:right w:val="none" w:sz="0" w:space="0" w:color="auto"/>
          </w:divBdr>
          <w:divsChild>
            <w:div w:id="1961380017">
              <w:marLeft w:val="0"/>
              <w:marRight w:val="0"/>
              <w:marTop w:val="0"/>
              <w:marBottom w:val="0"/>
              <w:divBdr>
                <w:top w:val="none" w:sz="0" w:space="0" w:color="auto"/>
                <w:left w:val="none" w:sz="0" w:space="0" w:color="auto"/>
                <w:bottom w:val="none" w:sz="0" w:space="0" w:color="auto"/>
                <w:right w:val="none" w:sz="0" w:space="0" w:color="auto"/>
              </w:divBdr>
            </w:div>
          </w:divsChild>
        </w:div>
        <w:div w:id="1256522064">
          <w:marLeft w:val="0"/>
          <w:marRight w:val="0"/>
          <w:marTop w:val="0"/>
          <w:marBottom w:val="0"/>
          <w:divBdr>
            <w:top w:val="none" w:sz="0" w:space="0" w:color="auto"/>
            <w:left w:val="none" w:sz="0" w:space="0" w:color="auto"/>
            <w:bottom w:val="none" w:sz="0" w:space="0" w:color="auto"/>
            <w:right w:val="none" w:sz="0" w:space="0" w:color="auto"/>
          </w:divBdr>
          <w:divsChild>
            <w:div w:id="1402825210">
              <w:marLeft w:val="0"/>
              <w:marRight w:val="0"/>
              <w:marTop w:val="0"/>
              <w:marBottom w:val="0"/>
              <w:divBdr>
                <w:top w:val="none" w:sz="0" w:space="0" w:color="auto"/>
                <w:left w:val="none" w:sz="0" w:space="0" w:color="auto"/>
                <w:bottom w:val="none" w:sz="0" w:space="0" w:color="auto"/>
                <w:right w:val="none" w:sz="0" w:space="0" w:color="auto"/>
              </w:divBdr>
            </w:div>
          </w:divsChild>
        </w:div>
        <w:div w:id="1322612984">
          <w:marLeft w:val="0"/>
          <w:marRight w:val="0"/>
          <w:marTop w:val="0"/>
          <w:marBottom w:val="0"/>
          <w:divBdr>
            <w:top w:val="none" w:sz="0" w:space="0" w:color="auto"/>
            <w:left w:val="none" w:sz="0" w:space="0" w:color="auto"/>
            <w:bottom w:val="none" w:sz="0" w:space="0" w:color="auto"/>
            <w:right w:val="none" w:sz="0" w:space="0" w:color="auto"/>
          </w:divBdr>
          <w:divsChild>
            <w:div w:id="551115891">
              <w:marLeft w:val="0"/>
              <w:marRight w:val="0"/>
              <w:marTop w:val="0"/>
              <w:marBottom w:val="0"/>
              <w:divBdr>
                <w:top w:val="none" w:sz="0" w:space="0" w:color="auto"/>
                <w:left w:val="none" w:sz="0" w:space="0" w:color="auto"/>
                <w:bottom w:val="none" w:sz="0" w:space="0" w:color="auto"/>
                <w:right w:val="none" w:sz="0" w:space="0" w:color="auto"/>
              </w:divBdr>
            </w:div>
          </w:divsChild>
        </w:div>
        <w:div w:id="1337221724">
          <w:marLeft w:val="0"/>
          <w:marRight w:val="0"/>
          <w:marTop w:val="0"/>
          <w:marBottom w:val="0"/>
          <w:divBdr>
            <w:top w:val="none" w:sz="0" w:space="0" w:color="auto"/>
            <w:left w:val="none" w:sz="0" w:space="0" w:color="auto"/>
            <w:bottom w:val="none" w:sz="0" w:space="0" w:color="auto"/>
            <w:right w:val="none" w:sz="0" w:space="0" w:color="auto"/>
          </w:divBdr>
          <w:divsChild>
            <w:div w:id="1826626827">
              <w:marLeft w:val="0"/>
              <w:marRight w:val="0"/>
              <w:marTop w:val="0"/>
              <w:marBottom w:val="0"/>
              <w:divBdr>
                <w:top w:val="none" w:sz="0" w:space="0" w:color="auto"/>
                <w:left w:val="none" w:sz="0" w:space="0" w:color="auto"/>
                <w:bottom w:val="none" w:sz="0" w:space="0" w:color="auto"/>
                <w:right w:val="none" w:sz="0" w:space="0" w:color="auto"/>
              </w:divBdr>
            </w:div>
          </w:divsChild>
        </w:div>
        <w:div w:id="1342656699">
          <w:marLeft w:val="0"/>
          <w:marRight w:val="0"/>
          <w:marTop w:val="0"/>
          <w:marBottom w:val="0"/>
          <w:divBdr>
            <w:top w:val="none" w:sz="0" w:space="0" w:color="auto"/>
            <w:left w:val="none" w:sz="0" w:space="0" w:color="auto"/>
            <w:bottom w:val="none" w:sz="0" w:space="0" w:color="auto"/>
            <w:right w:val="none" w:sz="0" w:space="0" w:color="auto"/>
          </w:divBdr>
          <w:divsChild>
            <w:div w:id="98453244">
              <w:marLeft w:val="0"/>
              <w:marRight w:val="0"/>
              <w:marTop w:val="0"/>
              <w:marBottom w:val="0"/>
              <w:divBdr>
                <w:top w:val="none" w:sz="0" w:space="0" w:color="auto"/>
                <w:left w:val="none" w:sz="0" w:space="0" w:color="auto"/>
                <w:bottom w:val="none" w:sz="0" w:space="0" w:color="auto"/>
                <w:right w:val="none" w:sz="0" w:space="0" w:color="auto"/>
              </w:divBdr>
            </w:div>
          </w:divsChild>
        </w:div>
        <w:div w:id="1550144206">
          <w:marLeft w:val="0"/>
          <w:marRight w:val="0"/>
          <w:marTop w:val="0"/>
          <w:marBottom w:val="0"/>
          <w:divBdr>
            <w:top w:val="none" w:sz="0" w:space="0" w:color="auto"/>
            <w:left w:val="none" w:sz="0" w:space="0" w:color="auto"/>
            <w:bottom w:val="none" w:sz="0" w:space="0" w:color="auto"/>
            <w:right w:val="none" w:sz="0" w:space="0" w:color="auto"/>
          </w:divBdr>
          <w:divsChild>
            <w:div w:id="798767234">
              <w:marLeft w:val="0"/>
              <w:marRight w:val="0"/>
              <w:marTop w:val="0"/>
              <w:marBottom w:val="0"/>
              <w:divBdr>
                <w:top w:val="none" w:sz="0" w:space="0" w:color="auto"/>
                <w:left w:val="none" w:sz="0" w:space="0" w:color="auto"/>
                <w:bottom w:val="none" w:sz="0" w:space="0" w:color="auto"/>
                <w:right w:val="none" w:sz="0" w:space="0" w:color="auto"/>
              </w:divBdr>
            </w:div>
          </w:divsChild>
        </w:div>
        <w:div w:id="1632394092">
          <w:marLeft w:val="0"/>
          <w:marRight w:val="0"/>
          <w:marTop w:val="0"/>
          <w:marBottom w:val="0"/>
          <w:divBdr>
            <w:top w:val="none" w:sz="0" w:space="0" w:color="auto"/>
            <w:left w:val="none" w:sz="0" w:space="0" w:color="auto"/>
            <w:bottom w:val="none" w:sz="0" w:space="0" w:color="auto"/>
            <w:right w:val="none" w:sz="0" w:space="0" w:color="auto"/>
          </w:divBdr>
          <w:divsChild>
            <w:div w:id="139730038">
              <w:marLeft w:val="0"/>
              <w:marRight w:val="0"/>
              <w:marTop w:val="0"/>
              <w:marBottom w:val="0"/>
              <w:divBdr>
                <w:top w:val="none" w:sz="0" w:space="0" w:color="auto"/>
                <w:left w:val="none" w:sz="0" w:space="0" w:color="auto"/>
                <w:bottom w:val="none" w:sz="0" w:space="0" w:color="auto"/>
                <w:right w:val="none" w:sz="0" w:space="0" w:color="auto"/>
              </w:divBdr>
            </w:div>
          </w:divsChild>
        </w:div>
        <w:div w:id="1649480759">
          <w:marLeft w:val="0"/>
          <w:marRight w:val="0"/>
          <w:marTop w:val="0"/>
          <w:marBottom w:val="0"/>
          <w:divBdr>
            <w:top w:val="none" w:sz="0" w:space="0" w:color="auto"/>
            <w:left w:val="none" w:sz="0" w:space="0" w:color="auto"/>
            <w:bottom w:val="none" w:sz="0" w:space="0" w:color="auto"/>
            <w:right w:val="none" w:sz="0" w:space="0" w:color="auto"/>
          </w:divBdr>
          <w:divsChild>
            <w:div w:id="129128060">
              <w:marLeft w:val="0"/>
              <w:marRight w:val="0"/>
              <w:marTop w:val="0"/>
              <w:marBottom w:val="0"/>
              <w:divBdr>
                <w:top w:val="none" w:sz="0" w:space="0" w:color="auto"/>
                <w:left w:val="none" w:sz="0" w:space="0" w:color="auto"/>
                <w:bottom w:val="none" w:sz="0" w:space="0" w:color="auto"/>
                <w:right w:val="none" w:sz="0" w:space="0" w:color="auto"/>
              </w:divBdr>
            </w:div>
          </w:divsChild>
        </w:div>
        <w:div w:id="1662538557">
          <w:marLeft w:val="0"/>
          <w:marRight w:val="0"/>
          <w:marTop w:val="0"/>
          <w:marBottom w:val="0"/>
          <w:divBdr>
            <w:top w:val="none" w:sz="0" w:space="0" w:color="auto"/>
            <w:left w:val="none" w:sz="0" w:space="0" w:color="auto"/>
            <w:bottom w:val="none" w:sz="0" w:space="0" w:color="auto"/>
            <w:right w:val="none" w:sz="0" w:space="0" w:color="auto"/>
          </w:divBdr>
          <w:divsChild>
            <w:div w:id="2031103382">
              <w:marLeft w:val="0"/>
              <w:marRight w:val="0"/>
              <w:marTop w:val="0"/>
              <w:marBottom w:val="0"/>
              <w:divBdr>
                <w:top w:val="none" w:sz="0" w:space="0" w:color="auto"/>
                <w:left w:val="none" w:sz="0" w:space="0" w:color="auto"/>
                <w:bottom w:val="none" w:sz="0" w:space="0" w:color="auto"/>
                <w:right w:val="none" w:sz="0" w:space="0" w:color="auto"/>
              </w:divBdr>
            </w:div>
          </w:divsChild>
        </w:div>
        <w:div w:id="1689986312">
          <w:marLeft w:val="0"/>
          <w:marRight w:val="0"/>
          <w:marTop w:val="0"/>
          <w:marBottom w:val="0"/>
          <w:divBdr>
            <w:top w:val="none" w:sz="0" w:space="0" w:color="auto"/>
            <w:left w:val="none" w:sz="0" w:space="0" w:color="auto"/>
            <w:bottom w:val="none" w:sz="0" w:space="0" w:color="auto"/>
            <w:right w:val="none" w:sz="0" w:space="0" w:color="auto"/>
          </w:divBdr>
          <w:divsChild>
            <w:div w:id="982806578">
              <w:marLeft w:val="0"/>
              <w:marRight w:val="0"/>
              <w:marTop w:val="0"/>
              <w:marBottom w:val="0"/>
              <w:divBdr>
                <w:top w:val="none" w:sz="0" w:space="0" w:color="auto"/>
                <w:left w:val="none" w:sz="0" w:space="0" w:color="auto"/>
                <w:bottom w:val="none" w:sz="0" w:space="0" w:color="auto"/>
                <w:right w:val="none" w:sz="0" w:space="0" w:color="auto"/>
              </w:divBdr>
            </w:div>
          </w:divsChild>
        </w:div>
        <w:div w:id="1707025516">
          <w:marLeft w:val="0"/>
          <w:marRight w:val="0"/>
          <w:marTop w:val="0"/>
          <w:marBottom w:val="0"/>
          <w:divBdr>
            <w:top w:val="none" w:sz="0" w:space="0" w:color="auto"/>
            <w:left w:val="none" w:sz="0" w:space="0" w:color="auto"/>
            <w:bottom w:val="none" w:sz="0" w:space="0" w:color="auto"/>
            <w:right w:val="none" w:sz="0" w:space="0" w:color="auto"/>
          </w:divBdr>
          <w:divsChild>
            <w:div w:id="524099072">
              <w:marLeft w:val="0"/>
              <w:marRight w:val="0"/>
              <w:marTop w:val="0"/>
              <w:marBottom w:val="0"/>
              <w:divBdr>
                <w:top w:val="none" w:sz="0" w:space="0" w:color="auto"/>
                <w:left w:val="none" w:sz="0" w:space="0" w:color="auto"/>
                <w:bottom w:val="none" w:sz="0" w:space="0" w:color="auto"/>
                <w:right w:val="none" w:sz="0" w:space="0" w:color="auto"/>
              </w:divBdr>
            </w:div>
          </w:divsChild>
        </w:div>
        <w:div w:id="1729062957">
          <w:marLeft w:val="0"/>
          <w:marRight w:val="0"/>
          <w:marTop w:val="0"/>
          <w:marBottom w:val="0"/>
          <w:divBdr>
            <w:top w:val="none" w:sz="0" w:space="0" w:color="auto"/>
            <w:left w:val="none" w:sz="0" w:space="0" w:color="auto"/>
            <w:bottom w:val="none" w:sz="0" w:space="0" w:color="auto"/>
            <w:right w:val="none" w:sz="0" w:space="0" w:color="auto"/>
          </w:divBdr>
          <w:divsChild>
            <w:div w:id="486558431">
              <w:marLeft w:val="0"/>
              <w:marRight w:val="0"/>
              <w:marTop w:val="0"/>
              <w:marBottom w:val="0"/>
              <w:divBdr>
                <w:top w:val="none" w:sz="0" w:space="0" w:color="auto"/>
                <w:left w:val="none" w:sz="0" w:space="0" w:color="auto"/>
                <w:bottom w:val="none" w:sz="0" w:space="0" w:color="auto"/>
                <w:right w:val="none" w:sz="0" w:space="0" w:color="auto"/>
              </w:divBdr>
            </w:div>
          </w:divsChild>
        </w:div>
        <w:div w:id="1729257829">
          <w:marLeft w:val="0"/>
          <w:marRight w:val="0"/>
          <w:marTop w:val="0"/>
          <w:marBottom w:val="0"/>
          <w:divBdr>
            <w:top w:val="none" w:sz="0" w:space="0" w:color="auto"/>
            <w:left w:val="none" w:sz="0" w:space="0" w:color="auto"/>
            <w:bottom w:val="none" w:sz="0" w:space="0" w:color="auto"/>
            <w:right w:val="none" w:sz="0" w:space="0" w:color="auto"/>
          </w:divBdr>
          <w:divsChild>
            <w:div w:id="764306365">
              <w:marLeft w:val="0"/>
              <w:marRight w:val="0"/>
              <w:marTop w:val="0"/>
              <w:marBottom w:val="0"/>
              <w:divBdr>
                <w:top w:val="none" w:sz="0" w:space="0" w:color="auto"/>
                <w:left w:val="none" w:sz="0" w:space="0" w:color="auto"/>
                <w:bottom w:val="none" w:sz="0" w:space="0" w:color="auto"/>
                <w:right w:val="none" w:sz="0" w:space="0" w:color="auto"/>
              </w:divBdr>
            </w:div>
          </w:divsChild>
        </w:div>
        <w:div w:id="1834489681">
          <w:marLeft w:val="0"/>
          <w:marRight w:val="0"/>
          <w:marTop w:val="0"/>
          <w:marBottom w:val="0"/>
          <w:divBdr>
            <w:top w:val="none" w:sz="0" w:space="0" w:color="auto"/>
            <w:left w:val="none" w:sz="0" w:space="0" w:color="auto"/>
            <w:bottom w:val="none" w:sz="0" w:space="0" w:color="auto"/>
            <w:right w:val="none" w:sz="0" w:space="0" w:color="auto"/>
          </w:divBdr>
          <w:divsChild>
            <w:div w:id="1917812251">
              <w:marLeft w:val="0"/>
              <w:marRight w:val="0"/>
              <w:marTop w:val="0"/>
              <w:marBottom w:val="0"/>
              <w:divBdr>
                <w:top w:val="none" w:sz="0" w:space="0" w:color="auto"/>
                <w:left w:val="none" w:sz="0" w:space="0" w:color="auto"/>
                <w:bottom w:val="none" w:sz="0" w:space="0" w:color="auto"/>
                <w:right w:val="none" w:sz="0" w:space="0" w:color="auto"/>
              </w:divBdr>
            </w:div>
          </w:divsChild>
        </w:div>
        <w:div w:id="1834567719">
          <w:marLeft w:val="0"/>
          <w:marRight w:val="0"/>
          <w:marTop w:val="0"/>
          <w:marBottom w:val="0"/>
          <w:divBdr>
            <w:top w:val="none" w:sz="0" w:space="0" w:color="auto"/>
            <w:left w:val="none" w:sz="0" w:space="0" w:color="auto"/>
            <w:bottom w:val="none" w:sz="0" w:space="0" w:color="auto"/>
            <w:right w:val="none" w:sz="0" w:space="0" w:color="auto"/>
          </w:divBdr>
          <w:divsChild>
            <w:div w:id="2112701654">
              <w:marLeft w:val="0"/>
              <w:marRight w:val="0"/>
              <w:marTop w:val="0"/>
              <w:marBottom w:val="0"/>
              <w:divBdr>
                <w:top w:val="none" w:sz="0" w:space="0" w:color="auto"/>
                <w:left w:val="none" w:sz="0" w:space="0" w:color="auto"/>
                <w:bottom w:val="none" w:sz="0" w:space="0" w:color="auto"/>
                <w:right w:val="none" w:sz="0" w:space="0" w:color="auto"/>
              </w:divBdr>
            </w:div>
          </w:divsChild>
        </w:div>
        <w:div w:id="1898280948">
          <w:marLeft w:val="0"/>
          <w:marRight w:val="0"/>
          <w:marTop w:val="0"/>
          <w:marBottom w:val="0"/>
          <w:divBdr>
            <w:top w:val="none" w:sz="0" w:space="0" w:color="auto"/>
            <w:left w:val="none" w:sz="0" w:space="0" w:color="auto"/>
            <w:bottom w:val="none" w:sz="0" w:space="0" w:color="auto"/>
            <w:right w:val="none" w:sz="0" w:space="0" w:color="auto"/>
          </w:divBdr>
          <w:divsChild>
            <w:div w:id="804127807">
              <w:marLeft w:val="0"/>
              <w:marRight w:val="0"/>
              <w:marTop w:val="0"/>
              <w:marBottom w:val="0"/>
              <w:divBdr>
                <w:top w:val="none" w:sz="0" w:space="0" w:color="auto"/>
                <w:left w:val="none" w:sz="0" w:space="0" w:color="auto"/>
                <w:bottom w:val="none" w:sz="0" w:space="0" w:color="auto"/>
                <w:right w:val="none" w:sz="0" w:space="0" w:color="auto"/>
              </w:divBdr>
            </w:div>
          </w:divsChild>
        </w:div>
        <w:div w:id="1909685446">
          <w:marLeft w:val="0"/>
          <w:marRight w:val="0"/>
          <w:marTop w:val="0"/>
          <w:marBottom w:val="0"/>
          <w:divBdr>
            <w:top w:val="none" w:sz="0" w:space="0" w:color="auto"/>
            <w:left w:val="none" w:sz="0" w:space="0" w:color="auto"/>
            <w:bottom w:val="none" w:sz="0" w:space="0" w:color="auto"/>
            <w:right w:val="none" w:sz="0" w:space="0" w:color="auto"/>
          </w:divBdr>
          <w:divsChild>
            <w:div w:id="1362589110">
              <w:marLeft w:val="0"/>
              <w:marRight w:val="0"/>
              <w:marTop w:val="0"/>
              <w:marBottom w:val="0"/>
              <w:divBdr>
                <w:top w:val="none" w:sz="0" w:space="0" w:color="auto"/>
                <w:left w:val="none" w:sz="0" w:space="0" w:color="auto"/>
                <w:bottom w:val="none" w:sz="0" w:space="0" w:color="auto"/>
                <w:right w:val="none" w:sz="0" w:space="0" w:color="auto"/>
              </w:divBdr>
            </w:div>
          </w:divsChild>
        </w:div>
        <w:div w:id="1982300018">
          <w:marLeft w:val="0"/>
          <w:marRight w:val="0"/>
          <w:marTop w:val="0"/>
          <w:marBottom w:val="0"/>
          <w:divBdr>
            <w:top w:val="none" w:sz="0" w:space="0" w:color="auto"/>
            <w:left w:val="none" w:sz="0" w:space="0" w:color="auto"/>
            <w:bottom w:val="none" w:sz="0" w:space="0" w:color="auto"/>
            <w:right w:val="none" w:sz="0" w:space="0" w:color="auto"/>
          </w:divBdr>
          <w:divsChild>
            <w:div w:id="1122923891">
              <w:marLeft w:val="0"/>
              <w:marRight w:val="0"/>
              <w:marTop w:val="0"/>
              <w:marBottom w:val="0"/>
              <w:divBdr>
                <w:top w:val="none" w:sz="0" w:space="0" w:color="auto"/>
                <w:left w:val="none" w:sz="0" w:space="0" w:color="auto"/>
                <w:bottom w:val="none" w:sz="0" w:space="0" w:color="auto"/>
                <w:right w:val="none" w:sz="0" w:space="0" w:color="auto"/>
              </w:divBdr>
            </w:div>
          </w:divsChild>
        </w:div>
        <w:div w:id="2065792416">
          <w:marLeft w:val="0"/>
          <w:marRight w:val="0"/>
          <w:marTop w:val="0"/>
          <w:marBottom w:val="0"/>
          <w:divBdr>
            <w:top w:val="none" w:sz="0" w:space="0" w:color="auto"/>
            <w:left w:val="none" w:sz="0" w:space="0" w:color="auto"/>
            <w:bottom w:val="none" w:sz="0" w:space="0" w:color="auto"/>
            <w:right w:val="none" w:sz="0" w:space="0" w:color="auto"/>
          </w:divBdr>
          <w:divsChild>
            <w:div w:id="891887328">
              <w:marLeft w:val="0"/>
              <w:marRight w:val="0"/>
              <w:marTop w:val="0"/>
              <w:marBottom w:val="0"/>
              <w:divBdr>
                <w:top w:val="none" w:sz="0" w:space="0" w:color="auto"/>
                <w:left w:val="none" w:sz="0" w:space="0" w:color="auto"/>
                <w:bottom w:val="none" w:sz="0" w:space="0" w:color="auto"/>
                <w:right w:val="none" w:sz="0" w:space="0" w:color="auto"/>
              </w:divBdr>
            </w:div>
          </w:divsChild>
        </w:div>
        <w:div w:id="2099985780">
          <w:marLeft w:val="0"/>
          <w:marRight w:val="0"/>
          <w:marTop w:val="0"/>
          <w:marBottom w:val="0"/>
          <w:divBdr>
            <w:top w:val="none" w:sz="0" w:space="0" w:color="auto"/>
            <w:left w:val="none" w:sz="0" w:space="0" w:color="auto"/>
            <w:bottom w:val="none" w:sz="0" w:space="0" w:color="auto"/>
            <w:right w:val="none" w:sz="0" w:space="0" w:color="auto"/>
          </w:divBdr>
          <w:divsChild>
            <w:div w:id="18553160">
              <w:marLeft w:val="0"/>
              <w:marRight w:val="0"/>
              <w:marTop w:val="0"/>
              <w:marBottom w:val="0"/>
              <w:divBdr>
                <w:top w:val="none" w:sz="0" w:space="0" w:color="auto"/>
                <w:left w:val="none" w:sz="0" w:space="0" w:color="auto"/>
                <w:bottom w:val="none" w:sz="0" w:space="0" w:color="auto"/>
                <w:right w:val="none" w:sz="0" w:space="0" w:color="auto"/>
              </w:divBdr>
            </w:div>
          </w:divsChild>
        </w:div>
        <w:div w:id="2102337783">
          <w:marLeft w:val="0"/>
          <w:marRight w:val="0"/>
          <w:marTop w:val="0"/>
          <w:marBottom w:val="0"/>
          <w:divBdr>
            <w:top w:val="none" w:sz="0" w:space="0" w:color="auto"/>
            <w:left w:val="none" w:sz="0" w:space="0" w:color="auto"/>
            <w:bottom w:val="none" w:sz="0" w:space="0" w:color="auto"/>
            <w:right w:val="none" w:sz="0" w:space="0" w:color="auto"/>
          </w:divBdr>
          <w:divsChild>
            <w:div w:id="2075885023">
              <w:marLeft w:val="0"/>
              <w:marRight w:val="0"/>
              <w:marTop w:val="0"/>
              <w:marBottom w:val="0"/>
              <w:divBdr>
                <w:top w:val="none" w:sz="0" w:space="0" w:color="auto"/>
                <w:left w:val="none" w:sz="0" w:space="0" w:color="auto"/>
                <w:bottom w:val="none" w:sz="0" w:space="0" w:color="auto"/>
                <w:right w:val="none" w:sz="0" w:space="0" w:color="auto"/>
              </w:divBdr>
            </w:div>
          </w:divsChild>
        </w:div>
        <w:div w:id="2118015447">
          <w:marLeft w:val="0"/>
          <w:marRight w:val="0"/>
          <w:marTop w:val="0"/>
          <w:marBottom w:val="0"/>
          <w:divBdr>
            <w:top w:val="none" w:sz="0" w:space="0" w:color="auto"/>
            <w:left w:val="none" w:sz="0" w:space="0" w:color="auto"/>
            <w:bottom w:val="none" w:sz="0" w:space="0" w:color="auto"/>
            <w:right w:val="none" w:sz="0" w:space="0" w:color="auto"/>
          </w:divBdr>
          <w:divsChild>
            <w:div w:id="1435128681">
              <w:marLeft w:val="0"/>
              <w:marRight w:val="0"/>
              <w:marTop w:val="0"/>
              <w:marBottom w:val="0"/>
              <w:divBdr>
                <w:top w:val="none" w:sz="0" w:space="0" w:color="auto"/>
                <w:left w:val="none" w:sz="0" w:space="0" w:color="auto"/>
                <w:bottom w:val="none" w:sz="0" w:space="0" w:color="auto"/>
                <w:right w:val="none" w:sz="0" w:space="0" w:color="auto"/>
              </w:divBdr>
            </w:div>
          </w:divsChild>
        </w:div>
        <w:div w:id="2128501704">
          <w:marLeft w:val="0"/>
          <w:marRight w:val="0"/>
          <w:marTop w:val="0"/>
          <w:marBottom w:val="0"/>
          <w:divBdr>
            <w:top w:val="none" w:sz="0" w:space="0" w:color="auto"/>
            <w:left w:val="none" w:sz="0" w:space="0" w:color="auto"/>
            <w:bottom w:val="none" w:sz="0" w:space="0" w:color="auto"/>
            <w:right w:val="none" w:sz="0" w:space="0" w:color="auto"/>
          </w:divBdr>
          <w:divsChild>
            <w:div w:id="17467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2843">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534320">
      <w:bodyDiv w:val="1"/>
      <w:marLeft w:val="0"/>
      <w:marRight w:val="0"/>
      <w:marTop w:val="0"/>
      <w:marBottom w:val="0"/>
      <w:divBdr>
        <w:top w:val="none" w:sz="0" w:space="0" w:color="auto"/>
        <w:left w:val="none" w:sz="0" w:space="0" w:color="auto"/>
        <w:bottom w:val="none" w:sz="0" w:space="0" w:color="auto"/>
        <w:right w:val="none" w:sz="0" w:space="0" w:color="auto"/>
      </w:divBdr>
      <w:divsChild>
        <w:div w:id="423840006">
          <w:marLeft w:val="0"/>
          <w:marRight w:val="0"/>
          <w:marTop w:val="0"/>
          <w:marBottom w:val="0"/>
          <w:divBdr>
            <w:top w:val="none" w:sz="0" w:space="0" w:color="auto"/>
            <w:left w:val="none" w:sz="0" w:space="0" w:color="auto"/>
            <w:bottom w:val="none" w:sz="0" w:space="0" w:color="auto"/>
            <w:right w:val="none" w:sz="0" w:space="0" w:color="auto"/>
          </w:divBdr>
        </w:div>
        <w:div w:id="2137334081">
          <w:marLeft w:val="0"/>
          <w:marRight w:val="0"/>
          <w:marTop w:val="0"/>
          <w:marBottom w:val="0"/>
          <w:divBdr>
            <w:top w:val="none" w:sz="0" w:space="0" w:color="auto"/>
            <w:left w:val="none" w:sz="0" w:space="0" w:color="auto"/>
            <w:bottom w:val="none" w:sz="0" w:space="0" w:color="auto"/>
            <w:right w:val="none" w:sz="0" w:space="0" w:color="auto"/>
          </w:divBdr>
        </w:div>
      </w:divsChild>
    </w:div>
    <w:div w:id="1300066434">
      <w:bodyDiv w:val="1"/>
      <w:marLeft w:val="0"/>
      <w:marRight w:val="0"/>
      <w:marTop w:val="0"/>
      <w:marBottom w:val="0"/>
      <w:divBdr>
        <w:top w:val="none" w:sz="0" w:space="0" w:color="auto"/>
        <w:left w:val="none" w:sz="0" w:space="0" w:color="auto"/>
        <w:bottom w:val="none" w:sz="0" w:space="0" w:color="auto"/>
        <w:right w:val="none" w:sz="0" w:space="0" w:color="auto"/>
      </w:divBdr>
      <w:divsChild>
        <w:div w:id="459152974">
          <w:marLeft w:val="0"/>
          <w:marRight w:val="0"/>
          <w:marTop w:val="0"/>
          <w:marBottom w:val="0"/>
          <w:divBdr>
            <w:top w:val="none" w:sz="0" w:space="0" w:color="auto"/>
            <w:left w:val="none" w:sz="0" w:space="0" w:color="auto"/>
            <w:bottom w:val="none" w:sz="0" w:space="0" w:color="auto"/>
            <w:right w:val="none" w:sz="0" w:space="0" w:color="auto"/>
          </w:divBdr>
        </w:div>
        <w:div w:id="850946167">
          <w:marLeft w:val="0"/>
          <w:marRight w:val="0"/>
          <w:marTop w:val="0"/>
          <w:marBottom w:val="0"/>
          <w:divBdr>
            <w:top w:val="none" w:sz="0" w:space="0" w:color="auto"/>
            <w:left w:val="none" w:sz="0" w:space="0" w:color="auto"/>
            <w:bottom w:val="none" w:sz="0" w:space="0" w:color="auto"/>
            <w:right w:val="none" w:sz="0" w:space="0" w:color="auto"/>
          </w:divBdr>
        </w:div>
      </w:divsChild>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673952978">
      <w:bodyDiv w:val="1"/>
      <w:marLeft w:val="0"/>
      <w:marRight w:val="0"/>
      <w:marTop w:val="0"/>
      <w:marBottom w:val="0"/>
      <w:divBdr>
        <w:top w:val="none" w:sz="0" w:space="0" w:color="auto"/>
        <w:left w:val="none" w:sz="0" w:space="0" w:color="auto"/>
        <w:bottom w:val="none" w:sz="0" w:space="0" w:color="auto"/>
        <w:right w:val="none" w:sz="0" w:space="0" w:color="auto"/>
      </w:divBdr>
      <w:divsChild>
        <w:div w:id="1473417">
          <w:marLeft w:val="0"/>
          <w:marRight w:val="0"/>
          <w:marTop w:val="0"/>
          <w:marBottom w:val="0"/>
          <w:divBdr>
            <w:top w:val="none" w:sz="0" w:space="0" w:color="auto"/>
            <w:left w:val="none" w:sz="0" w:space="0" w:color="auto"/>
            <w:bottom w:val="none" w:sz="0" w:space="0" w:color="auto"/>
            <w:right w:val="none" w:sz="0" w:space="0" w:color="auto"/>
          </w:divBdr>
          <w:divsChild>
            <w:div w:id="670765821">
              <w:marLeft w:val="0"/>
              <w:marRight w:val="0"/>
              <w:marTop w:val="0"/>
              <w:marBottom w:val="0"/>
              <w:divBdr>
                <w:top w:val="none" w:sz="0" w:space="0" w:color="auto"/>
                <w:left w:val="none" w:sz="0" w:space="0" w:color="auto"/>
                <w:bottom w:val="none" w:sz="0" w:space="0" w:color="auto"/>
                <w:right w:val="none" w:sz="0" w:space="0" w:color="auto"/>
              </w:divBdr>
            </w:div>
          </w:divsChild>
        </w:div>
        <w:div w:id="102845716">
          <w:marLeft w:val="0"/>
          <w:marRight w:val="0"/>
          <w:marTop w:val="0"/>
          <w:marBottom w:val="0"/>
          <w:divBdr>
            <w:top w:val="none" w:sz="0" w:space="0" w:color="auto"/>
            <w:left w:val="none" w:sz="0" w:space="0" w:color="auto"/>
            <w:bottom w:val="none" w:sz="0" w:space="0" w:color="auto"/>
            <w:right w:val="none" w:sz="0" w:space="0" w:color="auto"/>
          </w:divBdr>
          <w:divsChild>
            <w:div w:id="780958065">
              <w:marLeft w:val="0"/>
              <w:marRight w:val="0"/>
              <w:marTop w:val="0"/>
              <w:marBottom w:val="0"/>
              <w:divBdr>
                <w:top w:val="none" w:sz="0" w:space="0" w:color="auto"/>
                <w:left w:val="none" w:sz="0" w:space="0" w:color="auto"/>
                <w:bottom w:val="none" w:sz="0" w:space="0" w:color="auto"/>
                <w:right w:val="none" w:sz="0" w:space="0" w:color="auto"/>
              </w:divBdr>
            </w:div>
          </w:divsChild>
        </w:div>
        <w:div w:id="103575110">
          <w:marLeft w:val="0"/>
          <w:marRight w:val="0"/>
          <w:marTop w:val="0"/>
          <w:marBottom w:val="0"/>
          <w:divBdr>
            <w:top w:val="none" w:sz="0" w:space="0" w:color="auto"/>
            <w:left w:val="none" w:sz="0" w:space="0" w:color="auto"/>
            <w:bottom w:val="none" w:sz="0" w:space="0" w:color="auto"/>
            <w:right w:val="none" w:sz="0" w:space="0" w:color="auto"/>
          </w:divBdr>
          <w:divsChild>
            <w:div w:id="434399873">
              <w:marLeft w:val="0"/>
              <w:marRight w:val="0"/>
              <w:marTop w:val="0"/>
              <w:marBottom w:val="0"/>
              <w:divBdr>
                <w:top w:val="none" w:sz="0" w:space="0" w:color="auto"/>
                <w:left w:val="none" w:sz="0" w:space="0" w:color="auto"/>
                <w:bottom w:val="none" w:sz="0" w:space="0" w:color="auto"/>
                <w:right w:val="none" w:sz="0" w:space="0" w:color="auto"/>
              </w:divBdr>
            </w:div>
          </w:divsChild>
        </w:div>
        <w:div w:id="198710167">
          <w:marLeft w:val="0"/>
          <w:marRight w:val="0"/>
          <w:marTop w:val="0"/>
          <w:marBottom w:val="0"/>
          <w:divBdr>
            <w:top w:val="none" w:sz="0" w:space="0" w:color="auto"/>
            <w:left w:val="none" w:sz="0" w:space="0" w:color="auto"/>
            <w:bottom w:val="none" w:sz="0" w:space="0" w:color="auto"/>
            <w:right w:val="none" w:sz="0" w:space="0" w:color="auto"/>
          </w:divBdr>
          <w:divsChild>
            <w:div w:id="206726164">
              <w:marLeft w:val="0"/>
              <w:marRight w:val="0"/>
              <w:marTop w:val="0"/>
              <w:marBottom w:val="0"/>
              <w:divBdr>
                <w:top w:val="none" w:sz="0" w:space="0" w:color="auto"/>
                <w:left w:val="none" w:sz="0" w:space="0" w:color="auto"/>
                <w:bottom w:val="none" w:sz="0" w:space="0" w:color="auto"/>
                <w:right w:val="none" w:sz="0" w:space="0" w:color="auto"/>
              </w:divBdr>
            </w:div>
          </w:divsChild>
        </w:div>
        <w:div w:id="208348512">
          <w:marLeft w:val="0"/>
          <w:marRight w:val="0"/>
          <w:marTop w:val="0"/>
          <w:marBottom w:val="0"/>
          <w:divBdr>
            <w:top w:val="none" w:sz="0" w:space="0" w:color="auto"/>
            <w:left w:val="none" w:sz="0" w:space="0" w:color="auto"/>
            <w:bottom w:val="none" w:sz="0" w:space="0" w:color="auto"/>
            <w:right w:val="none" w:sz="0" w:space="0" w:color="auto"/>
          </w:divBdr>
          <w:divsChild>
            <w:div w:id="171259224">
              <w:marLeft w:val="0"/>
              <w:marRight w:val="0"/>
              <w:marTop w:val="0"/>
              <w:marBottom w:val="0"/>
              <w:divBdr>
                <w:top w:val="none" w:sz="0" w:space="0" w:color="auto"/>
                <w:left w:val="none" w:sz="0" w:space="0" w:color="auto"/>
                <w:bottom w:val="none" w:sz="0" w:space="0" w:color="auto"/>
                <w:right w:val="none" w:sz="0" w:space="0" w:color="auto"/>
              </w:divBdr>
            </w:div>
          </w:divsChild>
        </w:div>
        <w:div w:id="210116422">
          <w:marLeft w:val="0"/>
          <w:marRight w:val="0"/>
          <w:marTop w:val="0"/>
          <w:marBottom w:val="0"/>
          <w:divBdr>
            <w:top w:val="none" w:sz="0" w:space="0" w:color="auto"/>
            <w:left w:val="none" w:sz="0" w:space="0" w:color="auto"/>
            <w:bottom w:val="none" w:sz="0" w:space="0" w:color="auto"/>
            <w:right w:val="none" w:sz="0" w:space="0" w:color="auto"/>
          </w:divBdr>
          <w:divsChild>
            <w:div w:id="260798149">
              <w:marLeft w:val="0"/>
              <w:marRight w:val="0"/>
              <w:marTop w:val="0"/>
              <w:marBottom w:val="0"/>
              <w:divBdr>
                <w:top w:val="none" w:sz="0" w:space="0" w:color="auto"/>
                <w:left w:val="none" w:sz="0" w:space="0" w:color="auto"/>
                <w:bottom w:val="none" w:sz="0" w:space="0" w:color="auto"/>
                <w:right w:val="none" w:sz="0" w:space="0" w:color="auto"/>
              </w:divBdr>
            </w:div>
          </w:divsChild>
        </w:div>
        <w:div w:id="251470961">
          <w:marLeft w:val="0"/>
          <w:marRight w:val="0"/>
          <w:marTop w:val="0"/>
          <w:marBottom w:val="0"/>
          <w:divBdr>
            <w:top w:val="none" w:sz="0" w:space="0" w:color="auto"/>
            <w:left w:val="none" w:sz="0" w:space="0" w:color="auto"/>
            <w:bottom w:val="none" w:sz="0" w:space="0" w:color="auto"/>
            <w:right w:val="none" w:sz="0" w:space="0" w:color="auto"/>
          </w:divBdr>
          <w:divsChild>
            <w:div w:id="516699971">
              <w:marLeft w:val="0"/>
              <w:marRight w:val="0"/>
              <w:marTop w:val="0"/>
              <w:marBottom w:val="0"/>
              <w:divBdr>
                <w:top w:val="none" w:sz="0" w:space="0" w:color="auto"/>
                <w:left w:val="none" w:sz="0" w:space="0" w:color="auto"/>
                <w:bottom w:val="none" w:sz="0" w:space="0" w:color="auto"/>
                <w:right w:val="none" w:sz="0" w:space="0" w:color="auto"/>
              </w:divBdr>
            </w:div>
          </w:divsChild>
        </w:div>
        <w:div w:id="287668230">
          <w:marLeft w:val="0"/>
          <w:marRight w:val="0"/>
          <w:marTop w:val="0"/>
          <w:marBottom w:val="0"/>
          <w:divBdr>
            <w:top w:val="none" w:sz="0" w:space="0" w:color="auto"/>
            <w:left w:val="none" w:sz="0" w:space="0" w:color="auto"/>
            <w:bottom w:val="none" w:sz="0" w:space="0" w:color="auto"/>
            <w:right w:val="none" w:sz="0" w:space="0" w:color="auto"/>
          </w:divBdr>
          <w:divsChild>
            <w:div w:id="475951783">
              <w:marLeft w:val="0"/>
              <w:marRight w:val="0"/>
              <w:marTop w:val="0"/>
              <w:marBottom w:val="0"/>
              <w:divBdr>
                <w:top w:val="none" w:sz="0" w:space="0" w:color="auto"/>
                <w:left w:val="none" w:sz="0" w:space="0" w:color="auto"/>
                <w:bottom w:val="none" w:sz="0" w:space="0" w:color="auto"/>
                <w:right w:val="none" w:sz="0" w:space="0" w:color="auto"/>
              </w:divBdr>
            </w:div>
          </w:divsChild>
        </w:div>
        <w:div w:id="292835875">
          <w:marLeft w:val="0"/>
          <w:marRight w:val="0"/>
          <w:marTop w:val="0"/>
          <w:marBottom w:val="0"/>
          <w:divBdr>
            <w:top w:val="none" w:sz="0" w:space="0" w:color="auto"/>
            <w:left w:val="none" w:sz="0" w:space="0" w:color="auto"/>
            <w:bottom w:val="none" w:sz="0" w:space="0" w:color="auto"/>
            <w:right w:val="none" w:sz="0" w:space="0" w:color="auto"/>
          </w:divBdr>
          <w:divsChild>
            <w:div w:id="663168343">
              <w:marLeft w:val="0"/>
              <w:marRight w:val="0"/>
              <w:marTop w:val="0"/>
              <w:marBottom w:val="0"/>
              <w:divBdr>
                <w:top w:val="none" w:sz="0" w:space="0" w:color="auto"/>
                <w:left w:val="none" w:sz="0" w:space="0" w:color="auto"/>
                <w:bottom w:val="none" w:sz="0" w:space="0" w:color="auto"/>
                <w:right w:val="none" w:sz="0" w:space="0" w:color="auto"/>
              </w:divBdr>
            </w:div>
          </w:divsChild>
        </w:div>
        <w:div w:id="299575889">
          <w:marLeft w:val="0"/>
          <w:marRight w:val="0"/>
          <w:marTop w:val="0"/>
          <w:marBottom w:val="0"/>
          <w:divBdr>
            <w:top w:val="none" w:sz="0" w:space="0" w:color="auto"/>
            <w:left w:val="none" w:sz="0" w:space="0" w:color="auto"/>
            <w:bottom w:val="none" w:sz="0" w:space="0" w:color="auto"/>
            <w:right w:val="none" w:sz="0" w:space="0" w:color="auto"/>
          </w:divBdr>
          <w:divsChild>
            <w:div w:id="13970068">
              <w:marLeft w:val="0"/>
              <w:marRight w:val="0"/>
              <w:marTop w:val="0"/>
              <w:marBottom w:val="0"/>
              <w:divBdr>
                <w:top w:val="none" w:sz="0" w:space="0" w:color="auto"/>
                <w:left w:val="none" w:sz="0" w:space="0" w:color="auto"/>
                <w:bottom w:val="none" w:sz="0" w:space="0" w:color="auto"/>
                <w:right w:val="none" w:sz="0" w:space="0" w:color="auto"/>
              </w:divBdr>
            </w:div>
          </w:divsChild>
        </w:div>
        <w:div w:id="338512090">
          <w:marLeft w:val="0"/>
          <w:marRight w:val="0"/>
          <w:marTop w:val="0"/>
          <w:marBottom w:val="0"/>
          <w:divBdr>
            <w:top w:val="none" w:sz="0" w:space="0" w:color="auto"/>
            <w:left w:val="none" w:sz="0" w:space="0" w:color="auto"/>
            <w:bottom w:val="none" w:sz="0" w:space="0" w:color="auto"/>
            <w:right w:val="none" w:sz="0" w:space="0" w:color="auto"/>
          </w:divBdr>
          <w:divsChild>
            <w:div w:id="1365642558">
              <w:marLeft w:val="0"/>
              <w:marRight w:val="0"/>
              <w:marTop w:val="0"/>
              <w:marBottom w:val="0"/>
              <w:divBdr>
                <w:top w:val="none" w:sz="0" w:space="0" w:color="auto"/>
                <w:left w:val="none" w:sz="0" w:space="0" w:color="auto"/>
                <w:bottom w:val="none" w:sz="0" w:space="0" w:color="auto"/>
                <w:right w:val="none" w:sz="0" w:space="0" w:color="auto"/>
              </w:divBdr>
            </w:div>
          </w:divsChild>
        </w:div>
        <w:div w:id="424888406">
          <w:marLeft w:val="0"/>
          <w:marRight w:val="0"/>
          <w:marTop w:val="0"/>
          <w:marBottom w:val="0"/>
          <w:divBdr>
            <w:top w:val="none" w:sz="0" w:space="0" w:color="auto"/>
            <w:left w:val="none" w:sz="0" w:space="0" w:color="auto"/>
            <w:bottom w:val="none" w:sz="0" w:space="0" w:color="auto"/>
            <w:right w:val="none" w:sz="0" w:space="0" w:color="auto"/>
          </w:divBdr>
          <w:divsChild>
            <w:div w:id="1340962845">
              <w:marLeft w:val="0"/>
              <w:marRight w:val="0"/>
              <w:marTop w:val="0"/>
              <w:marBottom w:val="0"/>
              <w:divBdr>
                <w:top w:val="none" w:sz="0" w:space="0" w:color="auto"/>
                <w:left w:val="none" w:sz="0" w:space="0" w:color="auto"/>
                <w:bottom w:val="none" w:sz="0" w:space="0" w:color="auto"/>
                <w:right w:val="none" w:sz="0" w:space="0" w:color="auto"/>
              </w:divBdr>
            </w:div>
          </w:divsChild>
        </w:div>
        <w:div w:id="441655912">
          <w:marLeft w:val="0"/>
          <w:marRight w:val="0"/>
          <w:marTop w:val="0"/>
          <w:marBottom w:val="0"/>
          <w:divBdr>
            <w:top w:val="none" w:sz="0" w:space="0" w:color="auto"/>
            <w:left w:val="none" w:sz="0" w:space="0" w:color="auto"/>
            <w:bottom w:val="none" w:sz="0" w:space="0" w:color="auto"/>
            <w:right w:val="none" w:sz="0" w:space="0" w:color="auto"/>
          </w:divBdr>
          <w:divsChild>
            <w:div w:id="319889204">
              <w:marLeft w:val="0"/>
              <w:marRight w:val="0"/>
              <w:marTop w:val="0"/>
              <w:marBottom w:val="0"/>
              <w:divBdr>
                <w:top w:val="none" w:sz="0" w:space="0" w:color="auto"/>
                <w:left w:val="none" w:sz="0" w:space="0" w:color="auto"/>
                <w:bottom w:val="none" w:sz="0" w:space="0" w:color="auto"/>
                <w:right w:val="none" w:sz="0" w:space="0" w:color="auto"/>
              </w:divBdr>
            </w:div>
          </w:divsChild>
        </w:div>
        <w:div w:id="484979731">
          <w:marLeft w:val="0"/>
          <w:marRight w:val="0"/>
          <w:marTop w:val="0"/>
          <w:marBottom w:val="0"/>
          <w:divBdr>
            <w:top w:val="none" w:sz="0" w:space="0" w:color="auto"/>
            <w:left w:val="none" w:sz="0" w:space="0" w:color="auto"/>
            <w:bottom w:val="none" w:sz="0" w:space="0" w:color="auto"/>
            <w:right w:val="none" w:sz="0" w:space="0" w:color="auto"/>
          </w:divBdr>
          <w:divsChild>
            <w:div w:id="2083405108">
              <w:marLeft w:val="0"/>
              <w:marRight w:val="0"/>
              <w:marTop w:val="0"/>
              <w:marBottom w:val="0"/>
              <w:divBdr>
                <w:top w:val="none" w:sz="0" w:space="0" w:color="auto"/>
                <w:left w:val="none" w:sz="0" w:space="0" w:color="auto"/>
                <w:bottom w:val="none" w:sz="0" w:space="0" w:color="auto"/>
                <w:right w:val="none" w:sz="0" w:space="0" w:color="auto"/>
              </w:divBdr>
            </w:div>
          </w:divsChild>
        </w:div>
        <w:div w:id="498037678">
          <w:marLeft w:val="0"/>
          <w:marRight w:val="0"/>
          <w:marTop w:val="0"/>
          <w:marBottom w:val="0"/>
          <w:divBdr>
            <w:top w:val="none" w:sz="0" w:space="0" w:color="auto"/>
            <w:left w:val="none" w:sz="0" w:space="0" w:color="auto"/>
            <w:bottom w:val="none" w:sz="0" w:space="0" w:color="auto"/>
            <w:right w:val="none" w:sz="0" w:space="0" w:color="auto"/>
          </w:divBdr>
          <w:divsChild>
            <w:div w:id="832792304">
              <w:marLeft w:val="0"/>
              <w:marRight w:val="0"/>
              <w:marTop w:val="0"/>
              <w:marBottom w:val="0"/>
              <w:divBdr>
                <w:top w:val="none" w:sz="0" w:space="0" w:color="auto"/>
                <w:left w:val="none" w:sz="0" w:space="0" w:color="auto"/>
                <w:bottom w:val="none" w:sz="0" w:space="0" w:color="auto"/>
                <w:right w:val="none" w:sz="0" w:space="0" w:color="auto"/>
              </w:divBdr>
            </w:div>
          </w:divsChild>
        </w:div>
        <w:div w:id="584649147">
          <w:marLeft w:val="0"/>
          <w:marRight w:val="0"/>
          <w:marTop w:val="0"/>
          <w:marBottom w:val="0"/>
          <w:divBdr>
            <w:top w:val="none" w:sz="0" w:space="0" w:color="auto"/>
            <w:left w:val="none" w:sz="0" w:space="0" w:color="auto"/>
            <w:bottom w:val="none" w:sz="0" w:space="0" w:color="auto"/>
            <w:right w:val="none" w:sz="0" w:space="0" w:color="auto"/>
          </w:divBdr>
          <w:divsChild>
            <w:div w:id="111754825">
              <w:marLeft w:val="0"/>
              <w:marRight w:val="0"/>
              <w:marTop w:val="0"/>
              <w:marBottom w:val="0"/>
              <w:divBdr>
                <w:top w:val="none" w:sz="0" w:space="0" w:color="auto"/>
                <w:left w:val="none" w:sz="0" w:space="0" w:color="auto"/>
                <w:bottom w:val="none" w:sz="0" w:space="0" w:color="auto"/>
                <w:right w:val="none" w:sz="0" w:space="0" w:color="auto"/>
              </w:divBdr>
            </w:div>
          </w:divsChild>
        </w:div>
        <w:div w:id="596985782">
          <w:marLeft w:val="0"/>
          <w:marRight w:val="0"/>
          <w:marTop w:val="0"/>
          <w:marBottom w:val="0"/>
          <w:divBdr>
            <w:top w:val="none" w:sz="0" w:space="0" w:color="auto"/>
            <w:left w:val="none" w:sz="0" w:space="0" w:color="auto"/>
            <w:bottom w:val="none" w:sz="0" w:space="0" w:color="auto"/>
            <w:right w:val="none" w:sz="0" w:space="0" w:color="auto"/>
          </w:divBdr>
          <w:divsChild>
            <w:div w:id="1194005226">
              <w:marLeft w:val="0"/>
              <w:marRight w:val="0"/>
              <w:marTop w:val="0"/>
              <w:marBottom w:val="0"/>
              <w:divBdr>
                <w:top w:val="none" w:sz="0" w:space="0" w:color="auto"/>
                <w:left w:val="none" w:sz="0" w:space="0" w:color="auto"/>
                <w:bottom w:val="none" w:sz="0" w:space="0" w:color="auto"/>
                <w:right w:val="none" w:sz="0" w:space="0" w:color="auto"/>
              </w:divBdr>
            </w:div>
          </w:divsChild>
        </w:div>
        <w:div w:id="656343911">
          <w:marLeft w:val="0"/>
          <w:marRight w:val="0"/>
          <w:marTop w:val="0"/>
          <w:marBottom w:val="0"/>
          <w:divBdr>
            <w:top w:val="none" w:sz="0" w:space="0" w:color="auto"/>
            <w:left w:val="none" w:sz="0" w:space="0" w:color="auto"/>
            <w:bottom w:val="none" w:sz="0" w:space="0" w:color="auto"/>
            <w:right w:val="none" w:sz="0" w:space="0" w:color="auto"/>
          </w:divBdr>
          <w:divsChild>
            <w:div w:id="1551651236">
              <w:marLeft w:val="0"/>
              <w:marRight w:val="0"/>
              <w:marTop w:val="0"/>
              <w:marBottom w:val="0"/>
              <w:divBdr>
                <w:top w:val="none" w:sz="0" w:space="0" w:color="auto"/>
                <w:left w:val="none" w:sz="0" w:space="0" w:color="auto"/>
                <w:bottom w:val="none" w:sz="0" w:space="0" w:color="auto"/>
                <w:right w:val="none" w:sz="0" w:space="0" w:color="auto"/>
              </w:divBdr>
            </w:div>
          </w:divsChild>
        </w:div>
        <w:div w:id="766269823">
          <w:marLeft w:val="0"/>
          <w:marRight w:val="0"/>
          <w:marTop w:val="0"/>
          <w:marBottom w:val="0"/>
          <w:divBdr>
            <w:top w:val="none" w:sz="0" w:space="0" w:color="auto"/>
            <w:left w:val="none" w:sz="0" w:space="0" w:color="auto"/>
            <w:bottom w:val="none" w:sz="0" w:space="0" w:color="auto"/>
            <w:right w:val="none" w:sz="0" w:space="0" w:color="auto"/>
          </w:divBdr>
          <w:divsChild>
            <w:div w:id="780997124">
              <w:marLeft w:val="0"/>
              <w:marRight w:val="0"/>
              <w:marTop w:val="0"/>
              <w:marBottom w:val="0"/>
              <w:divBdr>
                <w:top w:val="none" w:sz="0" w:space="0" w:color="auto"/>
                <w:left w:val="none" w:sz="0" w:space="0" w:color="auto"/>
                <w:bottom w:val="none" w:sz="0" w:space="0" w:color="auto"/>
                <w:right w:val="none" w:sz="0" w:space="0" w:color="auto"/>
              </w:divBdr>
            </w:div>
          </w:divsChild>
        </w:div>
        <w:div w:id="805585899">
          <w:marLeft w:val="0"/>
          <w:marRight w:val="0"/>
          <w:marTop w:val="0"/>
          <w:marBottom w:val="0"/>
          <w:divBdr>
            <w:top w:val="none" w:sz="0" w:space="0" w:color="auto"/>
            <w:left w:val="none" w:sz="0" w:space="0" w:color="auto"/>
            <w:bottom w:val="none" w:sz="0" w:space="0" w:color="auto"/>
            <w:right w:val="none" w:sz="0" w:space="0" w:color="auto"/>
          </w:divBdr>
          <w:divsChild>
            <w:div w:id="1266575759">
              <w:marLeft w:val="0"/>
              <w:marRight w:val="0"/>
              <w:marTop w:val="0"/>
              <w:marBottom w:val="0"/>
              <w:divBdr>
                <w:top w:val="none" w:sz="0" w:space="0" w:color="auto"/>
                <w:left w:val="none" w:sz="0" w:space="0" w:color="auto"/>
                <w:bottom w:val="none" w:sz="0" w:space="0" w:color="auto"/>
                <w:right w:val="none" w:sz="0" w:space="0" w:color="auto"/>
              </w:divBdr>
            </w:div>
          </w:divsChild>
        </w:div>
        <w:div w:id="857237711">
          <w:marLeft w:val="0"/>
          <w:marRight w:val="0"/>
          <w:marTop w:val="0"/>
          <w:marBottom w:val="0"/>
          <w:divBdr>
            <w:top w:val="none" w:sz="0" w:space="0" w:color="auto"/>
            <w:left w:val="none" w:sz="0" w:space="0" w:color="auto"/>
            <w:bottom w:val="none" w:sz="0" w:space="0" w:color="auto"/>
            <w:right w:val="none" w:sz="0" w:space="0" w:color="auto"/>
          </w:divBdr>
          <w:divsChild>
            <w:div w:id="593171869">
              <w:marLeft w:val="0"/>
              <w:marRight w:val="0"/>
              <w:marTop w:val="0"/>
              <w:marBottom w:val="0"/>
              <w:divBdr>
                <w:top w:val="none" w:sz="0" w:space="0" w:color="auto"/>
                <w:left w:val="none" w:sz="0" w:space="0" w:color="auto"/>
                <w:bottom w:val="none" w:sz="0" w:space="0" w:color="auto"/>
                <w:right w:val="none" w:sz="0" w:space="0" w:color="auto"/>
              </w:divBdr>
            </w:div>
          </w:divsChild>
        </w:div>
        <w:div w:id="875047649">
          <w:marLeft w:val="0"/>
          <w:marRight w:val="0"/>
          <w:marTop w:val="0"/>
          <w:marBottom w:val="0"/>
          <w:divBdr>
            <w:top w:val="none" w:sz="0" w:space="0" w:color="auto"/>
            <w:left w:val="none" w:sz="0" w:space="0" w:color="auto"/>
            <w:bottom w:val="none" w:sz="0" w:space="0" w:color="auto"/>
            <w:right w:val="none" w:sz="0" w:space="0" w:color="auto"/>
          </w:divBdr>
          <w:divsChild>
            <w:div w:id="2092506125">
              <w:marLeft w:val="0"/>
              <w:marRight w:val="0"/>
              <w:marTop w:val="0"/>
              <w:marBottom w:val="0"/>
              <w:divBdr>
                <w:top w:val="none" w:sz="0" w:space="0" w:color="auto"/>
                <w:left w:val="none" w:sz="0" w:space="0" w:color="auto"/>
                <w:bottom w:val="none" w:sz="0" w:space="0" w:color="auto"/>
                <w:right w:val="none" w:sz="0" w:space="0" w:color="auto"/>
              </w:divBdr>
            </w:div>
          </w:divsChild>
        </w:div>
        <w:div w:id="899756604">
          <w:marLeft w:val="0"/>
          <w:marRight w:val="0"/>
          <w:marTop w:val="0"/>
          <w:marBottom w:val="0"/>
          <w:divBdr>
            <w:top w:val="none" w:sz="0" w:space="0" w:color="auto"/>
            <w:left w:val="none" w:sz="0" w:space="0" w:color="auto"/>
            <w:bottom w:val="none" w:sz="0" w:space="0" w:color="auto"/>
            <w:right w:val="none" w:sz="0" w:space="0" w:color="auto"/>
          </w:divBdr>
          <w:divsChild>
            <w:div w:id="500395194">
              <w:marLeft w:val="0"/>
              <w:marRight w:val="0"/>
              <w:marTop w:val="0"/>
              <w:marBottom w:val="0"/>
              <w:divBdr>
                <w:top w:val="none" w:sz="0" w:space="0" w:color="auto"/>
                <w:left w:val="none" w:sz="0" w:space="0" w:color="auto"/>
                <w:bottom w:val="none" w:sz="0" w:space="0" w:color="auto"/>
                <w:right w:val="none" w:sz="0" w:space="0" w:color="auto"/>
              </w:divBdr>
            </w:div>
          </w:divsChild>
        </w:div>
        <w:div w:id="908687716">
          <w:marLeft w:val="0"/>
          <w:marRight w:val="0"/>
          <w:marTop w:val="0"/>
          <w:marBottom w:val="0"/>
          <w:divBdr>
            <w:top w:val="none" w:sz="0" w:space="0" w:color="auto"/>
            <w:left w:val="none" w:sz="0" w:space="0" w:color="auto"/>
            <w:bottom w:val="none" w:sz="0" w:space="0" w:color="auto"/>
            <w:right w:val="none" w:sz="0" w:space="0" w:color="auto"/>
          </w:divBdr>
          <w:divsChild>
            <w:div w:id="1613046844">
              <w:marLeft w:val="0"/>
              <w:marRight w:val="0"/>
              <w:marTop w:val="0"/>
              <w:marBottom w:val="0"/>
              <w:divBdr>
                <w:top w:val="none" w:sz="0" w:space="0" w:color="auto"/>
                <w:left w:val="none" w:sz="0" w:space="0" w:color="auto"/>
                <w:bottom w:val="none" w:sz="0" w:space="0" w:color="auto"/>
                <w:right w:val="none" w:sz="0" w:space="0" w:color="auto"/>
              </w:divBdr>
            </w:div>
          </w:divsChild>
        </w:div>
        <w:div w:id="928780419">
          <w:marLeft w:val="0"/>
          <w:marRight w:val="0"/>
          <w:marTop w:val="0"/>
          <w:marBottom w:val="0"/>
          <w:divBdr>
            <w:top w:val="none" w:sz="0" w:space="0" w:color="auto"/>
            <w:left w:val="none" w:sz="0" w:space="0" w:color="auto"/>
            <w:bottom w:val="none" w:sz="0" w:space="0" w:color="auto"/>
            <w:right w:val="none" w:sz="0" w:space="0" w:color="auto"/>
          </w:divBdr>
          <w:divsChild>
            <w:div w:id="1835100165">
              <w:marLeft w:val="0"/>
              <w:marRight w:val="0"/>
              <w:marTop w:val="0"/>
              <w:marBottom w:val="0"/>
              <w:divBdr>
                <w:top w:val="none" w:sz="0" w:space="0" w:color="auto"/>
                <w:left w:val="none" w:sz="0" w:space="0" w:color="auto"/>
                <w:bottom w:val="none" w:sz="0" w:space="0" w:color="auto"/>
                <w:right w:val="none" w:sz="0" w:space="0" w:color="auto"/>
              </w:divBdr>
            </w:div>
          </w:divsChild>
        </w:div>
        <w:div w:id="956107547">
          <w:marLeft w:val="0"/>
          <w:marRight w:val="0"/>
          <w:marTop w:val="0"/>
          <w:marBottom w:val="0"/>
          <w:divBdr>
            <w:top w:val="none" w:sz="0" w:space="0" w:color="auto"/>
            <w:left w:val="none" w:sz="0" w:space="0" w:color="auto"/>
            <w:bottom w:val="none" w:sz="0" w:space="0" w:color="auto"/>
            <w:right w:val="none" w:sz="0" w:space="0" w:color="auto"/>
          </w:divBdr>
          <w:divsChild>
            <w:div w:id="2026439862">
              <w:marLeft w:val="0"/>
              <w:marRight w:val="0"/>
              <w:marTop w:val="0"/>
              <w:marBottom w:val="0"/>
              <w:divBdr>
                <w:top w:val="none" w:sz="0" w:space="0" w:color="auto"/>
                <w:left w:val="none" w:sz="0" w:space="0" w:color="auto"/>
                <w:bottom w:val="none" w:sz="0" w:space="0" w:color="auto"/>
                <w:right w:val="none" w:sz="0" w:space="0" w:color="auto"/>
              </w:divBdr>
            </w:div>
          </w:divsChild>
        </w:div>
        <w:div w:id="1053232292">
          <w:marLeft w:val="0"/>
          <w:marRight w:val="0"/>
          <w:marTop w:val="0"/>
          <w:marBottom w:val="0"/>
          <w:divBdr>
            <w:top w:val="none" w:sz="0" w:space="0" w:color="auto"/>
            <w:left w:val="none" w:sz="0" w:space="0" w:color="auto"/>
            <w:bottom w:val="none" w:sz="0" w:space="0" w:color="auto"/>
            <w:right w:val="none" w:sz="0" w:space="0" w:color="auto"/>
          </w:divBdr>
          <w:divsChild>
            <w:div w:id="345374928">
              <w:marLeft w:val="0"/>
              <w:marRight w:val="0"/>
              <w:marTop w:val="0"/>
              <w:marBottom w:val="0"/>
              <w:divBdr>
                <w:top w:val="none" w:sz="0" w:space="0" w:color="auto"/>
                <w:left w:val="none" w:sz="0" w:space="0" w:color="auto"/>
                <w:bottom w:val="none" w:sz="0" w:space="0" w:color="auto"/>
                <w:right w:val="none" w:sz="0" w:space="0" w:color="auto"/>
              </w:divBdr>
            </w:div>
          </w:divsChild>
        </w:div>
        <w:div w:id="1096903610">
          <w:marLeft w:val="0"/>
          <w:marRight w:val="0"/>
          <w:marTop w:val="0"/>
          <w:marBottom w:val="0"/>
          <w:divBdr>
            <w:top w:val="none" w:sz="0" w:space="0" w:color="auto"/>
            <w:left w:val="none" w:sz="0" w:space="0" w:color="auto"/>
            <w:bottom w:val="none" w:sz="0" w:space="0" w:color="auto"/>
            <w:right w:val="none" w:sz="0" w:space="0" w:color="auto"/>
          </w:divBdr>
          <w:divsChild>
            <w:div w:id="212356463">
              <w:marLeft w:val="0"/>
              <w:marRight w:val="0"/>
              <w:marTop w:val="0"/>
              <w:marBottom w:val="0"/>
              <w:divBdr>
                <w:top w:val="none" w:sz="0" w:space="0" w:color="auto"/>
                <w:left w:val="none" w:sz="0" w:space="0" w:color="auto"/>
                <w:bottom w:val="none" w:sz="0" w:space="0" w:color="auto"/>
                <w:right w:val="none" w:sz="0" w:space="0" w:color="auto"/>
              </w:divBdr>
            </w:div>
          </w:divsChild>
        </w:div>
        <w:div w:id="1115247204">
          <w:marLeft w:val="0"/>
          <w:marRight w:val="0"/>
          <w:marTop w:val="0"/>
          <w:marBottom w:val="0"/>
          <w:divBdr>
            <w:top w:val="none" w:sz="0" w:space="0" w:color="auto"/>
            <w:left w:val="none" w:sz="0" w:space="0" w:color="auto"/>
            <w:bottom w:val="none" w:sz="0" w:space="0" w:color="auto"/>
            <w:right w:val="none" w:sz="0" w:space="0" w:color="auto"/>
          </w:divBdr>
          <w:divsChild>
            <w:div w:id="1026100954">
              <w:marLeft w:val="0"/>
              <w:marRight w:val="0"/>
              <w:marTop w:val="0"/>
              <w:marBottom w:val="0"/>
              <w:divBdr>
                <w:top w:val="none" w:sz="0" w:space="0" w:color="auto"/>
                <w:left w:val="none" w:sz="0" w:space="0" w:color="auto"/>
                <w:bottom w:val="none" w:sz="0" w:space="0" w:color="auto"/>
                <w:right w:val="none" w:sz="0" w:space="0" w:color="auto"/>
              </w:divBdr>
            </w:div>
          </w:divsChild>
        </w:div>
        <w:div w:id="1150169785">
          <w:marLeft w:val="0"/>
          <w:marRight w:val="0"/>
          <w:marTop w:val="0"/>
          <w:marBottom w:val="0"/>
          <w:divBdr>
            <w:top w:val="none" w:sz="0" w:space="0" w:color="auto"/>
            <w:left w:val="none" w:sz="0" w:space="0" w:color="auto"/>
            <w:bottom w:val="none" w:sz="0" w:space="0" w:color="auto"/>
            <w:right w:val="none" w:sz="0" w:space="0" w:color="auto"/>
          </w:divBdr>
          <w:divsChild>
            <w:div w:id="2028753587">
              <w:marLeft w:val="0"/>
              <w:marRight w:val="0"/>
              <w:marTop w:val="0"/>
              <w:marBottom w:val="0"/>
              <w:divBdr>
                <w:top w:val="none" w:sz="0" w:space="0" w:color="auto"/>
                <w:left w:val="none" w:sz="0" w:space="0" w:color="auto"/>
                <w:bottom w:val="none" w:sz="0" w:space="0" w:color="auto"/>
                <w:right w:val="none" w:sz="0" w:space="0" w:color="auto"/>
              </w:divBdr>
            </w:div>
          </w:divsChild>
        </w:div>
        <w:div w:id="1191796690">
          <w:marLeft w:val="0"/>
          <w:marRight w:val="0"/>
          <w:marTop w:val="0"/>
          <w:marBottom w:val="0"/>
          <w:divBdr>
            <w:top w:val="none" w:sz="0" w:space="0" w:color="auto"/>
            <w:left w:val="none" w:sz="0" w:space="0" w:color="auto"/>
            <w:bottom w:val="none" w:sz="0" w:space="0" w:color="auto"/>
            <w:right w:val="none" w:sz="0" w:space="0" w:color="auto"/>
          </w:divBdr>
          <w:divsChild>
            <w:div w:id="578757329">
              <w:marLeft w:val="0"/>
              <w:marRight w:val="0"/>
              <w:marTop w:val="0"/>
              <w:marBottom w:val="0"/>
              <w:divBdr>
                <w:top w:val="none" w:sz="0" w:space="0" w:color="auto"/>
                <w:left w:val="none" w:sz="0" w:space="0" w:color="auto"/>
                <w:bottom w:val="none" w:sz="0" w:space="0" w:color="auto"/>
                <w:right w:val="none" w:sz="0" w:space="0" w:color="auto"/>
              </w:divBdr>
            </w:div>
          </w:divsChild>
        </w:div>
        <w:div w:id="1219317296">
          <w:marLeft w:val="0"/>
          <w:marRight w:val="0"/>
          <w:marTop w:val="0"/>
          <w:marBottom w:val="0"/>
          <w:divBdr>
            <w:top w:val="none" w:sz="0" w:space="0" w:color="auto"/>
            <w:left w:val="none" w:sz="0" w:space="0" w:color="auto"/>
            <w:bottom w:val="none" w:sz="0" w:space="0" w:color="auto"/>
            <w:right w:val="none" w:sz="0" w:space="0" w:color="auto"/>
          </w:divBdr>
          <w:divsChild>
            <w:div w:id="2018728758">
              <w:marLeft w:val="0"/>
              <w:marRight w:val="0"/>
              <w:marTop w:val="0"/>
              <w:marBottom w:val="0"/>
              <w:divBdr>
                <w:top w:val="none" w:sz="0" w:space="0" w:color="auto"/>
                <w:left w:val="none" w:sz="0" w:space="0" w:color="auto"/>
                <w:bottom w:val="none" w:sz="0" w:space="0" w:color="auto"/>
                <w:right w:val="none" w:sz="0" w:space="0" w:color="auto"/>
              </w:divBdr>
            </w:div>
          </w:divsChild>
        </w:div>
        <w:div w:id="1244031115">
          <w:marLeft w:val="0"/>
          <w:marRight w:val="0"/>
          <w:marTop w:val="0"/>
          <w:marBottom w:val="0"/>
          <w:divBdr>
            <w:top w:val="none" w:sz="0" w:space="0" w:color="auto"/>
            <w:left w:val="none" w:sz="0" w:space="0" w:color="auto"/>
            <w:bottom w:val="none" w:sz="0" w:space="0" w:color="auto"/>
            <w:right w:val="none" w:sz="0" w:space="0" w:color="auto"/>
          </w:divBdr>
          <w:divsChild>
            <w:div w:id="601495048">
              <w:marLeft w:val="0"/>
              <w:marRight w:val="0"/>
              <w:marTop w:val="0"/>
              <w:marBottom w:val="0"/>
              <w:divBdr>
                <w:top w:val="none" w:sz="0" w:space="0" w:color="auto"/>
                <w:left w:val="none" w:sz="0" w:space="0" w:color="auto"/>
                <w:bottom w:val="none" w:sz="0" w:space="0" w:color="auto"/>
                <w:right w:val="none" w:sz="0" w:space="0" w:color="auto"/>
              </w:divBdr>
            </w:div>
          </w:divsChild>
        </w:div>
        <w:div w:id="1278026518">
          <w:marLeft w:val="0"/>
          <w:marRight w:val="0"/>
          <w:marTop w:val="0"/>
          <w:marBottom w:val="0"/>
          <w:divBdr>
            <w:top w:val="none" w:sz="0" w:space="0" w:color="auto"/>
            <w:left w:val="none" w:sz="0" w:space="0" w:color="auto"/>
            <w:bottom w:val="none" w:sz="0" w:space="0" w:color="auto"/>
            <w:right w:val="none" w:sz="0" w:space="0" w:color="auto"/>
          </w:divBdr>
          <w:divsChild>
            <w:div w:id="1197355697">
              <w:marLeft w:val="0"/>
              <w:marRight w:val="0"/>
              <w:marTop w:val="0"/>
              <w:marBottom w:val="0"/>
              <w:divBdr>
                <w:top w:val="none" w:sz="0" w:space="0" w:color="auto"/>
                <w:left w:val="none" w:sz="0" w:space="0" w:color="auto"/>
                <w:bottom w:val="none" w:sz="0" w:space="0" w:color="auto"/>
                <w:right w:val="none" w:sz="0" w:space="0" w:color="auto"/>
              </w:divBdr>
            </w:div>
          </w:divsChild>
        </w:div>
        <w:div w:id="1304850680">
          <w:marLeft w:val="0"/>
          <w:marRight w:val="0"/>
          <w:marTop w:val="0"/>
          <w:marBottom w:val="0"/>
          <w:divBdr>
            <w:top w:val="none" w:sz="0" w:space="0" w:color="auto"/>
            <w:left w:val="none" w:sz="0" w:space="0" w:color="auto"/>
            <w:bottom w:val="none" w:sz="0" w:space="0" w:color="auto"/>
            <w:right w:val="none" w:sz="0" w:space="0" w:color="auto"/>
          </w:divBdr>
          <w:divsChild>
            <w:div w:id="10685776">
              <w:marLeft w:val="0"/>
              <w:marRight w:val="0"/>
              <w:marTop w:val="0"/>
              <w:marBottom w:val="0"/>
              <w:divBdr>
                <w:top w:val="none" w:sz="0" w:space="0" w:color="auto"/>
                <w:left w:val="none" w:sz="0" w:space="0" w:color="auto"/>
                <w:bottom w:val="none" w:sz="0" w:space="0" w:color="auto"/>
                <w:right w:val="none" w:sz="0" w:space="0" w:color="auto"/>
              </w:divBdr>
            </w:div>
          </w:divsChild>
        </w:div>
        <w:div w:id="1320841611">
          <w:marLeft w:val="0"/>
          <w:marRight w:val="0"/>
          <w:marTop w:val="0"/>
          <w:marBottom w:val="0"/>
          <w:divBdr>
            <w:top w:val="none" w:sz="0" w:space="0" w:color="auto"/>
            <w:left w:val="none" w:sz="0" w:space="0" w:color="auto"/>
            <w:bottom w:val="none" w:sz="0" w:space="0" w:color="auto"/>
            <w:right w:val="none" w:sz="0" w:space="0" w:color="auto"/>
          </w:divBdr>
          <w:divsChild>
            <w:div w:id="1712874802">
              <w:marLeft w:val="0"/>
              <w:marRight w:val="0"/>
              <w:marTop w:val="0"/>
              <w:marBottom w:val="0"/>
              <w:divBdr>
                <w:top w:val="none" w:sz="0" w:space="0" w:color="auto"/>
                <w:left w:val="none" w:sz="0" w:space="0" w:color="auto"/>
                <w:bottom w:val="none" w:sz="0" w:space="0" w:color="auto"/>
                <w:right w:val="none" w:sz="0" w:space="0" w:color="auto"/>
              </w:divBdr>
            </w:div>
          </w:divsChild>
        </w:div>
        <w:div w:id="1336226040">
          <w:marLeft w:val="0"/>
          <w:marRight w:val="0"/>
          <w:marTop w:val="0"/>
          <w:marBottom w:val="0"/>
          <w:divBdr>
            <w:top w:val="none" w:sz="0" w:space="0" w:color="auto"/>
            <w:left w:val="none" w:sz="0" w:space="0" w:color="auto"/>
            <w:bottom w:val="none" w:sz="0" w:space="0" w:color="auto"/>
            <w:right w:val="none" w:sz="0" w:space="0" w:color="auto"/>
          </w:divBdr>
          <w:divsChild>
            <w:div w:id="549607539">
              <w:marLeft w:val="0"/>
              <w:marRight w:val="0"/>
              <w:marTop w:val="0"/>
              <w:marBottom w:val="0"/>
              <w:divBdr>
                <w:top w:val="none" w:sz="0" w:space="0" w:color="auto"/>
                <w:left w:val="none" w:sz="0" w:space="0" w:color="auto"/>
                <w:bottom w:val="none" w:sz="0" w:space="0" w:color="auto"/>
                <w:right w:val="none" w:sz="0" w:space="0" w:color="auto"/>
              </w:divBdr>
            </w:div>
          </w:divsChild>
        </w:div>
        <w:div w:id="1347245808">
          <w:marLeft w:val="0"/>
          <w:marRight w:val="0"/>
          <w:marTop w:val="0"/>
          <w:marBottom w:val="0"/>
          <w:divBdr>
            <w:top w:val="none" w:sz="0" w:space="0" w:color="auto"/>
            <w:left w:val="none" w:sz="0" w:space="0" w:color="auto"/>
            <w:bottom w:val="none" w:sz="0" w:space="0" w:color="auto"/>
            <w:right w:val="none" w:sz="0" w:space="0" w:color="auto"/>
          </w:divBdr>
          <w:divsChild>
            <w:div w:id="991526252">
              <w:marLeft w:val="0"/>
              <w:marRight w:val="0"/>
              <w:marTop w:val="0"/>
              <w:marBottom w:val="0"/>
              <w:divBdr>
                <w:top w:val="none" w:sz="0" w:space="0" w:color="auto"/>
                <w:left w:val="none" w:sz="0" w:space="0" w:color="auto"/>
                <w:bottom w:val="none" w:sz="0" w:space="0" w:color="auto"/>
                <w:right w:val="none" w:sz="0" w:space="0" w:color="auto"/>
              </w:divBdr>
            </w:div>
          </w:divsChild>
        </w:div>
        <w:div w:id="1372683875">
          <w:marLeft w:val="0"/>
          <w:marRight w:val="0"/>
          <w:marTop w:val="0"/>
          <w:marBottom w:val="0"/>
          <w:divBdr>
            <w:top w:val="none" w:sz="0" w:space="0" w:color="auto"/>
            <w:left w:val="none" w:sz="0" w:space="0" w:color="auto"/>
            <w:bottom w:val="none" w:sz="0" w:space="0" w:color="auto"/>
            <w:right w:val="none" w:sz="0" w:space="0" w:color="auto"/>
          </w:divBdr>
          <w:divsChild>
            <w:div w:id="729117666">
              <w:marLeft w:val="0"/>
              <w:marRight w:val="0"/>
              <w:marTop w:val="0"/>
              <w:marBottom w:val="0"/>
              <w:divBdr>
                <w:top w:val="none" w:sz="0" w:space="0" w:color="auto"/>
                <w:left w:val="none" w:sz="0" w:space="0" w:color="auto"/>
                <w:bottom w:val="none" w:sz="0" w:space="0" w:color="auto"/>
                <w:right w:val="none" w:sz="0" w:space="0" w:color="auto"/>
              </w:divBdr>
            </w:div>
          </w:divsChild>
        </w:div>
        <w:div w:id="1404328028">
          <w:marLeft w:val="0"/>
          <w:marRight w:val="0"/>
          <w:marTop w:val="0"/>
          <w:marBottom w:val="0"/>
          <w:divBdr>
            <w:top w:val="none" w:sz="0" w:space="0" w:color="auto"/>
            <w:left w:val="none" w:sz="0" w:space="0" w:color="auto"/>
            <w:bottom w:val="none" w:sz="0" w:space="0" w:color="auto"/>
            <w:right w:val="none" w:sz="0" w:space="0" w:color="auto"/>
          </w:divBdr>
          <w:divsChild>
            <w:div w:id="1579562223">
              <w:marLeft w:val="0"/>
              <w:marRight w:val="0"/>
              <w:marTop w:val="0"/>
              <w:marBottom w:val="0"/>
              <w:divBdr>
                <w:top w:val="none" w:sz="0" w:space="0" w:color="auto"/>
                <w:left w:val="none" w:sz="0" w:space="0" w:color="auto"/>
                <w:bottom w:val="none" w:sz="0" w:space="0" w:color="auto"/>
                <w:right w:val="none" w:sz="0" w:space="0" w:color="auto"/>
              </w:divBdr>
            </w:div>
          </w:divsChild>
        </w:div>
        <w:div w:id="1416198729">
          <w:marLeft w:val="0"/>
          <w:marRight w:val="0"/>
          <w:marTop w:val="0"/>
          <w:marBottom w:val="0"/>
          <w:divBdr>
            <w:top w:val="none" w:sz="0" w:space="0" w:color="auto"/>
            <w:left w:val="none" w:sz="0" w:space="0" w:color="auto"/>
            <w:bottom w:val="none" w:sz="0" w:space="0" w:color="auto"/>
            <w:right w:val="none" w:sz="0" w:space="0" w:color="auto"/>
          </w:divBdr>
          <w:divsChild>
            <w:div w:id="640500386">
              <w:marLeft w:val="0"/>
              <w:marRight w:val="0"/>
              <w:marTop w:val="0"/>
              <w:marBottom w:val="0"/>
              <w:divBdr>
                <w:top w:val="none" w:sz="0" w:space="0" w:color="auto"/>
                <w:left w:val="none" w:sz="0" w:space="0" w:color="auto"/>
                <w:bottom w:val="none" w:sz="0" w:space="0" w:color="auto"/>
                <w:right w:val="none" w:sz="0" w:space="0" w:color="auto"/>
              </w:divBdr>
            </w:div>
          </w:divsChild>
        </w:div>
        <w:div w:id="1419016038">
          <w:marLeft w:val="0"/>
          <w:marRight w:val="0"/>
          <w:marTop w:val="0"/>
          <w:marBottom w:val="0"/>
          <w:divBdr>
            <w:top w:val="none" w:sz="0" w:space="0" w:color="auto"/>
            <w:left w:val="none" w:sz="0" w:space="0" w:color="auto"/>
            <w:bottom w:val="none" w:sz="0" w:space="0" w:color="auto"/>
            <w:right w:val="none" w:sz="0" w:space="0" w:color="auto"/>
          </w:divBdr>
          <w:divsChild>
            <w:div w:id="1405949318">
              <w:marLeft w:val="0"/>
              <w:marRight w:val="0"/>
              <w:marTop w:val="0"/>
              <w:marBottom w:val="0"/>
              <w:divBdr>
                <w:top w:val="none" w:sz="0" w:space="0" w:color="auto"/>
                <w:left w:val="none" w:sz="0" w:space="0" w:color="auto"/>
                <w:bottom w:val="none" w:sz="0" w:space="0" w:color="auto"/>
                <w:right w:val="none" w:sz="0" w:space="0" w:color="auto"/>
              </w:divBdr>
            </w:div>
          </w:divsChild>
        </w:div>
        <w:div w:id="1437945966">
          <w:marLeft w:val="0"/>
          <w:marRight w:val="0"/>
          <w:marTop w:val="0"/>
          <w:marBottom w:val="0"/>
          <w:divBdr>
            <w:top w:val="none" w:sz="0" w:space="0" w:color="auto"/>
            <w:left w:val="none" w:sz="0" w:space="0" w:color="auto"/>
            <w:bottom w:val="none" w:sz="0" w:space="0" w:color="auto"/>
            <w:right w:val="none" w:sz="0" w:space="0" w:color="auto"/>
          </w:divBdr>
          <w:divsChild>
            <w:div w:id="1078137416">
              <w:marLeft w:val="0"/>
              <w:marRight w:val="0"/>
              <w:marTop w:val="0"/>
              <w:marBottom w:val="0"/>
              <w:divBdr>
                <w:top w:val="none" w:sz="0" w:space="0" w:color="auto"/>
                <w:left w:val="none" w:sz="0" w:space="0" w:color="auto"/>
                <w:bottom w:val="none" w:sz="0" w:space="0" w:color="auto"/>
                <w:right w:val="none" w:sz="0" w:space="0" w:color="auto"/>
              </w:divBdr>
            </w:div>
          </w:divsChild>
        </w:div>
        <w:div w:id="1466895703">
          <w:marLeft w:val="0"/>
          <w:marRight w:val="0"/>
          <w:marTop w:val="0"/>
          <w:marBottom w:val="0"/>
          <w:divBdr>
            <w:top w:val="none" w:sz="0" w:space="0" w:color="auto"/>
            <w:left w:val="none" w:sz="0" w:space="0" w:color="auto"/>
            <w:bottom w:val="none" w:sz="0" w:space="0" w:color="auto"/>
            <w:right w:val="none" w:sz="0" w:space="0" w:color="auto"/>
          </w:divBdr>
          <w:divsChild>
            <w:div w:id="1620523571">
              <w:marLeft w:val="0"/>
              <w:marRight w:val="0"/>
              <w:marTop w:val="0"/>
              <w:marBottom w:val="0"/>
              <w:divBdr>
                <w:top w:val="none" w:sz="0" w:space="0" w:color="auto"/>
                <w:left w:val="none" w:sz="0" w:space="0" w:color="auto"/>
                <w:bottom w:val="none" w:sz="0" w:space="0" w:color="auto"/>
                <w:right w:val="none" w:sz="0" w:space="0" w:color="auto"/>
              </w:divBdr>
            </w:div>
          </w:divsChild>
        </w:div>
        <w:div w:id="1528830935">
          <w:marLeft w:val="0"/>
          <w:marRight w:val="0"/>
          <w:marTop w:val="0"/>
          <w:marBottom w:val="0"/>
          <w:divBdr>
            <w:top w:val="none" w:sz="0" w:space="0" w:color="auto"/>
            <w:left w:val="none" w:sz="0" w:space="0" w:color="auto"/>
            <w:bottom w:val="none" w:sz="0" w:space="0" w:color="auto"/>
            <w:right w:val="none" w:sz="0" w:space="0" w:color="auto"/>
          </w:divBdr>
          <w:divsChild>
            <w:div w:id="63184677">
              <w:marLeft w:val="0"/>
              <w:marRight w:val="0"/>
              <w:marTop w:val="0"/>
              <w:marBottom w:val="0"/>
              <w:divBdr>
                <w:top w:val="none" w:sz="0" w:space="0" w:color="auto"/>
                <w:left w:val="none" w:sz="0" w:space="0" w:color="auto"/>
                <w:bottom w:val="none" w:sz="0" w:space="0" w:color="auto"/>
                <w:right w:val="none" w:sz="0" w:space="0" w:color="auto"/>
              </w:divBdr>
            </w:div>
          </w:divsChild>
        </w:div>
        <w:div w:id="1580409723">
          <w:marLeft w:val="0"/>
          <w:marRight w:val="0"/>
          <w:marTop w:val="0"/>
          <w:marBottom w:val="0"/>
          <w:divBdr>
            <w:top w:val="none" w:sz="0" w:space="0" w:color="auto"/>
            <w:left w:val="none" w:sz="0" w:space="0" w:color="auto"/>
            <w:bottom w:val="none" w:sz="0" w:space="0" w:color="auto"/>
            <w:right w:val="none" w:sz="0" w:space="0" w:color="auto"/>
          </w:divBdr>
          <w:divsChild>
            <w:div w:id="224224506">
              <w:marLeft w:val="0"/>
              <w:marRight w:val="0"/>
              <w:marTop w:val="0"/>
              <w:marBottom w:val="0"/>
              <w:divBdr>
                <w:top w:val="none" w:sz="0" w:space="0" w:color="auto"/>
                <w:left w:val="none" w:sz="0" w:space="0" w:color="auto"/>
                <w:bottom w:val="none" w:sz="0" w:space="0" w:color="auto"/>
                <w:right w:val="none" w:sz="0" w:space="0" w:color="auto"/>
              </w:divBdr>
            </w:div>
          </w:divsChild>
        </w:div>
        <w:div w:id="1610624055">
          <w:marLeft w:val="0"/>
          <w:marRight w:val="0"/>
          <w:marTop w:val="0"/>
          <w:marBottom w:val="0"/>
          <w:divBdr>
            <w:top w:val="none" w:sz="0" w:space="0" w:color="auto"/>
            <w:left w:val="none" w:sz="0" w:space="0" w:color="auto"/>
            <w:bottom w:val="none" w:sz="0" w:space="0" w:color="auto"/>
            <w:right w:val="none" w:sz="0" w:space="0" w:color="auto"/>
          </w:divBdr>
          <w:divsChild>
            <w:div w:id="711465775">
              <w:marLeft w:val="0"/>
              <w:marRight w:val="0"/>
              <w:marTop w:val="0"/>
              <w:marBottom w:val="0"/>
              <w:divBdr>
                <w:top w:val="none" w:sz="0" w:space="0" w:color="auto"/>
                <w:left w:val="none" w:sz="0" w:space="0" w:color="auto"/>
                <w:bottom w:val="none" w:sz="0" w:space="0" w:color="auto"/>
                <w:right w:val="none" w:sz="0" w:space="0" w:color="auto"/>
              </w:divBdr>
            </w:div>
          </w:divsChild>
        </w:div>
        <w:div w:id="1625960522">
          <w:marLeft w:val="0"/>
          <w:marRight w:val="0"/>
          <w:marTop w:val="0"/>
          <w:marBottom w:val="0"/>
          <w:divBdr>
            <w:top w:val="none" w:sz="0" w:space="0" w:color="auto"/>
            <w:left w:val="none" w:sz="0" w:space="0" w:color="auto"/>
            <w:bottom w:val="none" w:sz="0" w:space="0" w:color="auto"/>
            <w:right w:val="none" w:sz="0" w:space="0" w:color="auto"/>
          </w:divBdr>
          <w:divsChild>
            <w:div w:id="578100829">
              <w:marLeft w:val="0"/>
              <w:marRight w:val="0"/>
              <w:marTop w:val="0"/>
              <w:marBottom w:val="0"/>
              <w:divBdr>
                <w:top w:val="none" w:sz="0" w:space="0" w:color="auto"/>
                <w:left w:val="none" w:sz="0" w:space="0" w:color="auto"/>
                <w:bottom w:val="none" w:sz="0" w:space="0" w:color="auto"/>
                <w:right w:val="none" w:sz="0" w:space="0" w:color="auto"/>
              </w:divBdr>
            </w:div>
          </w:divsChild>
        </w:div>
        <w:div w:id="1632513036">
          <w:marLeft w:val="0"/>
          <w:marRight w:val="0"/>
          <w:marTop w:val="0"/>
          <w:marBottom w:val="0"/>
          <w:divBdr>
            <w:top w:val="none" w:sz="0" w:space="0" w:color="auto"/>
            <w:left w:val="none" w:sz="0" w:space="0" w:color="auto"/>
            <w:bottom w:val="none" w:sz="0" w:space="0" w:color="auto"/>
            <w:right w:val="none" w:sz="0" w:space="0" w:color="auto"/>
          </w:divBdr>
          <w:divsChild>
            <w:div w:id="1416245891">
              <w:marLeft w:val="0"/>
              <w:marRight w:val="0"/>
              <w:marTop w:val="0"/>
              <w:marBottom w:val="0"/>
              <w:divBdr>
                <w:top w:val="none" w:sz="0" w:space="0" w:color="auto"/>
                <w:left w:val="none" w:sz="0" w:space="0" w:color="auto"/>
                <w:bottom w:val="none" w:sz="0" w:space="0" w:color="auto"/>
                <w:right w:val="none" w:sz="0" w:space="0" w:color="auto"/>
              </w:divBdr>
            </w:div>
          </w:divsChild>
        </w:div>
        <w:div w:id="1642882104">
          <w:marLeft w:val="0"/>
          <w:marRight w:val="0"/>
          <w:marTop w:val="0"/>
          <w:marBottom w:val="0"/>
          <w:divBdr>
            <w:top w:val="none" w:sz="0" w:space="0" w:color="auto"/>
            <w:left w:val="none" w:sz="0" w:space="0" w:color="auto"/>
            <w:bottom w:val="none" w:sz="0" w:space="0" w:color="auto"/>
            <w:right w:val="none" w:sz="0" w:space="0" w:color="auto"/>
          </w:divBdr>
          <w:divsChild>
            <w:div w:id="950090855">
              <w:marLeft w:val="0"/>
              <w:marRight w:val="0"/>
              <w:marTop w:val="0"/>
              <w:marBottom w:val="0"/>
              <w:divBdr>
                <w:top w:val="none" w:sz="0" w:space="0" w:color="auto"/>
                <w:left w:val="none" w:sz="0" w:space="0" w:color="auto"/>
                <w:bottom w:val="none" w:sz="0" w:space="0" w:color="auto"/>
                <w:right w:val="none" w:sz="0" w:space="0" w:color="auto"/>
              </w:divBdr>
            </w:div>
          </w:divsChild>
        </w:div>
        <w:div w:id="1656185254">
          <w:marLeft w:val="0"/>
          <w:marRight w:val="0"/>
          <w:marTop w:val="0"/>
          <w:marBottom w:val="0"/>
          <w:divBdr>
            <w:top w:val="none" w:sz="0" w:space="0" w:color="auto"/>
            <w:left w:val="none" w:sz="0" w:space="0" w:color="auto"/>
            <w:bottom w:val="none" w:sz="0" w:space="0" w:color="auto"/>
            <w:right w:val="none" w:sz="0" w:space="0" w:color="auto"/>
          </w:divBdr>
          <w:divsChild>
            <w:div w:id="1376850601">
              <w:marLeft w:val="0"/>
              <w:marRight w:val="0"/>
              <w:marTop w:val="0"/>
              <w:marBottom w:val="0"/>
              <w:divBdr>
                <w:top w:val="none" w:sz="0" w:space="0" w:color="auto"/>
                <w:left w:val="none" w:sz="0" w:space="0" w:color="auto"/>
                <w:bottom w:val="none" w:sz="0" w:space="0" w:color="auto"/>
                <w:right w:val="none" w:sz="0" w:space="0" w:color="auto"/>
              </w:divBdr>
            </w:div>
          </w:divsChild>
        </w:div>
        <w:div w:id="1711999777">
          <w:marLeft w:val="0"/>
          <w:marRight w:val="0"/>
          <w:marTop w:val="0"/>
          <w:marBottom w:val="0"/>
          <w:divBdr>
            <w:top w:val="none" w:sz="0" w:space="0" w:color="auto"/>
            <w:left w:val="none" w:sz="0" w:space="0" w:color="auto"/>
            <w:bottom w:val="none" w:sz="0" w:space="0" w:color="auto"/>
            <w:right w:val="none" w:sz="0" w:space="0" w:color="auto"/>
          </w:divBdr>
          <w:divsChild>
            <w:div w:id="2062288529">
              <w:marLeft w:val="0"/>
              <w:marRight w:val="0"/>
              <w:marTop w:val="0"/>
              <w:marBottom w:val="0"/>
              <w:divBdr>
                <w:top w:val="none" w:sz="0" w:space="0" w:color="auto"/>
                <w:left w:val="none" w:sz="0" w:space="0" w:color="auto"/>
                <w:bottom w:val="none" w:sz="0" w:space="0" w:color="auto"/>
                <w:right w:val="none" w:sz="0" w:space="0" w:color="auto"/>
              </w:divBdr>
            </w:div>
          </w:divsChild>
        </w:div>
        <w:div w:id="1742216996">
          <w:marLeft w:val="0"/>
          <w:marRight w:val="0"/>
          <w:marTop w:val="0"/>
          <w:marBottom w:val="0"/>
          <w:divBdr>
            <w:top w:val="none" w:sz="0" w:space="0" w:color="auto"/>
            <w:left w:val="none" w:sz="0" w:space="0" w:color="auto"/>
            <w:bottom w:val="none" w:sz="0" w:space="0" w:color="auto"/>
            <w:right w:val="none" w:sz="0" w:space="0" w:color="auto"/>
          </w:divBdr>
          <w:divsChild>
            <w:div w:id="2080442351">
              <w:marLeft w:val="0"/>
              <w:marRight w:val="0"/>
              <w:marTop w:val="0"/>
              <w:marBottom w:val="0"/>
              <w:divBdr>
                <w:top w:val="none" w:sz="0" w:space="0" w:color="auto"/>
                <w:left w:val="none" w:sz="0" w:space="0" w:color="auto"/>
                <w:bottom w:val="none" w:sz="0" w:space="0" w:color="auto"/>
                <w:right w:val="none" w:sz="0" w:space="0" w:color="auto"/>
              </w:divBdr>
            </w:div>
          </w:divsChild>
        </w:div>
        <w:div w:id="1773011309">
          <w:marLeft w:val="0"/>
          <w:marRight w:val="0"/>
          <w:marTop w:val="0"/>
          <w:marBottom w:val="0"/>
          <w:divBdr>
            <w:top w:val="none" w:sz="0" w:space="0" w:color="auto"/>
            <w:left w:val="none" w:sz="0" w:space="0" w:color="auto"/>
            <w:bottom w:val="none" w:sz="0" w:space="0" w:color="auto"/>
            <w:right w:val="none" w:sz="0" w:space="0" w:color="auto"/>
          </w:divBdr>
          <w:divsChild>
            <w:div w:id="164982931">
              <w:marLeft w:val="0"/>
              <w:marRight w:val="0"/>
              <w:marTop w:val="0"/>
              <w:marBottom w:val="0"/>
              <w:divBdr>
                <w:top w:val="none" w:sz="0" w:space="0" w:color="auto"/>
                <w:left w:val="none" w:sz="0" w:space="0" w:color="auto"/>
                <w:bottom w:val="none" w:sz="0" w:space="0" w:color="auto"/>
                <w:right w:val="none" w:sz="0" w:space="0" w:color="auto"/>
              </w:divBdr>
            </w:div>
          </w:divsChild>
        </w:div>
        <w:div w:id="1900287965">
          <w:marLeft w:val="0"/>
          <w:marRight w:val="0"/>
          <w:marTop w:val="0"/>
          <w:marBottom w:val="0"/>
          <w:divBdr>
            <w:top w:val="none" w:sz="0" w:space="0" w:color="auto"/>
            <w:left w:val="none" w:sz="0" w:space="0" w:color="auto"/>
            <w:bottom w:val="none" w:sz="0" w:space="0" w:color="auto"/>
            <w:right w:val="none" w:sz="0" w:space="0" w:color="auto"/>
          </w:divBdr>
          <w:divsChild>
            <w:div w:id="1809469882">
              <w:marLeft w:val="0"/>
              <w:marRight w:val="0"/>
              <w:marTop w:val="0"/>
              <w:marBottom w:val="0"/>
              <w:divBdr>
                <w:top w:val="none" w:sz="0" w:space="0" w:color="auto"/>
                <w:left w:val="none" w:sz="0" w:space="0" w:color="auto"/>
                <w:bottom w:val="none" w:sz="0" w:space="0" w:color="auto"/>
                <w:right w:val="none" w:sz="0" w:space="0" w:color="auto"/>
              </w:divBdr>
            </w:div>
          </w:divsChild>
        </w:div>
        <w:div w:id="1953240660">
          <w:marLeft w:val="0"/>
          <w:marRight w:val="0"/>
          <w:marTop w:val="0"/>
          <w:marBottom w:val="0"/>
          <w:divBdr>
            <w:top w:val="none" w:sz="0" w:space="0" w:color="auto"/>
            <w:left w:val="none" w:sz="0" w:space="0" w:color="auto"/>
            <w:bottom w:val="none" w:sz="0" w:space="0" w:color="auto"/>
            <w:right w:val="none" w:sz="0" w:space="0" w:color="auto"/>
          </w:divBdr>
          <w:divsChild>
            <w:div w:id="1609973100">
              <w:marLeft w:val="0"/>
              <w:marRight w:val="0"/>
              <w:marTop w:val="0"/>
              <w:marBottom w:val="0"/>
              <w:divBdr>
                <w:top w:val="none" w:sz="0" w:space="0" w:color="auto"/>
                <w:left w:val="none" w:sz="0" w:space="0" w:color="auto"/>
                <w:bottom w:val="none" w:sz="0" w:space="0" w:color="auto"/>
                <w:right w:val="none" w:sz="0" w:space="0" w:color="auto"/>
              </w:divBdr>
            </w:div>
          </w:divsChild>
        </w:div>
        <w:div w:id="1964380425">
          <w:marLeft w:val="0"/>
          <w:marRight w:val="0"/>
          <w:marTop w:val="0"/>
          <w:marBottom w:val="0"/>
          <w:divBdr>
            <w:top w:val="none" w:sz="0" w:space="0" w:color="auto"/>
            <w:left w:val="none" w:sz="0" w:space="0" w:color="auto"/>
            <w:bottom w:val="none" w:sz="0" w:space="0" w:color="auto"/>
            <w:right w:val="none" w:sz="0" w:space="0" w:color="auto"/>
          </w:divBdr>
          <w:divsChild>
            <w:div w:id="1228686304">
              <w:marLeft w:val="0"/>
              <w:marRight w:val="0"/>
              <w:marTop w:val="0"/>
              <w:marBottom w:val="0"/>
              <w:divBdr>
                <w:top w:val="none" w:sz="0" w:space="0" w:color="auto"/>
                <w:left w:val="none" w:sz="0" w:space="0" w:color="auto"/>
                <w:bottom w:val="none" w:sz="0" w:space="0" w:color="auto"/>
                <w:right w:val="none" w:sz="0" w:space="0" w:color="auto"/>
              </w:divBdr>
            </w:div>
          </w:divsChild>
        </w:div>
        <w:div w:id="1973097669">
          <w:marLeft w:val="0"/>
          <w:marRight w:val="0"/>
          <w:marTop w:val="0"/>
          <w:marBottom w:val="0"/>
          <w:divBdr>
            <w:top w:val="none" w:sz="0" w:space="0" w:color="auto"/>
            <w:left w:val="none" w:sz="0" w:space="0" w:color="auto"/>
            <w:bottom w:val="none" w:sz="0" w:space="0" w:color="auto"/>
            <w:right w:val="none" w:sz="0" w:space="0" w:color="auto"/>
          </w:divBdr>
          <w:divsChild>
            <w:div w:id="1596787125">
              <w:marLeft w:val="0"/>
              <w:marRight w:val="0"/>
              <w:marTop w:val="0"/>
              <w:marBottom w:val="0"/>
              <w:divBdr>
                <w:top w:val="none" w:sz="0" w:space="0" w:color="auto"/>
                <w:left w:val="none" w:sz="0" w:space="0" w:color="auto"/>
                <w:bottom w:val="none" w:sz="0" w:space="0" w:color="auto"/>
                <w:right w:val="none" w:sz="0" w:space="0" w:color="auto"/>
              </w:divBdr>
            </w:div>
          </w:divsChild>
        </w:div>
        <w:div w:id="1997415776">
          <w:marLeft w:val="0"/>
          <w:marRight w:val="0"/>
          <w:marTop w:val="0"/>
          <w:marBottom w:val="0"/>
          <w:divBdr>
            <w:top w:val="none" w:sz="0" w:space="0" w:color="auto"/>
            <w:left w:val="none" w:sz="0" w:space="0" w:color="auto"/>
            <w:bottom w:val="none" w:sz="0" w:space="0" w:color="auto"/>
            <w:right w:val="none" w:sz="0" w:space="0" w:color="auto"/>
          </w:divBdr>
          <w:divsChild>
            <w:div w:id="783885938">
              <w:marLeft w:val="0"/>
              <w:marRight w:val="0"/>
              <w:marTop w:val="0"/>
              <w:marBottom w:val="0"/>
              <w:divBdr>
                <w:top w:val="none" w:sz="0" w:space="0" w:color="auto"/>
                <w:left w:val="none" w:sz="0" w:space="0" w:color="auto"/>
                <w:bottom w:val="none" w:sz="0" w:space="0" w:color="auto"/>
                <w:right w:val="none" w:sz="0" w:space="0" w:color="auto"/>
              </w:divBdr>
            </w:div>
          </w:divsChild>
        </w:div>
        <w:div w:id="2056155591">
          <w:marLeft w:val="0"/>
          <w:marRight w:val="0"/>
          <w:marTop w:val="0"/>
          <w:marBottom w:val="0"/>
          <w:divBdr>
            <w:top w:val="none" w:sz="0" w:space="0" w:color="auto"/>
            <w:left w:val="none" w:sz="0" w:space="0" w:color="auto"/>
            <w:bottom w:val="none" w:sz="0" w:space="0" w:color="auto"/>
            <w:right w:val="none" w:sz="0" w:space="0" w:color="auto"/>
          </w:divBdr>
          <w:divsChild>
            <w:div w:id="1064795275">
              <w:marLeft w:val="0"/>
              <w:marRight w:val="0"/>
              <w:marTop w:val="0"/>
              <w:marBottom w:val="0"/>
              <w:divBdr>
                <w:top w:val="none" w:sz="0" w:space="0" w:color="auto"/>
                <w:left w:val="none" w:sz="0" w:space="0" w:color="auto"/>
                <w:bottom w:val="none" w:sz="0" w:space="0" w:color="auto"/>
                <w:right w:val="none" w:sz="0" w:space="0" w:color="auto"/>
              </w:divBdr>
            </w:div>
          </w:divsChild>
        </w:div>
        <w:div w:id="2104304616">
          <w:marLeft w:val="0"/>
          <w:marRight w:val="0"/>
          <w:marTop w:val="0"/>
          <w:marBottom w:val="0"/>
          <w:divBdr>
            <w:top w:val="none" w:sz="0" w:space="0" w:color="auto"/>
            <w:left w:val="none" w:sz="0" w:space="0" w:color="auto"/>
            <w:bottom w:val="none" w:sz="0" w:space="0" w:color="auto"/>
            <w:right w:val="none" w:sz="0" w:space="0" w:color="auto"/>
          </w:divBdr>
          <w:divsChild>
            <w:div w:id="94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89586">
      <w:bodyDiv w:val="1"/>
      <w:marLeft w:val="0"/>
      <w:marRight w:val="0"/>
      <w:marTop w:val="0"/>
      <w:marBottom w:val="0"/>
      <w:divBdr>
        <w:top w:val="none" w:sz="0" w:space="0" w:color="auto"/>
        <w:left w:val="none" w:sz="0" w:space="0" w:color="auto"/>
        <w:bottom w:val="none" w:sz="0" w:space="0" w:color="auto"/>
        <w:right w:val="none" w:sz="0" w:space="0" w:color="auto"/>
      </w:divBdr>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892185914">
      <w:bodyDiv w:val="1"/>
      <w:marLeft w:val="0"/>
      <w:marRight w:val="0"/>
      <w:marTop w:val="0"/>
      <w:marBottom w:val="0"/>
      <w:divBdr>
        <w:top w:val="none" w:sz="0" w:space="0" w:color="auto"/>
        <w:left w:val="none" w:sz="0" w:space="0" w:color="auto"/>
        <w:bottom w:val="none" w:sz="0" w:space="0" w:color="auto"/>
        <w:right w:val="none" w:sz="0" w:space="0" w:color="auto"/>
      </w:divBdr>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 w:id="21372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health.formsadministration.com.au/dss.nsf/home.xsp" TargetMode="External"/><Relationship Id="rId26" Type="http://schemas.openxmlformats.org/officeDocument/2006/relationships/hyperlink" Target="https://www.health.gov.au/our-work/care-minutes-registered-nurses-aged-care/care-minutes/care-minutes-performance-statement" TargetMode="External"/><Relationship Id="rId39" Type="http://schemas.openxmlformats.org/officeDocument/2006/relationships/image" Target="media/image7.PNG"/><Relationship Id="rId21" Type="http://schemas.openxmlformats.org/officeDocument/2006/relationships/hyperlink" Target="mailto:formsadministration@health.gov.au" TargetMode="External"/><Relationship Id="rId34" Type="http://schemas.openxmlformats.org/officeDocument/2006/relationships/hyperlink" Target="https://www.health.gov.au/our-work/care-minutes-registered-nurses-aged-care/care-minutes/care-minutes-performance-statement" TargetMode="External"/><Relationship Id="rId42" Type="http://schemas.openxmlformats.org/officeDocument/2006/relationships/hyperlink" Target="https://www.health.gov.au/resources/publications/assistive-technology-and-home-modifications-list-at-hm-list?language=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aasb.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topics/aged-care/providing-aged-care-services/reporting/aged-care-financial-report" TargetMode="External"/><Relationship Id="rId32" Type="http://schemas.openxmlformats.org/officeDocument/2006/relationships/hyperlink" Target="https://health.formsadministration.com.au/dss.nsf/home.xsp" TargetMode="External"/><Relationship Id="rId37" Type="http://schemas.openxmlformats.org/officeDocument/2006/relationships/footer" Target="footer4.xml"/><Relationship Id="rId40" Type="http://schemas.openxmlformats.org/officeDocument/2006/relationships/hyperlink" Target="https://www.health.gov.au/resources/publications/support-at-home-service-list?language=en"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QFRACFRHelp@health.gov.au" TargetMode="External"/><Relationship Id="rId28" Type="http://schemas.openxmlformats.org/officeDocument/2006/relationships/hyperlink" Target="https://www.health.gov.au/resources/apps-and-tools/government-provider-management-system"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health.gov.au/our-work/care-minutes-registered-nurses-aged-care/care-minutes/care-minutes-performance-statement" TargetMode="External"/><Relationship Id="rId31" Type="http://schemas.openxmlformats.org/officeDocument/2006/relationships/hyperlink" Target="https://www.aasb.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health.formsadministration.com.au/dss.nsf/home.xsp" TargetMode="External"/><Relationship Id="rId30" Type="http://schemas.openxmlformats.org/officeDocument/2006/relationships/hyperlink" Target="https://www.aasb.gov.au/" TargetMode="External"/><Relationship Id="rId35" Type="http://schemas.openxmlformats.org/officeDocument/2006/relationships/hyperlink" Target="https://www.health.gov.au/topics/aged-care/providing-aged-care-services/reporting/aged-care-financial-report"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resources/collections/financial-performance-of-the-australian-aged-care-sector" TargetMode="External"/><Relationship Id="rId25" Type="http://schemas.openxmlformats.org/officeDocument/2006/relationships/hyperlink" Target="https://health.formsadministration.com.au/dss.nsf/DSSForms.xsp" TargetMode="External"/><Relationship Id="rId33" Type="http://schemas.openxmlformats.org/officeDocument/2006/relationships/hyperlink" Target="https://asic.gov.au/" TargetMode="External"/><Relationship Id="rId38" Type="http://schemas.openxmlformats.org/officeDocument/2006/relationships/image" Target="media/image6.PNG"/><Relationship Id="rId20" Type="http://schemas.openxmlformats.org/officeDocument/2006/relationships/hyperlink" Target="https://dss.formsadministration.com.au/dss.nsf/home.xsp" TargetMode="External"/><Relationship Id="rId41" Type="http://schemas.openxmlformats.org/officeDocument/2006/relationships/hyperlink" Target="https://www.health.gov.au/our-work/support-at-home?language=en"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Reviewedby xmlns="5e7f40d8-cffe-4c78-aa89-cf3a75383874">
      <UserInfo>
        <DisplayName/>
        <AccountId xsi:nil="true"/>
        <AccountType/>
      </UserInfo>
    </Reviewedby>
    <Staff xmlns="5e7f40d8-cffe-4c78-aa89-cf3a75383874">
      <UserInfo>
        <DisplayName/>
        <AccountId xsi:nil="true"/>
        <AccountType/>
      </UserInfo>
    </Staff>
    <SharedWithUsers xmlns="1968325b-ff37-4c12-8874-b019e0ec7e46">
      <UserInfo>
        <DisplayName>Andrew Glenn</DisplayName>
        <AccountId>3338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46" ma:contentTypeDescription="Create a new document." ma:contentTypeScope="" ma:versionID="47b8e1ea6b58f29718b8889eae4cb83c">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0f4bf50f8412b04170c88b88551fbb23" ns2:_="" ns3:_="">
    <xsd:import namespace="5e7f40d8-cffe-4c78-aa89-cf3a75383874"/>
    <xsd:import namespace="1968325b-ff37-4c12-8874-b019e0ec7e46"/>
    <xsd:element name="properties">
      <xsd:complexType>
        <xsd:sequence>
          <xsd:element name="documentManagement">
            <xsd:complexType>
              <xsd:all>
                <xsd:element ref="ns2:Reviewedb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ObjectDetectorVersions" minOccurs="0"/>
                <xsd:element ref="ns2:MediaServiceSearchProperties" minOccurs="0"/>
                <xsd:element ref="ns2:Staf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Reviewedby" ma:index="9" nillable="true" ma:displayName="Reviewed By" ma:description="Document reviewed completed"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ff" ma:index="25" nillable="true" ma:displayName="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b77b445e-9f32-477d-8c73-763098fc4224}" ma:internalName="TaxCatchAll" ma:readOnly="false"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2.xml><?xml version="1.0" encoding="utf-8"?>
<ds:datastoreItem xmlns:ds="http://schemas.openxmlformats.org/officeDocument/2006/customXml" ds:itemID="{41179714-966A-4256-9081-6A8262AE3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13843</Words>
  <Characters>75860</Characters>
  <Application>Microsoft Office Word</Application>
  <DocSecurity>0</DocSecurity>
  <Lines>1685</Lines>
  <Paragraphs>924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88779</CharactersWithSpaces>
  <SharedDoc>false</SharedDoc>
  <HyperlinkBase/>
  <HLinks>
    <vt:vector size="462" baseType="variant">
      <vt:variant>
        <vt:i4>1310786</vt:i4>
      </vt:variant>
      <vt:variant>
        <vt:i4>429</vt:i4>
      </vt:variant>
      <vt:variant>
        <vt:i4>0</vt:i4>
      </vt:variant>
      <vt:variant>
        <vt:i4>5</vt:i4>
      </vt:variant>
      <vt:variant>
        <vt:lpwstr>https://www.health.gov.au/resources/publications/assistive-technology-and-home-modifications-list-at-hm-list?language=en</vt:lpwstr>
      </vt:variant>
      <vt:variant>
        <vt:lpwstr/>
      </vt:variant>
      <vt:variant>
        <vt:i4>3604579</vt:i4>
      </vt:variant>
      <vt:variant>
        <vt:i4>426</vt:i4>
      </vt:variant>
      <vt:variant>
        <vt:i4>0</vt:i4>
      </vt:variant>
      <vt:variant>
        <vt:i4>5</vt:i4>
      </vt:variant>
      <vt:variant>
        <vt:lpwstr>https://www.health.gov.au/our-work/support-at-home?language=en</vt:lpwstr>
      </vt:variant>
      <vt:variant>
        <vt:lpwstr/>
      </vt:variant>
      <vt:variant>
        <vt:i4>4325402</vt:i4>
      </vt:variant>
      <vt:variant>
        <vt:i4>423</vt:i4>
      </vt:variant>
      <vt:variant>
        <vt:i4>0</vt:i4>
      </vt:variant>
      <vt:variant>
        <vt:i4>5</vt:i4>
      </vt:variant>
      <vt:variant>
        <vt:lpwstr>https://www.health.gov.au/resources/publications/support-at-home-service-list?language=en</vt:lpwstr>
      </vt:variant>
      <vt:variant>
        <vt:lpwstr/>
      </vt:variant>
      <vt:variant>
        <vt:i4>13</vt:i4>
      </vt:variant>
      <vt:variant>
        <vt:i4>420</vt:i4>
      </vt:variant>
      <vt:variant>
        <vt:i4>0</vt:i4>
      </vt:variant>
      <vt:variant>
        <vt:i4>5</vt:i4>
      </vt:variant>
      <vt:variant>
        <vt:lpwstr>https://www.health.gov.au/topics/aged-care/providing-aged-care-services/reporting/aged-care-financial-report</vt:lpwstr>
      </vt:variant>
      <vt:variant>
        <vt:lpwstr/>
      </vt:variant>
      <vt:variant>
        <vt:i4>8061008</vt:i4>
      </vt:variant>
      <vt:variant>
        <vt:i4>342</vt:i4>
      </vt:variant>
      <vt:variant>
        <vt:i4>0</vt:i4>
      </vt:variant>
      <vt:variant>
        <vt:i4>5</vt:i4>
      </vt:variant>
      <vt:variant>
        <vt:lpwstr/>
      </vt:variant>
      <vt:variant>
        <vt:lpwstr>_Questions_and_feedback</vt:lpwstr>
      </vt:variant>
      <vt:variant>
        <vt:i4>7340144</vt:i4>
      </vt:variant>
      <vt:variant>
        <vt:i4>321</vt:i4>
      </vt:variant>
      <vt:variant>
        <vt:i4>0</vt:i4>
      </vt:variant>
      <vt:variant>
        <vt:i4>5</vt:i4>
      </vt:variant>
      <vt:variant>
        <vt:lpwstr>https://www.health.gov.au/our-work/care-minutes-registered-nurses-aged-care/care-minutes/care-minutes-performance-statement</vt:lpwstr>
      </vt:variant>
      <vt:variant>
        <vt:lpwstr/>
      </vt:variant>
      <vt:variant>
        <vt:i4>8061008</vt:i4>
      </vt:variant>
      <vt:variant>
        <vt:i4>318</vt:i4>
      </vt:variant>
      <vt:variant>
        <vt:i4>0</vt:i4>
      </vt:variant>
      <vt:variant>
        <vt:i4>5</vt:i4>
      </vt:variant>
      <vt:variant>
        <vt:lpwstr/>
      </vt:variant>
      <vt:variant>
        <vt:lpwstr>_Questions_and_feedback</vt:lpwstr>
      </vt:variant>
      <vt:variant>
        <vt:i4>6160466</vt:i4>
      </vt:variant>
      <vt:variant>
        <vt:i4>315</vt:i4>
      </vt:variant>
      <vt:variant>
        <vt:i4>0</vt:i4>
      </vt:variant>
      <vt:variant>
        <vt:i4>5</vt:i4>
      </vt:variant>
      <vt:variant>
        <vt:lpwstr>https://asic.gov.au/</vt:lpwstr>
      </vt:variant>
      <vt:variant>
        <vt:lpwstr/>
      </vt:variant>
      <vt:variant>
        <vt:i4>2228276</vt:i4>
      </vt:variant>
      <vt:variant>
        <vt:i4>312</vt:i4>
      </vt:variant>
      <vt:variant>
        <vt:i4>0</vt:i4>
      </vt:variant>
      <vt:variant>
        <vt:i4>5</vt:i4>
      </vt:variant>
      <vt:variant>
        <vt:lpwstr>https://health.formsadministration.com.au/dss.nsf/home.xsp</vt:lpwstr>
      </vt:variant>
      <vt:variant>
        <vt:lpwstr/>
      </vt:variant>
      <vt:variant>
        <vt:i4>1310792</vt:i4>
      </vt:variant>
      <vt:variant>
        <vt:i4>306</vt:i4>
      </vt:variant>
      <vt:variant>
        <vt:i4>0</vt:i4>
      </vt:variant>
      <vt:variant>
        <vt:i4>5</vt:i4>
      </vt:variant>
      <vt:variant>
        <vt:lpwstr>https://www.aasb.gov.au/</vt:lpwstr>
      </vt:variant>
      <vt:variant>
        <vt:lpwstr/>
      </vt:variant>
      <vt:variant>
        <vt:i4>1310792</vt:i4>
      </vt:variant>
      <vt:variant>
        <vt:i4>303</vt:i4>
      </vt:variant>
      <vt:variant>
        <vt:i4>0</vt:i4>
      </vt:variant>
      <vt:variant>
        <vt:i4>5</vt:i4>
      </vt:variant>
      <vt:variant>
        <vt:lpwstr>https://www.aasb.gov.au/</vt:lpwstr>
      </vt:variant>
      <vt:variant>
        <vt:lpwstr/>
      </vt:variant>
      <vt:variant>
        <vt:i4>1310792</vt:i4>
      </vt:variant>
      <vt:variant>
        <vt:i4>300</vt:i4>
      </vt:variant>
      <vt:variant>
        <vt:i4>0</vt:i4>
      </vt:variant>
      <vt:variant>
        <vt:i4>5</vt:i4>
      </vt:variant>
      <vt:variant>
        <vt:lpwstr>https://www.aasb.gov.au/</vt:lpwstr>
      </vt:variant>
      <vt:variant>
        <vt:lpwstr/>
      </vt:variant>
      <vt:variant>
        <vt:i4>6225994</vt:i4>
      </vt:variant>
      <vt:variant>
        <vt:i4>297</vt:i4>
      </vt:variant>
      <vt:variant>
        <vt:i4>0</vt:i4>
      </vt:variant>
      <vt:variant>
        <vt:i4>5</vt:i4>
      </vt:variant>
      <vt:variant>
        <vt:lpwstr>https://www.health.gov.au/resources/apps-and-tools/government-provider-management-system</vt:lpwstr>
      </vt:variant>
      <vt:variant>
        <vt:lpwstr/>
      </vt:variant>
      <vt:variant>
        <vt:i4>2228276</vt:i4>
      </vt:variant>
      <vt:variant>
        <vt:i4>294</vt:i4>
      </vt:variant>
      <vt:variant>
        <vt:i4>0</vt:i4>
      </vt:variant>
      <vt:variant>
        <vt:i4>5</vt:i4>
      </vt:variant>
      <vt:variant>
        <vt:lpwstr>https://health.formsadministration.com.au/dss.nsf/home.xsp</vt:lpwstr>
      </vt:variant>
      <vt:variant>
        <vt:lpwstr/>
      </vt:variant>
      <vt:variant>
        <vt:i4>7340144</vt:i4>
      </vt:variant>
      <vt:variant>
        <vt:i4>288</vt:i4>
      </vt:variant>
      <vt:variant>
        <vt:i4>0</vt:i4>
      </vt:variant>
      <vt:variant>
        <vt:i4>5</vt:i4>
      </vt:variant>
      <vt:variant>
        <vt:lpwstr>https://www.health.gov.au/our-work/care-minutes-registered-nurses-aged-care/care-minutes/care-minutes-performance-statement</vt:lpwstr>
      </vt:variant>
      <vt:variant>
        <vt:lpwstr/>
      </vt:variant>
      <vt:variant>
        <vt:i4>3932196</vt:i4>
      </vt:variant>
      <vt:variant>
        <vt:i4>285</vt:i4>
      </vt:variant>
      <vt:variant>
        <vt:i4>0</vt:i4>
      </vt:variant>
      <vt:variant>
        <vt:i4>5</vt:i4>
      </vt:variant>
      <vt:variant>
        <vt:lpwstr>https://health.formsadministration.com.au/dss.nsf/DSSForms.xsp</vt:lpwstr>
      </vt:variant>
      <vt:variant>
        <vt:lpwstr/>
      </vt:variant>
      <vt:variant>
        <vt:i4>13</vt:i4>
      </vt:variant>
      <vt:variant>
        <vt:i4>282</vt:i4>
      </vt:variant>
      <vt:variant>
        <vt:i4>0</vt:i4>
      </vt:variant>
      <vt:variant>
        <vt:i4>5</vt:i4>
      </vt:variant>
      <vt:variant>
        <vt:lpwstr>https://www.health.gov.au/topics/aged-care/providing-aged-care-services/reporting/aged-care-financial-report</vt:lpwstr>
      </vt:variant>
      <vt:variant>
        <vt:lpwstr/>
      </vt:variant>
      <vt:variant>
        <vt:i4>131198</vt:i4>
      </vt:variant>
      <vt:variant>
        <vt:i4>279</vt:i4>
      </vt:variant>
      <vt:variant>
        <vt:i4>0</vt:i4>
      </vt:variant>
      <vt:variant>
        <vt:i4>5</vt:i4>
      </vt:variant>
      <vt:variant>
        <vt:lpwstr>mailto:QFRACFRHelp@health.gov.au</vt:lpwstr>
      </vt:variant>
      <vt:variant>
        <vt:lpwstr/>
      </vt:variant>
      <vt:variant>
        <vt:i4>5570593</vt:i4>
      </vt:variant>
      <vt:variant>
        <vt:i4>276</vt:i4>
      </vt:variant>
      <vt:variant>
        <vt:i4>0</vt:i4>
      </vt:variant>
      <vt:variant>
        <vt:i4>5</vt:i4>
      </vt:variant>
      <vt:variant>
        <vt:lpwstr>mailto:ACFRQFRQueries@Health.gov.au</vt:lpwstr>
      </vt:variant>
      <vt:variant>
        <vt:lpwstr/>
      </vt:variant>
      <vt:variant>
        <vt:i4>4128853</vt:i4>
      </vt:variant>
      <vt:variant>
        <vt:i4>273</vt:i4>
      </vt:variant>
      <vt:variant>
        <vt:i4>0</vt:i4>
      </vt:variant>
      <vt:variant>
        <vt:i4>5</vt:i4>
      </vt:variant>
      <vt:variant>
        <vt:lpwstr>mailto:health@formsadministration.com.au</vt:lpwstr>
      </vt:variant>
      <vt:variant>
        <vt:lpwstr/>
      </vt:variant>
      <vt:variant>
        <vt:i4>7012469</vt:i4>
      </vt:variant>
      <vt:variant>
        <vt:i4>270</vt:i4>
      </vt:variant>
      <vt:variant>
        <vt:i4>0</vt:i4>
      </vt:variant>
      <vt:variant>
        <vt:i4>5</vt:i4>
      </vt:variant>
      <vt:variant>
        <vt:lpwstr>https://dss.formsadministration.com.au/dss.nsf/home.xsp</vt:lpwstr>
      </vt:variant>
      <vt:variant>
        <vt:lpwstr/>
      </vt:variant>
      <vt:variant>
        <vt:i4>7340144</vt:i4>
      </vt:variant>
      <vt:variant>
        <vt:i4>267</vt:i4>
      </vt:variant>
      <vt:variant>
        <vt:i4>0</vt:i4>
      </vt:variant>
      <vt:variant>
        <vt:i4>5</vt:i4>
      </vt:variant>
      <vt:variant>
        <vt:lpwstr>https://www.health.gov.au/our-work/care-minutes-registered-nurses-aged-care/care-minutes/care-minutes-performance-statement</vt:lpwstr>
      </vt:variant>
      <vt:variant>
        <vt:lpwstr/>
      </vt:variant>
      <vt:variant>
        <vt:i4>2228276</vt:i4>
      </vt:variant>
      <vt:variant>
        <vt:i4>264</vt:i4>
      </vt:variant>
      <vt:variant>
        <vt:i4>0</vt:i4>
      </vt:variant>
      <vt:variant>
        <vt:i4>5</vt:i4>
      </vt:variant>
      <vt:variant>
        <vt:lpwstr>https://health.formsadministration.com.au/dss.nsf/home.xsp</vt:lpwstr>
      </vt:variant>
      <vt:variant>
        <vt:lpwstr/>
      </vt:variant>
      <vt:variant>
        <vt:i4>1966107</vt:i4>
      </vt:variant>
      <vt:variant>
        <vt:i4>261</vt:i4>
      </vt:variant>
      <vt:variant>
        <vt:i4>0</vt:i4>
      </vt:variant>
      <vt:variant>
        <vt:i4>5</vt:i4>
      </vt:variant>
      <vt:variant>
        <vt:lpwstr>https://www.health.gov.au/resources/collections/financial-performance-of-the-australian-aged-care-sector</vt:lpwstr>
      </vt:variant>
      <vt:variant>
        <vt:lpwstr/>
      </vt:variant>
      <vt:variant>
        <vt:i4>1507390</vt:i4>
      </vt:variant>
      <vt:variant>
        <vt:i4>254</vt:i4>
      </vt:variant>
      <vt:variant>
        <vt:i4>0</vt:i4>
      </vt:variant>
      <vt:variant>
        <vt:i4>5</vt:i4>
      </vt:variant>
      <vt:variant>
        <vt:lpwstr/>
      </vt:variant>
      <vt:variant>
        <vt:lpwstr>_Toc209078280</vt:lpwstr>
      </vt:variant>
      <vt:variant>
        <vt:i4>1572926</vt:i4>
      </vt:variant>
      <vt:variant>
        <vt:i4>248</vt:i4>
      </vt:variant>
      <vt:variant>
        <vt:i4>0</vt:i4>
      </vt:variant>
      <vt:variant>
        <vt:i4>5</vt:i4>
      </vt:variant>
      <vt:variant>
        <vt:lpwstr/>
      </vt:variant>
      <vt:variant>
        <vt:lpwstr>_Toc209078279</vt:lpwstr>
      </vt:variant>
      <vt:variant>
        <vt:i4>1572926</vt:i4>
      </vt:variant>
      <vt:variant>
        <vt:i4>242</vt:i4>
      </vt:variant>
      <vt:variant>
        <vt:i4>0</vt:i4>
      </vt:variant>
      <vt:variant>
        <vt:i4>5</vt:i4>
      </vt:variant>
      <vt:variant>
        <vt:lpwstr/>
      </vt:variant>
      <vt:variant>
        <vt:lpwstr>_Toc209078278</vt:lpwstr>
      </vt:variant>
      <vt:variant>
        <vt:i4>1572926</vt:i4>
      </vt:variant>
      <vt:variant>
        <vt:i4>236</vt:i4>
      </vt:variant>
      <vt:variant>
        <vt:i4>0</vt:i4>
      </vt:variant>
      <vt:variant>
        <vt:i4>5</vt:i4>
      </vt:variant>
      <vt:variant>
        <vt:lpwstr/>
      </vt:variant>
      <vt:variant>
        <vt:lpwstr>_Toc209078277</vt:lpwstr>
      </vt:variant>
      <vt:variant>
        <vt:i4>1572926</vt:i4>
      </vt:variant>
      <vt:variant>
        <vt:i4>230</vt:i4>
      </vt:variant>
      <vt:variant>
        <vt:i4>0</vt:i4>
      </vt:variant>
      <vt:variant>
        <vt:i4>5</vt:i4>
      </vt:variant>
      <vt:variant>
        <vt:lpwstr/>
      </vt:variant>
      <vt:variant>
        <vt:lpwstr>_Toc209078276</vt:lpwstr>
      </vt:variant>
      <vt:variant>
        <vt:i4>1572926</vt:i4>
      </vt:variant>
      <vt:variant>
        <vt:i4>224</vt:i4>
      </vt:variant>
      <vt:variant>
        <vt:i4>0</vt:i4>
      </vt:variant>
      <vt:variant>
        <vt:i4>5</vt:i4>
      </vt:variant>
      <vt:variant>
        <vt:lpwstr/>
      </vt:variant>
      <vt:variant>
        <vt:lpwstr>_Toc209078275</vt:lpwstr>
      </vt:variant>
      <vt:variant>
        <vt:i4>1572926</vt:i4>
      </vt:variant>
      <vt:variant>
        <vt:i4>218</vt:i4>
      </vt:variant>
      <vt:variant>
        <vt:i4>0</vt:i4>
      </vt:variant>
      <vt:variant>
        <vt:i4>5</vt:i4>
      </vt:variant>
      <vt:variant>
        <vt:lpwstr/>
      </vt:variant>
      <vt:variant>
        <vt:lpwstr>_Toc209078274</vt:lpwstr>
      </vt:variant>
      <vt:variant>
        <vt:i4>1572926</vt:i4>
      </vt:variant>
      <vt:variant>
        <vt:i4>212</vt:i4>
      </vt:variant>
      <vt:variant>
        <vt:i4>0</vt:i4>
      </vt:variant>
      <vt:variant>
        <vt:i4>5</vt:i4>
      </vt:variant>
      <vt:variant>
        <vt:lpwstr/>
      </vt:variant>
      <vt:variant>
        <vt:lpwstr>_Toc209078273</vt:lpwstr>
      </vt:variant>
      <vt:variant>
        <vt:i4>1572926</vt:i4>
      </vt:variant>
      <vt:variant>
        <vt:i4>206</vt:i4>
      </vt:variant>
      <vt:variant>
        <vt:i4>0</vt:i4>
      </vt:variant>
      <vt:variant>
        <vt:i4>5</vt:i4>
      </vt:variant>
      <vt:variant>
        <vt:lpwstr/>
      </vt:variant>
      <vt:variant>
        <vt:lpwstr>_Toc209078272</vt:lpwstr>
      </vt:variant>
      <vt:variant>
        <vt:i4>1572926</vt:i4>
      </vt:variant>
      <vt:variant>
        <vt:i4>200</vt:i4>
      </vt:variant>
      <vt:variant>
        <vt:i4>0</vt:i4>
      </vt:variant>
      <vt:variant>
        <vt:i4>5</vt:i4>
      </vt:variant>
      <vt:variant>
        <vt:lpwstr/>
      </vt:variant>
      <vt:variant>
        <vt:lpwstr>_Toc209078271</vt:lpwstr>
      </vt:variant>
      <vt:variant>
        <vt:i4>1572926</vt:i4>
      </vt:variant>
      <vt:variant>
        <vt:i4>194</vt:i4>
      </vt:variant>
      <vt:variant>
        <vt:i4>0</vt:i4>
      </vt:variant>
      <vt:variant>
        <vt:i4>5</vt:i4>
      </vt:variant>
      <vt:variant>
        <vt:lpwstr/>
      </vt:variant>
      <vt:variant>
        <vt:lpwstr>_Toc209078270</vt:lpwstr>
      </vt:variant>
      <vt:variant>
        <vt:i4>1638462</vt:i4>
      </vt:variant>
      <vt:variant>
        <vt:i4>188</vt:i4>
      </vt:variant>
      <vt:variant>
        <vt:i4>0</vt:i4>
      </vt:variant>
      <vt:variant>
        <vt:i4>5</vt:i4>
      </vt:variant>
      <vt:variant>
        <vt:lpwstr/>
      </vt:variant>
      <vt:variant>
        <vt:lpwstr>_Toc209078269</vt:lpwstr>
      </vt:variant>
      <vt:variant>
        <vt:i4>1638462</vt:i4>
      </vt:variant>
      <vt:variant>
        <vt:i4>182</vt:i4>
      </vt:variant>
      <vt:variant>
        <vt:i4>0</vt:i4>
      </vt:variant>
      <vt:variant>
        <vt:i4>5</vt:i4>
      </vt:variant>
      <vt:variant>
        <vt:lpwstr/>
      </vt:variant>
      <vt:variant>
        <vt:lpwstr>_Toc209078268</vt:lpwstr>
      </vt:variant>
      <vt:variant>
        <vt:i4>1638462</vt:i4>
      </vt:variant>
      <vt:variant>
        <vt:i4>176</vt:i4>
      </vt:variant>
      <vt:variant>
        <vt:i4>0</vt:i4>
      </vt:variant>
      <vt:variant>
        <vt:i4>5</vt:i4>
      </vt:variant>
      <vt:variant>
        <vt:lpwstr/>
      </vt:variant>
      <vt:variant>
        <vt:lpwstr>_Toc209078267</vt:lpwstr>
      </vt:variant>
      <vt:variant>
        <vt:i4>1638462</vt:i4>
      </vt:variant>
      <vt:variant>
        <vt:i4>170</vt:i4>
      </vt:variant>
      <vt:variant>
        <vt:i4>0</vt:i4>
      </vt:variant>
      <vt:variant>
        <vt:i4>5</vt:i4>
      </vt:variant>
      <vt:variant>
        <vt:lpwstr/>
      </vt:variant>
      <vt:variant>
        <vt:lpwstr>_Toc209078266</vt:lpwstr>
      </vt:variant>
      <vt:variant>
        <vt:i4>1638462</vt:i4>
      </vt:variant>
      <vt:variant>
        <vt:i4>164</vt:i4>
      </vt:variant>
      <vt:variant>
        <vt:i4>0</vt:i4>
      </vt:variant>
      <vt:variant>
        <vt:i4>5</vt:i4>
      </vt:variant>
      <vt:variant>
        <vt:lpwstr/>
      </vt:variant>
      <vt:variant>
        <vt:lpwstr>_Toc209078265</vt:lpwstr>
      </vt:variant>
      <vt:variant>
        <vt:i4>1638462</vt:i4>
      </vt:variant>
      <vt:variant>
        <vt:i4>158</vt:i4>
      </vt:variant>
      <vt:variant>
        <vt:i4>0</vt:i4>
      </vt:variant>
      <vt:variant>
        <vt:i4>5</vt:i4>
      </vt:variant>
      <vt:variant>
        <vt:lpwstr/>
      </vt:variant>
      <vt:variant>
        <vt:lpwstr>_Toc209078264</vt:lpwstr>
      </vt:variant>
      <vt:variant>
        <vt:i4>1638462</vt:i4>
      </vt:variant>
      <vt:variant>
        <vt:i4>152</vt:i4>
      </vt:variant>
      <vt:variant>
        <vt:i4>0</vt:i4>
      </vt:variant>
      <vt:variant>
        <vt:i4>5</vt:i4>
      </vt:variant>
      <vt:variant>
        <vt:lpwstr/>
      </vt:variant>
      <vt:variant>
        <vt:lpwstr>_Toc209078263</vt:lpwstr>
      </vt:variant>
      <vt:variant>
        <vt:i4>1638462</vt:i4>
      </vt:variant>
      <vt:variant>
        <vt:i4>146</vt:i4>
      </vt:variant>
      <vt:variant>
        <vt:i4>0</vt:i4>
      </vt:variant>
      <vt:variant>
        <vt:i4>5</vt:i4>
      </vt:variant>
      <vt:variant>
        <vt:lpwstr/>
      </vt:variant>
      <vt:variant>
        <vt:lpwstr>_Toc209078262</vt:lpwstr>
      </vt:variant>
      <vt:variant>
        <vt:i4>1638462</vt:i4>
      </vt:variant>
      <vt:variant>
        <vt:i4>140</vt:i4>
      </vt:variant>
      <vt:variant>
        <vt:i4>0</vt:i4>
      </vt:variant>
      <vt:variant>
        <vt:i4>5</vt:i4>
      </vt:variant>
      <vt:variant>
        <vt:lpwstr/>
      </vt:variant>
      <vt:variant>
        <vt:lpwstr>_Toc209078261</vt:lpwstr>
      </vt:variant>
      <vt:variant>
        <vt:i4>1638462</vt:i4>
      </vt:variant>
      <vt:variant>
        <vt:i4>134</vt:i4>
      </vt:variant>
      <vt:variant>
        <vt:i4>0</vt:i4>
      </vt:variant>
      <vt:variant>
        <vt:i4>5</vt:i4>
      </vt:variant>
      <vt:variant>
        <vt:lpwstr/>
      </vt:variant>
      <vt:variant>
        <vt:lpwstr>_Toc209078260</vt:lpwstr>
      </vt:variant>
      <vt:variant>
        <vt:i4>1703998</vt:i4>
      </vt:variant>
      <vt:variant>
        <vt:i4>128</vt:i4>
      </vt:variant>
      <vt:variant>
        <vt:i4>0</vt:i4>
      </vt:variant>
      <vt:variant>
        <vt:i4>5</vt:i4>
      </vt:variant>
      <vt:variant>
        <vt:lpwstr/>
      </vt:variant>
      <vt:variant>
        <vt:lpwstr>_Toc209078259</vt:lpwstr>
      </vt:variant>
      <vt:variant>
        <vt:i4>1703998</vt:i4>
      </vt:variant>
      <vt:variant>
        <vt:i4>122</vt:i4>
      </vt:variant>
      <vt:variant>
        <vt:i4>0</vt:i4>
      </vt:variant>
      <vt:variant>
        <vt:i4>5</vt:i4>
      </vt:variant>
      <vt:variant>
        <vt:lpwstr/>
      </vt:variant>
      <vt:variant>
        <vt:lpwstr>_Toc209078258</vt:lpwstr>
      </vt:variant>
      <vt:variant>
        <vt:i4>1703998</vt:i4>
      </vt:variant>
      <vt:variant>
        <vt:i4>116</vt:i4>
      </vt:variant>
      <vt:variant>
        <vt:i4>0</vt:i4>
      </vt:variant>
      <vt:variant>
        <vt:i4>5</vt:i4>
      </vt:variant>
      <vt:variant>
        <vt:lpwstr/>
      </vt:variant>
      <vt:variant>
        <vt:lpwstr>_Toc209078257</vt:lpwstr>
      </vt:variant>
      <vt:variant>
        <vt:i4>1703998</vt:i4>
      </vt:variant>
      <vt:variant>
        <vt:i4>110</vt:i4>
      </vt:variant>
      <vt:variant>
        <vt:i4>0</vt:i4>
      </vt:variant>
      <vt:variant>
        <vt:i4>5</vt:i4>
      </vt:variant>
      <vt:variant>
        <vt:lpwstr/>
      </vt:variant>
      <vt:variant>
        <vt:lpwstr>_Toc209078256</vt:lpwstr>
      </vt:variant>
      <vt:variant>
        <vt:i4>1703998</vt:i4>
      </vt:variant>
      <vt:variant>
        <vt:i4>104</vt:i4>
      </vt:variant>
      <vt:variant>
        <vt:i4>0</vt:i4>
      </vt:variant>
      <vt:variant>
        <vt:i4>5</vt:i4>
      </vt:variant>
      <vt:variant>
        <vt:lpwstr/>
      </vt:variant>
      <vt:variant>
        <vt:lpwstr>_Toc209078255</vt:lpwstr>
      </vt:variant>
      <vt:variant>
        <vt:i4>1703998</vt:i4>
      </vt:variant>
      <vt:variant>
        <vt:i4>98</vt:i4>
      </vt:variant>
      <vt:variant>
        <vt:i4>0</vt:i4>
      </vt:variant>
      <vt:variant>
        <vt:i4>5</vt:i4>
      </vt:variant>
      <vt:variant>
        <vt:lpwstr/>
      </vt:variant>
      <vt:variant>
        <vt:lpwstr>_Toc209078254</vt:lpwstr>
      </vt:variant>
      <vt:variant>
        <vt:i4>1703998</vt:i4>
      </vt:variant>
      <vt:variant>
        <vt:i4>92</vt:i4>
      </vt:variant>
      <vt:variant>
        <vt:i4>0</vt:i4>
      </vt:variant>
      <vt:variant>
        <vt:i4>5</vt:i4>
      </vt:variant>
      <vt:variant>
        <vt:lpwstr/>
      </vt:variant>
      <vt:variant>
        <vt:lpwstr>_Toc209078253</vt:lpwstr>
      </vt:variant>
      <vt:variant>
        <vt:i4>1703998</vt:i4>
      </vt:variant>
      <vt:variant>
        <vt:i4>86</vt:i4>
      </vt:variant>
      <vt:variant>
        <vt:i4>0</vt:i4>
      </vt:variant>
      <vt:variant>
        <vt:i4>5</vt:i4>
      </vt:variant>
      <vt:variant>
        <vt:lpwstr/>
      </vt:variant>
      <vt:variant>
        <vt:lpwstr>_Toc209078252</vt:lpwstr>
      </vt:variant>
      <vt:variant>
        <vt:i4>1703998</vt:i4>
      </vt:variant>
      <vt:variant>
        <vt:i4>80</vt:i4>
      </vt:variant>
      <vt:variant>
        <vt:i4>0</vt:i4>
      </vt:variant>
      <vt:variant>
        <vt:i4>5</vt:i4>
      </vt:variant>
      <vt:variant>
        <vt:lpwstr/>
      </vt:variant>
      <vt:variant>
        <vt:lpwstr>_Toc209078251</vt:lpwstr>
      </vt:variant>
      <vt:variant>
        <vt:i4>1703998</vt:i4>
      </vt:variant>
      <vt:variant>
        <vt:i4>74</vt:i4>
      </vt:variant>
      <vt:variant>
        <vt:i4>0</vt:i4>
      </vt:variant>
      <vt:variant>
        <vt:i4>5</vt:i4>
      </vt:variant>
      <vt:variant>
        <vt:lpwstr/>
      </vt:variant>
      <vt:variant>
        <vt:lpwstr>_Toc209078250</vt:lpwstr>
      </vt:variant>
      <vt:variant>
        <vt:i4>1769534</vt:i4>
      </vt:variant>
      <vt:variant>
        <vt:i4>68</vt:i4>
      </vt:variant>
      <vt:variant>
        <vt:i4>0</vt:i4>
      </vt:variant>
      <vt:variant>
        <vt:i4>5</vt:i4>
      </vt:variant>
      <vt:variant>
        <vt:lpwstr/>
      </vt:variant>
      <vt:variant>
        <vt:lpwstr>_Toc209078249</vt:lpwstr>
      </vt:variant>
      <vt:variant>
        <vt:i4>1769534</vt:i4>
      </vt:variant>
      <vt:variant>
        <vt:i4>62</vt:i4>
      </vt:variant>
      <vt:variant>
        <vt:i4>0</vt:i4>
      </vt:variant>
      <vt:variant>
        <vt:i4>5</vt:i4>
      </vt:variant>
      <vt:variant>
        <vt:lpwstr/>
      </vt:variant>
      <vt:variant>
        <vt:lpwstr>_Toc209078248</vt:lpwstr>
      </vt:variant>
      <vt:variant>
        <vt:i4>1769534</vt:i4>
      </vt:variant>
      <vt:variant>
        <vt:i4>56</vt:i4>
      </vt:variant>
      <vt:variant>
        <vt:i4>0</vt:i4>
      </vt:variant>
      <vt:variant>
        <vt:i4>5</vt:i4>
      </vt:variant>
      <vt:variant>
        <vt:lpwstr/>
      </vt:variant>
      <vt:variant>
        <vt:lpwstr>_Toc209078247</vt:lpwstr>
      </vt:variant>
      <vt:variant>
        <vt:i4>1769534</vt:i4>
      </vt:variant>
      <vt:variant>
        <vt:i4>50</vt:i4>
      </vt:variant>
      <vt:variant>
        <vt:i4>0</vt:i4>
      </vt:variant>
      <vt:variant>
        <vt:i4>5</vt:i4>
      </vt:variant>
      <vt:variant>
        <vt:lpwstr/>
      </vt:variant>
      <vt:variant>
        <vt:lpwstr>_Toc209078246</vt:lpwstr>
      </vt:variant>
      <vt:variant>
        <vt:i4>1769534</vt:i4>
      </vt:variant>
      <vt:variant>
        <vt:i4>44</vt:i4>
      </vt:variant>
      <vt:variant>
        <vt:i4>0</vt:i4>
      </vt:variant>
      <vt:variant>
        <vt:i4>5</vt:i4>
      </vt:variant>
      <vt:variant>
        <vt:lpwstr/>
      </vt:variant>
      <vt:variant>
        <vt:lpwstr>_Toc209078245</vt:lpwstr>
      </vt:variant>
      <vt:variant>
        <vt:i4>1769534</vt:i4>
      </vt:variant>
      <vt:variant>
        <vt:i4>38</vt:i4>
      </vt:variant>
      <vt:variant>
        <vt:i4>0</vt:i4>
      </vt:variant>
      <vt:variant>
        <vt:i4>5</vt:i4>
      </vt:variant>
      <vt:variant>
        <vt:lpwstr/>
      </vt:variant>
      <vt:variant>
        <vt:lpwstr>_Toc209078244</vt:lpwstr>
      </vt:variant>
      <vt:variant>
        <vt:i4>1769534</vt:i4>
      </vt:variant>
      <vt:variant>
        <vt:i4>32</vt:i4>
      </vt:variant>
      <vt:variant>
        <vt:i4>0</vt:i4>
      </vt:variant>
      <vt:variant>
        <vt:i4>5</vt:i4>
      </vt:variant>
      <vt:variant>
        <vt:lpwstr/>
      </vt:variant>
      <vt:variant>
        <vt:lpwstr>_Toc209078243</vt:lpwstr>
      </vt:variant>
      <vt:variant>
        <vt:i4>1769534</vt:i4>
      </vt:variant>
      <vt:variant>
        <vt:i4>26</vt:i4>
      </vt:variant>
      <vt:variant>
        <vt:i4>0</vt:i4>
      </vt:variant>
      <vt:variant>
        <vt:i4>5</vt:i4>
      </vt:variant>
      <vt:variant>
        <vt:lpwstr/>
      </vt:variant>
      <vt:variant>
        <vt:lpwstr>_Toc209078242</vt:lpwstr>
      </vt:variant>
      <vt:variant>
        <vt:i4>1769534</vt:i4>
      </vt:variant>
      <vt:variant>
        <vt:i4>20</vt:i4>
      </vt:variant>
      <vt:variant>
        <vt:i4>0</vt:i4>
      </vt:variant>
      <vt:variant>
        <vt:i4>5</vt:i4>
      </vt:variant>
      <vt:variant>
        <vt:lpwstr/>
      </vt:variant>
      <vt:variant>
        <vt:lpwstr>_Toc209078241</vt:lpwstr>
      </vt:variant>
      <vt:variant>
        <vt:i4>1769534</vt:i4>
      </vt:variant>
      <vt:variant>
        <vt:i4>14</vt:i4>
      </vt:variant>
      <vt:variant>
        <vt:i4>0</vt:i4>
      </vt:variant>
      <vt:variant>
        <vt:i4>5</vt:i4>
      </vt:variant>
      <vt:variant>
        <vt:lpwstr/>
      </vt:variant>
      <vt:variant>
        <vt:lpwstr>_Toc209078240</vt:lpwstr>
      </vt:variant>
      <vt:variant>
        <vt:i4>1835070</vt:i4>
      </vt:variant>
      <vt:variant>
        <vt:i4>8</vt:i4>
      </vt:variant>
      <vt:variant>
        <vt:i4>0</vt:i4>
      </vt:variant>
      <vt:variant>
        <vt:i4>5</vt:i4>
      </vt:variant>
      <vt:variant>
        <vt:lpwstr/>
      </vt:variant>
      <vt:variant>
        <vt:lpwstr>_Toc209078239</vt:lpwstr>
      </vt:variant>
      <vt:variant>
        <vt:i4>1835070</vt:i4>
      </vt:variant>
      <vt:variant>
        <vt:i4>2</vt:i4>
      </vt:variant>
      <vt:variant>
        <vt:i4>0</vt:i4>
      </vt:variant>
      <vt:variant>
        <vt:i4>5</vt:i4>
      </vt:variant>
      <vt:variant>
        <vt:lpwstr/>
      </vt:variant>
      <vt:variant>
        <vt:lpwstr>_Toc209078238</vt:lpwstr>
      </vt:variant>
      <vt:variant>
        <vt:i4>7274560</vt:i4>
      </vt:variant>
      <vt:variant>
        <vt:i4>27</vt:i4>
      </vt:variant>
      <vt:variant>
        <vt:i4>0</vt:i4>
      </vt:variant>
      <vt:variant>
        <vt:i4>5</vt:i4>
      </vt:variant>
      <vt:variant>
        <vt:lpwstr>mailto:Bec.AYDIN@Health.gov.au</vt:lpwstr>
      </vt:variant>
      <vt:variant>
        <vt:lpwstr/>
      </vt:variant>
      <vt:variant>
        <vt:i4>7274560</vt:i4>
      </vt:variant>
      <vt:variant>
        <vt:i4>24</vt:i4>
      </vt:variant>
      <vt:variant>
        <vt:i4>0</vt:i4>
      </vt:variant>
      <vt:variant>
        <vt:i4>5</vt:i4>
      </vt:variant>
      <vt:variant>
        <vt:lpwstr>mailto:Bec.AYDIN@Health.gov.au</vt:lpwstr>
      </vt:variant>
      <vt:variant>
        <vt:lpwstr/>
      </vt:variant>
      <vt:variant>
        <vt:i4>44</vt:i4>
      </vt:variant>
      <vt:variant>
        <vt:i4>21</vt:i4>
      </vt:variant>
      <vt:variant>
        <vt:i4>0</vt:i4>
      </vt:variant>
      <vt:variant>
        <vt:i4>5</vt:i4>
      </vt:variant>
      <vt:variant>
        <vt:lpwstr>mailto:Annie.NARANKHUU@Health.gov.au</vt:lpwstr>
      </vt:variant>
      <vt:variant>
        <vt:lpwstr/>
      </vt:variant>
      <vt:variant>
        <vt:i4>917555</vt:i4>
      </vt:variant>
      <vt:variant>
        <vt:i4>18</vt:i4>
      </vt:variant>
      <vt:variant>
        <vt:i4>0</vt:i4>
      </vt:variant>
      <vt:variant>
        <vt:i4>5</vt:i4>
      </vt:variant>
      <vt:variant>
        <vt:lpwstr>mailto:Stephanie.OHALLORAN@health.gov.au</vt:lpwstr>
      </vt:variant>
      <vt:variant>
        <vt:lpwstr/>
      </vt:variant>
      <vt:variant>
        <vt:i4>917555</vt:i4>
      </vt:variant>
      <vt:variant>
        <vt:i4>15</vt:i4>
      </vt:variant>
      <vt:variant>
        <vt:i4>0</vt:i4>
      </vt:variant>
      <vt:variant>
        <vt:i4>5</vt:i4>
      </vt:variant>
      <vt:variant>
        <vt:lpwstr>mailto:Stephanie.OHALLORAN@health.gov.au</vt:lpwstr>
      </vt:variant>
      <vt:variant>
        <vt:lpwstr/>
      </vt:variant>
      <vt:variant>
        <vt:i4>4718697</vt:i4>
      </vt:variant>
      <vt:variant>
        <vt:i4>12</vt:i4>
      </vt:variant>
      <vt:variant>
        <vt:i4>0</vt:i4>
      </vt:variant>
      <vt:variant>
        <vt:i4>5</vt:i4>
      </vt:variant>
      <vt:variant>
        <vt:lpwstr>mailto:Jamon.SHAY@Health.gov.au</vt:lpwstr>
      </vt:variant>
      <vt:variant>
        <vt:lpwstr/>
      </vt:variant>
      <vt:variant>
        <vt:i4>1441852</vt:i4>
      </vt:variant>
      <vt:variant>
        <vt:i4>9</vt:i4>
      </vt:variant>
      <vt:variant>
        <vt:i4>0</vt:i4>
      </vt:variant>
      <vt:variant>
        <vt:i4>5</vt:i4>
      </vt:variant>
      <vt:variant>
        <vt:lpwstr>mailto:Pranab.Acharya@health.gov.au</vt:lpwstr>
      </vt:variant>
      <vt:variant>
        <vt:lpwstr/>
      </vt:variant>
      <vt:variant>
        <vt:i4>4718697</vt:i4>
      </vt:variant>
      <vt:variant>
        <vt:i4>6</vt:i4>
      </vt:variant>
      <vt:variant>
        <vt:i4>0</vt:i4>
      </vt:variant>
      <vt:variant>
        <vt:i4>5</vt:i4>
      </vt:variant>
      <vt:variant>
        <vt:lpwstr>mailto:Jamon.SHAY@Health.gov.au</vt:lpwstr>
      </vt:variant>
      <vt:variant>
        <vt:lpwstr/>
      </vt:variant>
      <vt:variant>
        <vt:i4>7536735</vt:i4>
      </vt:variant>
      <vt:variant>
        <vt:i4>3</vt:i4>
      </vt:variant>
      <vt:variant>
        <vt:i4>0</vt:i4>
      </vt:variant>
      <vt:variant>
        <vt:i4>5</vt:i4>
      </vt:variant>
      <vt:variant>
        <vt:lpwstr>mailto:Kate.STEWART@Health.gov.au</vt:lpwstr>
      </vt:variant>
      <vt:variant>
        <vt:lpwstr/>
      </vt:variant>
      <vt:variant>
        <vt:i4>4718697</vt:i4>
      </vt:variant>
      <vt:variant>
        <vt:i4>0</vt:i4>
      </vt:variant>
      <vt:variant>
        <vt:i4>0</vt:i4>
      </vt:variant>
      <vt:variant>
        <vt:i4>5</vt:i4>
      </vt:variant>
      <vt:variant>
        <vt:lpwstr>mailto:Jamon.SHAY@Health.gov.au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Financial Report | Guidance and FAQs 2025-26 Financial Year</dc:title>
  <dc:subject>Aged Care</dc:subject>
  <dc:creator>Australian Government Department of Health, Disability and Ageing</dc:creator>
  <cp:keywords>Aged Care, Senior Australians</cp:keywords>
  <dc:description>_x000d_
</dc:description>
  <cp:lastPrinted>2025-09-26T00:28:00Z</cp:lastPrinted>
  <dcterms:created xsi:type="dcterms:W3CDTF">2026-06-17T01:02:00Z</dcterms:created>
  <dcterms:modified xsi:type="dcterms:W3CDTF">2026-06-17T01:02:00Z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0x010100842F0FB1CC0F414982314A47DEC76821</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ies>
</file>