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8391E" w14:textId="070F7EF1" w:rsidR="008A33F7" w:rsidRPr="00A1289C" w:rsidRDefault="008A33F7" w:rsidP="00A1289C">
      <w:pPr>
        <w:pStyle w:val="covTitle"/>
      </w:pPr>
      <w:r>
        <w:t xml:space="preserve">Addendum to </w:t>
      </w:r>
      <w:r w:rsidR="001062EA">
        <w:t xml:space="preserve">the </w:t>
      </w:r>
      <w:r>
        <w:t xml:space="preserve">Eighth </w:t>
      </w:r>
      <w:r w:rsidRPr="009D3B53">
        <w:t>Community Pharmacy Agreement</w:t>
      </w:r>
    </w:p>
    <w:p w14:paraId="30DCEDD6" w14:textId="7FEE6DB9" w:rsidR="008A33F7" w:rsidRPr="009D3B53" w:rsidRDefault="008A33F7" w:rsidP="00A1289C">
      <w:pPr>
        <w:pStyle w:val="covBodyText"/>
      </w:pPr>
      <w:r w:rsidRPr="009D3B53">
        <w:t xml:space="preserve">The Honourable </w:t>
      </w:r>
      <w:r>
        <w:t xml:space="preserve">Mark Butler </w:t>
      </w:r>
      <w:r w:rsidRPr="009D3B53">
        <w:t xml:space="preserve">MP, Minister for Health </w:t>
      </w:r>
      <w:r>
        <w:t>and Age</w:t>
      </w:r>
      <w:r w:rsidR="00300000">
        <w:t>ing</w:t>
      </w:r>
      <w:r w:rsidR="00DF24C2">
        <w:t xml:space="preserve"> and Minister for Disability and the National Disability Insurance Scheme</w:t>
      </w:r>
    </w:p>
    <w:p w14:paraId="269CF54C" w14:textId="77777777" w:rsidR="008A33F7" w:rsidRPr="009D3B53" w:rsidRDefault="008A33F7" w:rsidP="00A1289C">
      <w:pPr>
        <w:pStyle w:val="covBodyText"/>
      </w:pPr>
      <w:r w:rsidRPr="009D3B53">
        <w:t>on behalf of the Commonwealth of Australia</w:t>
      </w:r>
    </w:p>
    <w:p w14:paraId="6E7B342E" w14:textId="26605A8A" w:rsidR="008A33F7" w:rsidRPr="009D3B53" w:rsidRDefault="008A33F7" w:rsidP="00A1289C">
      <w:pPr>
        <w:pStyle w:val="covBodyText"/>
      </w:pPr>
      <w:r w:rsidRPr="009D3B53">
        <w:t>and</w:t>
      </w:r>
    </w:p>
    <w:p w14:paraId="1B25B7ED" w14:textId="77777777" w:rsidR="008A33F7" w:rsidRPr="009D3B53" w:rsidRDefault="008A33F7" w:rsidP="00A1289C">
      <w:pPr>
        <w:pStyle w:val="covBodyText"/>
      </w:pPr>
      <w:r w:rsidRPr="009D3B53">
        <w:t xml:space="preserve">The Pharmacy Guild of Australia </w:t>
      </w:r>
    </w:p>
    <w:p w14:paraId="503BFF5D" w14:textId="110DBB7E" w:rsidR="008A33F7" w:rsidRDefault="008A33F7" w:rsidP="00A1289C"/>
    <w:p w14:paraId="76D91DB7" w14:textId="77777777" w:rsidR="008A33F7" w:rsidRDefault="008A33F7" w:rsidP="00A1289C">
      <w:r>
        <w:br w:type="page"/>
      </w:r>
    </w:p>
    <w:p w14:paraId="0E2943DB" w14:textId="76929460" w:rsidR="00E6189F" w:rsidRPr="008A33F7" w:rsidRDefault="00E6189F" w:rsidP="00A1289C">
      <w:pPr>
        <w:pStyle w:val="covTitle"/>
      </w:pPr>
      <w:r w:rsidRPr="008A33F7">
        <w:lastRenderedPageBreak/>
        <w:t xml:space="preserve">Addendum to the Eighth Community </w:t>
      </w:r>
      <w:r w:rsidR="00362D81" w:rsidRPr="008A33F7">
        <w:t>Pharmacy</w:t>
      </w:r>
      <w:r w:rsidRPr="008A33F7">
        <w:t xml:space="preserve"> Agreement</w:t>
      </w:r>
    </w:p>
    <w:p w14:paraId="6A66E2A3" w14:textId="0CD03C30" w:rsidR="008A33F7" w:rsidRPr="00A1289C" w:rsidRDefault="00194310" w:rsidP="00A1289C">
      <w:pPr>
        <w:pStyle w:val="legalTitleDescription"/>
      </w:pPr>
      <w:r w:rsidRPr="00A1289C">
        <w:t xml:space="preserve">Dated </w:t>
      </w:r>
      <w:r w:rsidR="00661C2F" w:rsidRPr="00A1289C">
        <w:t xml:space="preserve">12 June </w:t>
      </w:r>
      <w:r w:rsidRPr="00A1289C">
        <w:t>May 2026</w:t>
      </w:r>
      <w:r w:rsidR="008A33F7" w:rsidRPr="00A1289C">
        <w:t xml:space="preserve"> </w:t>
      </w:r>
    </w:p>
    <w:p w14:paraId="1F4E71B7" w14:textId="77777777" w:rsidR="008A33F7" w:rsidRPr="00A1289C" w:rsidRDefault="008A33F7" w:rsidP="00A1289C">
      <w:pPr>
        <w:pStyle w:val="mainTitle"/>
      </w:pPr>
      <w:bookmarkStart w:id="0" w:name="_Toc159314700"/>
      <w:bookmarkStart w:id="1" w:name="_Toc167120836"/>
      <w:r w:rsidRPr="009D3B53">
        <w:t>Parties</w:t>
      </w:r>
      <w:bookmarkEnd w:id="0"/>
      <w:bookmarkEnd w:id="1"/>
    </w:p>
    <w:tbl>
      <w:tblPr>
        <w:tblStyle w:val="TableGridLight"/>
        <w:tblW w:w="0" w:type="auto"/>
        <w:tblLook w:val="01E0" w:firstRow="1" w:lastRow="1" w:firstColumn="1" w:lastColumn="1" w:noHBand="0" w:noVBand="0"/>
      </w:tblPr>
      <w:tblGrid>
        <w:gridCol w:w="2063"/>
        <w:gridCol w:w="9"/>
        <w:gridCol w:w="6944"/>
      </w:tblGrid>
      <w:tr w:rsidR="008A33F7" w:rsidRPr="009D3B53" w14:paraId="07D7DF6F" w14:textId="77777777" w:rsidTr="00A1289C">
        <w:tc>
          <w:tcPr>
            <w:tcW w:w="2063" w:type="dxa"/>
          </w:tcPr>
          <w:p w14:paraId="1F6D39D9" w14:textId="77777777" w:rsidR="008A33F7" w:rsidRPr="009D3B53" w:rsidRDefault="008A33F7" w:rsidP="00A1289C">
            <w:pPr>
              <w:rPr>
                <w:b/>
              </w:rPr>
            </w:pPr>
            <w:r w:rsidRPr="009D3B53">
              <w:t>Name</w:t>
            </w:r>
          </w:p>
        </w:tc>
        <w:tc>
          <w:tcPr>
            <w:tcW w:w="6953" w:type="dxa"/>
            <w:gridSpan w:val="2"/>
          </w:tcPr>
          <w:p w14:paraId="3C50EE6F" w14:textId="138A238C" w:rsidR="008A33F7" w:rsidRPr="009D3B53" w:rsidRDefault="008A33F7" w:rsidP="00F72D03">
            <w:pPr>
              <w:ind w:left="210"/>
              <w:rPr>
                <w:b/>
                <w:spacing w:val="-3"/>
              </w:rPr>
            </w:pPr>
            <w:r w:rsidRPr="009D3B53">
              <w:rPr>
                <w:b/>
                <w:spacing w:val="-3"/>
              </w:rPr>
              <w:t>The Hon</w:t>
            </w:r>
            <w:r>
              <w:rPr>
                <w:b/>
                <w:spacing w:val="-3"/>
              </w:rPr>
              <w:t xml:space="preserve"> Mark Butler </w:t>
            </w:r>
            <w:r w:rsidRPr="009D3B53">
              <w:rPr>
                <w:b/>
                <w:spacing w:val="-3"/>
              </w:rPr>
              <w:t>MP</w:t>
            </w:r>
            <w:r>
              <w:rPr>
                <w:b/>
                <w:spacing w:val="-3"/>
              </w:rPr>
              <w:t>,</w:t>
            </w:r>
            <w:r w:rsidRPr="009D3B53">
              <w:rPr>
                <w:b/>
                <w:spacing w:val="-3"/>
              </w:rPr>
              <w:t xml:space="preserve"> Minister </w:t>
            </w:r>
            <w:r>
              <w:rPr>
                <w:b/>
                <w:spacing w:val="-3"/>
              </w:rPr>
              <w:t>f</w:t>
            </w:r>
            <w:r w:rsidRPr="009D3B53">
              <w:rPr>
                <w:b/>
                <w:spacing w:val="-3"/>
              </w:rPr>
              <w:t xml:space="preserve">or Health and </w:t>
            </w:r>
            <w:r>
              <w:rPr>
                <w:b/>
                <w:spacing w:val="-3"/>
              </w:rPr>
              <w:t>Age</w:t>
            </w:r>
            <w:r w:rsidR="00300000">
              <w:rPr>
                <w:b/>
                <w:spacing w:val="-3"/>
              </w:rPr>
              <w:t>ing</w:t>
            </w:r>
            <w:r w:rsidRPr="009D3B53">
              <w:rPr>
                <w:b/>
                <w:spacing w:val="-3"/>
              </w:rPr>
              <w:t xml:space="preserve"> </w:t>
            </w:r>
            <w:r w:rsidR="00DF24C2">
              <w:rPr>
                <w:b/>
                <w:spacing w:val="-3"/>
              </w:rPr>
              <w:t xml:space="preserve">and Minister </w:t>
            </w:r>
            <w:r w:rsidR="009C3FF0">
              <w:rPr>
                <w:b/>
                <w:spacing w:val="-3"/>
              </w:rPr>
              <w:t xml:space="preserve">for Disability and the National Disability Insurance Scheme </w:t>
            </w:r>
            <w:r w:rsidRPr="009D3B53">
              <w:rPr>
                <w:spacing w:val="-3"/>
              </w:rPr>
              <w:t xml:space="preserve">on behalf of the </w:t>
            </w:r>
            <w:r w:rsidRPr="009D3B53">
              <w:rPr>
                <w:b/>
                <w:spacing w:val="-3"/>
              </w:rPr>
              <w:t>Commonwealth of Australia</w:t>
            </w:r>
          </w:p>
        </w:tc>
      </w:tr>
      <w:tr w:rsidR="008A33F7" w:rsidRPr="009D3B53" w14:paraId="0AAD73CF" w14:textId="77777777" w:rsidTr="00A1289C">
        <w:tc>
          <w:tcPr>
            <w:tcW w:w="2063" w:type="dxa"/>
          </w:tcPr>
          <w:p w14:paraId="7FA36742" w14:textId="77777777" w:rsidR="008A33F7" w:rsidRPr="009D3B53" w:rsidRDefault="008A33F7" w:rsidP="00A1289C">
            <w:pPr>
              <w:rPr>
                <w:b/>
              </w:rPr>
            </w:pPr>
            <w:r w:rsidRPr="009D3B53">
              <w:t>Short name</w:t>
            </w:r>
          </w:p>
        </w:tc>
        <w:tc>
          <w:tcPr>
            <w:tcW w:w="6953" w:type="dxa"/>
            <w:gridSpan w:val="2"/>
          </w:tcPr>
          <w:p w14:paraId="3ABD492F" w14:textId="77777777" w:rsidR="008A33F7" w:rsidRPr="009D3B53" w:rsidRDefault="008A33F7" w:rsidP="00F72D03">
            <w:pPr>
              <w:ind w:left="222" w:hanging="1"/>
              <w:jc w:val="both"/>
              <w:rPr>
                <w:b/>
              </w:rPr>
            </w:pPr>
            <w:r w:rsidRPr="009D3B53">
              <w:rPr>
                <w:b/>
              </w:rPr>
              <w:tab/>
              <w:t>Commonwealth</w:t>
            </w:r>
          </w:p>
        </w:tc>
      </w:tr>
      <w:tr w:rsidR="008A33F7" w:rsidRPr="009D3B53" w14:paraId="55755A5D" w14:textId="77777777" w:rsidTr="00A1289C">
        <w:tc>
          <w:tcPr>
            <w:tcW w:w="2072" w:type="dxa"/>
            <w:gridSpan w:val="2"/>
          </w:tcPr>
          <w:p w14:paraId="7D8677EF" w14:textId="77777777" w:rsidR="008A33F7" w:rsidRPr="009D3B53" w:rsidRDefault="008A33F7" w:rsidP="00A1289C">
            <w:pPr>
              <w:rPr>
                <w:b/>
              </w:rPr>
            </w:pPr>
            <w:r w:rsidRPr="009D3B53">
              <w:t>Name</w:t>
            </w:r>
          </w:p>
        </w:tc>
        <w:tc>
          <w:tcPr>
            <w:tcW w:w="6944" w:type="dxa"/>
          </w:tcPr>
          <w:p w14:paraId="2AB3F972" w14:textId="77777777" w:rsidR="008A33F7" w:rsidRPr="009D3B53" w:rsidRDefault="008A33F7" w:rsidP="00F72D03">
            <w:pPr>
              <w:ind w:left="210"/>
              <w:rPr>
                <w:b/>
                <w:spacing w:val="-3"/>
              </w:rPr>
            </w:pPr>
            <w:r w:rsidRPr="009D3B53">
              <w:rPr>
                <w:b/>
                <w:spacing w:val="-3"/>
              </w:rPr>
              <w:t xml:space="preserve">The Pharmacy Guild of Australia </w:t>
            </w:r>
            <w:r w:rsidRPr="00084C74">
              <w:rPr>
                <w:bCs/>
                <w:spacing w:val="-3"/>
              </w:rPr>
              <w:t>ABN 84 519 669 143</w:t>
            </w:r>
          </w:p>
        </w:tc>
      </w:tr>
      <w:tr w:rsidR="008A33F7" w:rsidRPr="009D3B53" w14:paraId="32049E1B" w14:textId="77777777" w:rsidTr="00A1289C">
        <w:tc>
          <w:tcPr>
            <w:tcW w:w="2072" w:type="dxa"/>
            <w:gridSpan w:val="2"/>
          </w:tcPr>
          <w:p w14:paraId="1218745C" w14:textId="77777777" w:rsidR="008A33F7" w:rsidRPr="009D3B53" w:rsidRDefault="008A33F7" w:rsidP="00A1289C">
            <w:r w:rsidRPr="009D3B53">
              <w:t>Address</w:t>
            </w:r>
          </w:p>
        </w:tc>
        <w:tc>
          <w:tcPr>
            <w:tcW w:w="6944" w:type="dxa"/>
          </w:tcPr>
          <w:p w14:paraId="4F34A757" w14:textId="77777777" w:rsidR="008A33F7" w:rsidRPr="009D3B53" w:rsidRDefault="008A33F7" w:rsidP="00F72D03">
            <w:pPr>
              <w:ind w:left="222"/>
              <w:jc w:val="both"/>
              <w:rPr>
                <w:szCs w:val="22"/>
              </w:rPr>
            </w:pPr>
            <w:r w:rsidRPr="009D3B53">
              <w:rPr>
                <w:szCs w:val="22"/>
              </w:rPr>
              <w:t>Level 2, 15 National Circuit, Barton in the Australian Capital Territory</w:t>
            </w:r>
          </w:p>
        </w:tc>
      </w:tr>
      <w:tr w:rsidR="008A33F7" w:rsidRPr="009D3B53" w14:paraId="50D08E5B" w14:textId="77777777" w:rsidTr="00A1289C">
        <w:tc>
          <w:tcPr>
            <w:tcW w:w="2072" w:type="dxa"/>
            <w:gridSpan w:val="2"/>
          </w:tcPr>
          <w:p w14:paraId="7632420E" w14:textId="77777777" w:rsidR="008A33F7" w:rsidRPr="009D3B53" w:rsidRDefault="008A33F7" w:rsidP="00A1289C">
            <w:pPr>
              <w:rPr>
                <w:b/>
              </w:rPr>
            </w:pPr>
            <w:r w:rsidRPr="009D3B53">
              <w:t>Short name</w:t>
            </w:r>
          </w:p>
        </w:tc>
        <w:tc>
          <w:tcPr>
            <w:tcW w:w="6944" w:type="dxa"/>
          </w:tcPr>
          <w:p w14:paraId="011D0189" w14:textId="77777777" w:rsidR="008A33F7" w:rsidRPr="009D3B53" w:rsidRDefault="008A33F7" w:rsidP="00F72D03">
            <w:pPr>
              <w:ind w:left="222"/>
              <w:jc w:val="both"/>
              <w:rPr>
                <w:b/>
              </w:rPr>
            </w:pPr>
            <w:r>
              <w:rPr>
                <w:b/>
              </w:rPr>
              <w:t xml:space="preserve">Pharmacy </w:t>
            </w:r>
            <w:r w:rsidRPr="009D3B53">
              <w:rPr>
                <w:b/>
              </w:rPr>
              <w:t>Guild</w:t>
            </w:r>
          </w:p>
        </w:tc>
      </w:tr>
    </w:tbl>
    <w:p w14:paraId="467B6D41" w14:textId="77777777" w:rsidR="008A33F7" w:rsidRPr="00A1289C" w:rsidRDefault="008A33F7" w:rsidP="00A1289C">
      <w:pPr>
        <w:pStyle w:val="mainTitle"/>
      </w:pPr>
      <w:bookmarkStart w:id="2" w:name="_Toc167120837"/>
      <w:r>
        <w:t>Background</w:t>
      </w:r>
      <w:bookmarkEnd w:id="2"/>
    </w:p>
    <w:p w14:paraId="0029B3DB" w14:textId="426D14F7" w:rsidR="00641151" w:rsidRPr="006C2616" w:rsidRDefault="00641151" w:rsidP="00A1289C">
      <w:r w:rsidRPr="006C2616">
        <w:t>Pharmaceutical Benefits Remuneration Tribunal</w:t>
      </w:r>
    </w:p>
    <w:p w14:paraId="62C6EE26" w14:textId="34FBA219" w:rsidR="00B73379" w:rsidRPr="00396819" w:rsidRDefault="00B73379" w:rsidP="008A33F7">
      <w:pPr>
        <w:pStyle w:val="legalRecital1"/>
      </w:pPr>
      <w:r w:rsidRPr="00396819">
        <w:t xml:space="preserve">Paragraph 98B(1)(a) of the </w:t>
      </w:r>
      <w:r w:rsidRPr="00396819">
        <w:rPr>
          <w:i/>
          <w:iCs/>
        </w:rPr>
        <w:t xml:space="preserve">National Health Act 1953 </w:t>
      </w:r>
      <w:r w:rsidRPr="00396819">
        <w:t>(</w:t>
      </w:r>
      <w:r w:rsidRPr="00EE276B">
        <w:rPr>
          <w:b/>
          <w:bCs/>
        </w:rPr>
        <w:t>the Act</w:t>
      </w:r>
      <w:r w:rsidRPr="00396819">
        <w:t>) provides that a function of the Pharmaceutical Benefits Remuneration Tribunal (</w:t>
      </w:r>
      <w:r w:rsidRPr="00845A90">
        <w:rPr>
          <w:b/>
          <w:bCs/>
        </w:rPr>
        <w:t>the Tribunal</w:t>
      </w:r>
      <w:r w:rsidRPr="00396819">
        <w:t xml:space="preserve">) is </w:t>
      </w:r>
      <w:r w:rsidRPr="00845A90">
        <w:rPr>
          <w:i/>
          <w:iCs/>
        </w:rPr>
        <w:t xml:space="preserve">to determine the manner in which the Commonwealth price </w:t>
      </w:r>
      <w:r w:rsidR="0091222B" w:rsidRPr="00845A90">
        <w:rPr>
          <w:i/>
          <w:iCs/>
        </w:rPr>
        <w:t xml:space="preserve">for particular quantities or numbers of units </w:t>
      </w:r>
      <w:r w:rsidR="00845A90" w:rsidRPr="00845A90">
        <w:rPr>
          <w:i/>
          <w:iCs/>
        </w:rPr>
        <w:t>of all or any</w:t>
      </w:r>
      <w:r w:rsidR="0091222B" w:rsidRPr="00845A90">
        <w:rPr>
          <w:i/>
          <w:iCs/>
        </w:rPr>
        <w:t xml:space="preserve"> pharmaceutical benefits </w:t>
      </w:r>
      <w:r w:rsidRPr="00845A90">
        <w:rPr>
          <w:i/>
          <w:iCs/>
        </w:rPr>
        <w:t xml:space="preserve">is to be worked out, for the purpose of payments to approved pharmacists </w:t>
      </w:r>
      <w:r w:rsidR="0091222B" w:rsidRPr="00845A90">
        <w:rPr>
          <w:i/>
          <w:iCs/>
        </w:rPr>
        <w:t xml:space="preserve">in respect </w:t>
      </w:r>
      <w:r w:rsidR="00845A90" w:rsidRPr="00845A90">
        <w:rPr>
          <w:i/>
          <w:iCs/>
        </w:rPr>
        <w:t>to</w:t>
      </w:r>
      <w:r w:rsidR="0091222B" w:rsidRPr="00845A90">
        <w:rPr>
          <w:i/>
          <w:iCs/>
        </w:rPr>
        <w:t xml:space="preserve"> the </w:t>
      </w:r>
      <w:r w:rsidRPr="00845A90">
        <w:rPr>
          <w:i/>
          <w:iCs/>
        </w:rPr>
        <w:t xml:space="preserve">supply </w:t>
      </w:r>
      <w:r w:rsidR="00845A90" w:rsidRPr="00845A90">
        <w:rPr>
          <w:i/>
          <w:iCs/>
        </w:rPr>
        <w:t xml:space="preserve">by them </w:t>
      </w:r>
      <w:r w:rsidRPr="00845A90">
        <w:rPr>
          <w:i/>
          <w:iCs/>
        </w:rPr>
        <w:t>of pharmaceutical benefits</w:t>
      </w:r>
      <w:r w:rsidR="00134438">
        <w:t xml:space="preserve"> (</w:t>
      </w:r>
      <w:r w:rsidR="00134438" w:rsidRPr="00845A90">
        <w:rPr>
          <w:b/>
          <w:bCs/>
        </w:rPr>
        <w:t>Commonwealth Price Calculation</w:t>
      </w:r>
      <w:r w:rsidR="00134438">
        <w:t>)</w:t>
      </w:r>
      <w:r w:rsidRPr="00396819">
        <w:t>.</w:t>
      </w:r>
    </w:p>
    <w:p w14:paraId="28C9AAC5" w14:textId="53537722" w:rsidR="00FD0D95" w:rsidRPr="00396819" w:rsidRDefault="007E5890" w:rsidP="008A33F7">
      <w:pPr>
        <w:pStyle w:val="legalRecital1"/>
      </w:pPr>
      <w:r w:rsidRPr="00396819">
        <w:t>Subs</w:t>
      </w:r>
      <w:r w:rsidR="00FD0D95" w:rsidRPr="004578A8">
        <w:t>ection 98</w:t>
      </w:r>
      <w:proofErr w:type="gramStart"/>
      <w:r w:rsidR="00FD0D95" w:rsidRPr="004578A8">
        <w:t>BAA</w:t>
      </w:r>
      <w:r w:rsidRPr="00396819">
        <w:t>(</w:t>
      </w:r>
      <w:proofErr w:type="gramEnd"/>
      <w:r w:rsidRPr="00396819">
        <w:t>1)</w:t>
      </w:r>
      <w:r w:rsidR="00FD0D95" w:rsidRPr="004578A8">
        <w:t xml:space="preserve"> of </w:t>
      </w:r>
      <w:r w:rsidR="00FD0D95" w:rsidRPr="00134438">
        <w:t xml:space="preserve">the </w:t>
      </w:r>
      <w:r w:rsidR="00DB551A" w:rsidRPr="00134438">
        <w:t>Act</w:t>
      </w:r>
      <w:r w:rsidR="00FD0D95" w:rsidRPr="008A33F7">
        <w:t xml:space="preserve"> </w:t>
      </w:r>
      <w:r w:rsidR="00FD0D95" w:rsidRPr="00AA0CC6">
        <w:t>requires</w:t>
      </w:r>
      <w:r w:rsidR="00FD0D95" w:rsidRPr="004578A8">
        <w:t xml:space="preserve"> that</w:t>
      </w:r>
      <w:r w:rsidR="00834CD7">
        <w:t>,</w:t>
      </w:r>
      <w:r w:rsidR="00134438">
        <w:t xml:space="preserve"> in </w:t>
      </w:r>
      <w:proofErr w:type="gramStart"/>
      <w:r w:rsidR="00134438">
        <w:t>making a determination</w:t>
      </w:r>
      <w:proofErr w:type="gramEnd"/>
      <w:r w:rsidR="00134438">
        <w:t xml:space="preserve"> under paragraph</w:t>
      </w:r>
      <w:r w:rsidR="00845A90">
        <w:t> </w:t>
      </w:r>
      <w:r w:rsidR="00134438">
        <w:t xml:space="preserve">98B(1)(a) of </w:t>
      </w:r>
      <w:r w:rsidR="00134438" w:rsidRPr="00134438">
        <w:t>the Act</w:t>
      </w:r>
      <w:r w:rsidR="00134438">
        <w:t>,</w:t>
      </w:r>
      <w:r w:rsidR="00FD0D95" w:rsidRPr="004578A8">
        <w:t xml:space="preserve"> the </w:t>
      </w:r>
      <w:r w:rsidR="00641151" w:rsidRPr="00396819">
        <w:t>Tribunal</w:t>
      </w:r>
      <w:r w:rsidR="00FD0D95" w:rsidRPr="004578A8">
        <w:t xml:space="preserve"> must give effect to any agreement </w:t>
      </w:r>
      <w:r w:rsidR="00134438">
        <w:t xml:space="preserve">then in effect </w:t>
      </w:r>
      <w:r w:rsidR="00FD0D95" w:rsidRPr="004578A8">
        <w:t>between the Commonwealth and</w:t>
      </w:r>
      <w:r w:rsidR="00134438">
        <w:t xml:space="preserve"> the</w:t>
      </w:r>
      <w:r w:rsidR="00FD0D95" w:rsidRPr="004578A8">
        <w:t xml:space="preserve"> </w:t>
      </w:r>
      <w:r w:rsidRPr="00396819">
        <w:t>Pharmacy Guild of Australia (</w:t>
      </w:r>
      <w:r w:rsidRPr="00DB68F4">
        <w:rPr>
          <w:b/>
          <w:bCs/>
        </w:rPr>
        <w:t>Guild</w:t>
      </w:r>
      <w:r w:rsidRPr="00396819">
        <w:t>)</w:t>
      </w:r>
      <w:r w:rsidR="00FD0D95" w:rsidRPr="004578A8">
        <w:t xml:space="preserve"> in relation to the Commonwealth </w:t>
      </w:r>
      <w:r w:rsidR="00134438">
        <w:t>P</w:t>
      </w:r>
      <w:r w:rsidR="00FD0D95" w:rsidRPr="004578A8">
        <w:t>rice</w:t>
      </w:r>
      <w:r w:rsidRPr="00396819">
        <w:t xml:space="preserve"> </w:t>
      </w:r>
      <w:r w:rsidR="00134438">
        <w:t>Calculation</w:t>
      </w:r>
      <w:r w:rsidR="00FD0D95" w:rsidRPr="00396819">
        <w:t xml:space="preserve">. </w:t>
      </w:r>
    </w:p>
    <w:p w14:paraId="39A60127" w14:textId="0E0BD078" w:rsidR="00641151" w:rsidRPr="006C2616" w:rsidRDefault="00641151" w:rsidP="00A1289C">
      <w:r w:rsidRPr="006C2616">
        <w:t xml:space="preserve">Eighth Community Pharmacy Agreement </w:t>
      </w:r>
    </w:p>
    <w:p w14:paraId="674A6D5E" w14:textId="557DDADA" w:rsidR="00E67E05" w:rsidRDefault="00B73379" w:rsidP="008A33F7">
      <w:pPr>
        <w:pStyle w:val="legalRecital1"/>
      </w:pPr>
      <w:r w:rsidRPr="00396819">
        <w:t>The Eighth Community Pharmacy Agreement between the Commonwealth and the Guild</w:t>
      </w:r>
      <w:r w:rsidR="00124E33">
        <w:t xml:space="preserve"> </w:t>
      </w:r>
      <w:r w:rsidR="00EE276B" w:rsidRPr="00396819">
        <w:t>(</w:t>
      </w:r>
      <w:r w:rsidR="00EE276B" w:rsidRPr="006C2616">
        <w:rPr>
          <w:b/>
          <w:bCs/>
        </w:rPr>
        <w:t>8CPA</w:t>
      </w:r>
      <w:r w:rsidR="00EE276B" w:rsidRPr="00396819">
        <w:t>)</w:t>
      </w:r>
      <w:r w:rsidR="00EE276B">
        <w:t xml:space="preserve"> </w:t>
      </w:r>
      <w:r w:rsidRPr="00396819">
        <w:t>commenced on 1 July 2024</w:t>
      </w:r>
      <w:r w:rsidR="00124E33">
        <w:t>.</w:t>
      </w:r>
      <w:r w:rsidRPr="00396819">
        <w:t xml:space="preserve"> </w:t>
      </w:r>
      <w:r w:rsidR="00124E33">
        <w:t>It contains the current Commonwealth Price Calculation contemplated by paragraph 98B(1)(a) of the Act, and</w:t>
      </w:r>
      <w:r w:rsidR="00124E33" w:rsidRPr="00396819">
        <w:t xml:space="preserve"> </w:t>
      </w:r>
      <w:r w:rsidR="00160E62">
        <w:t xml:space="preserve">is scheduled to expire on </w:t>
      </w:r>
      <w:r w:rsidRPr="00396819">
        <w:t>30</w:t>
      </w:r>
      <w:r w:rsidR="00641151" w:rsidRPr="00396819">
        <w:t> </w:t>
      </w:r>
      <w:r w:rsidR="00832348" w:rsidRPr="00396819">
        <w:t>June</w:t>
      </w:r>
      <w:r w:rsidR="00832348">
        <w:t> </w:t>
      </w:r>
      <w:r w:rsidRPr="00396819">
        <w:t>2029</w:t>
      </w:r>
      <w:r w:rsidR="00124E33">
        <w:t xml:space="preserve">. </w:t>
      </w:r>
    </w:p>
    <w:p w14:paraId="49F544A1" w14:textId="681D7A35" w:rsidR="004578A8" w:rsidRPr="00396819" w:rsidRDefault="00124E33" w:rsidP="008A33F7">
      <w:pPr>
        <w:pStyle w:val="legalRecital1"/>
      </w:pPr>
      <w:r>
        <w:t>T</w:t>
      </w:r>
      <w:r w:rsidR="00B73379" w:rsidRPr="00396819">
        <w:t xml:space="preserve">he Tribunal </w:t>
      </w:r>
      <w:r>
        <w:t xml:space="preserve">gave </w:t>
      </w:r>
      <w:r w:rsidR="00B73379" w:rsidRPr="00396819">
        <w:t>effect</w:t>
      </w:r>
      <w:r>
        <w:t xml:space="preserve"> to the Commonwealth Price Calculation </w:t>
      </w:r>
      <w:r w:rsidR="00EE276B">
        <w:t xml:space="preserve">contained in the 8CPA </w:t>
      </w:r>
      <w:r w:rsidR="00E67E05">
        <w:t>(</w:t>
      </w:r>
      <w:r>
        <w:t>in accordance with subsection 98BAA(1) of the Act</w:t>
      </w:r>
      <w:r w:rsidR="00E67E05">
        <w:t>)</w:t>
      </w:r>
      <w:r>
        <w:t xml:space="preserve"> by </w:t>
      </w:r>
      <w:r w:rsidR="006C2616">
        <w:t xml:space="preserve">making the </w:t>
      </w:r>
      <w:r w:rsidR="006C2616" w:rsidRPr="006C2616">
        <w:rPr>
          <w:i/>
          <w:iCs/>
        </w:rPr>
        <w:t>Commonwealth price (Pharmaceutical benefits supplied by approved pharmacists) Amendment Determination 202</w:t>
      </w:r>
      <w:r w:rsidR="00CB4317">
        <w:rPr>
          <w:i/>
          <w:iCs/>
        </w:rPr>
        <w:t xml:space="preserve">4 </w:t>
      </w:r>
      <w:r w:rsidR="00CB4317" w:rsidRPr="0066790A">
        <w:t>and</w:t>
      </w:r>
      <w:r w:rsidR="00CB4317">
        <w:rPr>
          <w:i/>
          <w:iCs/>
        </w:rPr>
        <w:t xml:space="preserve"> </w:t>
      </w:r>
      <w:r w:rsidR="00CB4317" w:rsidRPr="006C2616">
        <w:rPr>
          <w:i/>
          <w:iCs/>
        </w:rPr>
        <w:t>Commonwealth price (Pharmaceutical benefits supplied by approved pharmacists) Amendment Determination 202</w:t>
      </w:r>
      <w:r w:rsidR="00CB4317">
        <w:rPr>
          <w:i/>
          <w:iCs/>
        </w:rPr>
        <w:t>5</w:t>
      </w:r>
      <w:r w:rsidR="00834CD7">
        <w:t xml:space="preserve">, which </w:t>
      </w:r>
      <w:r w:rsidR="006C2616">
        <w:t>var</w:t>
      </w:r>
      <w:r w:rsidR="00834CD7">
        <w:t>ied</w:t>
      </w:r>
      <w:r>
        <w:t xml:space="preserve"> the </w:t>
      </w:r>
      <w:bookmarkStart w:id="3" w:name="_Hlk221023605"/>
      <w:r w:rsidRPr="004E5D2A">
        <w:rPr>
          <w:i/>
          <w:iCs/>
        </w:rPr>
        <w:t>Commonwealth price (Pharmaceutical benefits supplied by approved pharmacists) Determination 2020</w:t>
      </w:r>
      <w:bookmarkEnd w:id="3"/>
      <w:r w:rsidR="00E67E05">
        <w:rPr>
          <w:i/>
          <w:iCs/>
        </w:rPr>
        <w:t xml:space="preserve"> </w:t>
      </w:r>
      <w:r w:rsidR="00310C0A">
        <w:t>(</w:t>
      </w:r>
      <w:r w:rsidR="00310C0A" w:rsidRPr="006C2616">
        <w:rPr>
          <w:b/>
          <w:bCs/>
        </w:rPr>
        <w:t>Determination</w:t>
      </w:r>
      <w:r w:rsidR="00310C0A">
        <w:t>)</w:t>
      </w:r>
      <w:r w:rsidR="00160E62">
        <w:t>,</w:t>
      </w:r>
      <w:r w:rsidR="00310C0A">
        <w:t xml:space="preserve"> </w:t>
      </w:r>
      <w:r w:rsidR="00E67E05">
        <w:t xml:space="preserve">with </w:t>
      </w:r>
      <w:r w:rsidR="00160E62">
        <w:t>the</w:t>
      </w:r>
      <w:r w:rsidR="00A83D34">
        <w:t>se</w:t>
      </w:r>
      <w:r w:rsidR="00160E62">
        <w:t xml:space="preserve"> amendments taking </w:t>
      </w:r>
      <w:r w:rsidR="00E67E05">
        <w:t xml:space="preserve">effect from </w:t>
      </w:r>
      <w:r w:rsidR="00832348">
        <w:t>1 July </w:t>
      </w:r>
      <w:r w:rsidR="00E67E05">
        <w:t>202</w:t>
      </w:r>
      <w:r w:rsidR="00CB4317">
        <w:t xml:space="preserve">4 and </w:t>
      </w:r>
      <w:r w:rsidR="00832348">
        <w:t>1 July </w:t>
      </w:r>
      <w:r w:rsidR="00CB4317">
        <w:t>2025, respectively</w:t>
      </w:r>
      <w:r w:rsidR="00B73379" w:rsidRPr="00396819">
        <w:t>.</w:t>
      </w:r>
    </w:p>
    <w:p w14:paraId="6397FCD4" w14:textId="511B4F8E" w:rsidR="00641151" w:rsidRPr="006C2616" w:rsidRDefault="00641151" w:rsidP="00A1289C">
      <w:r w:rsidRPr="006C2616">
        <w:t>First Pharmaceutical Wholesale</w:t>
      </w:r>
      <w:r w:rsidR="006C2616">
        <w:t>r</w:t>
      </w:r>
      <w:r w:rsidRPr="006C2616">
        <w:t xml:space="preserve"> Agreement </w:t>
      </w:r>
    </w:p>
    <w:p w14:paraId="752AE299" w14:textId="525F95C0" w:rsidR="00AA0CC6" w:rsidRDefault="00DB551A" w:rsidP="008A33F7">
      <w:pPr>
        <w:pStyle w:val="legalRecital1"/>
      </w:pPr>
      <w:r w:rsidRPr="00396819">
        <w:t xml:space="preserve">The First Pharmaceutical Wholesaler Agreement between the Commonwealth and </w:t>
      </w:r>
      <w:r w:rsidR="001C0241">
        <w:t xml:space="preserve">the </w:t>
      </w:r>
      <w:r w:rsidRPr="00396819">
        <w:t>National Pharmaceutical</w:t>
      </w:r>
      <w:r w:rsidR="00160E62">
        <w:t xml:space="preserve"> Services Association Limited</w:t>
      </w:r>
      <w:r w:rsidR="00AA0CC6">
        <w:t xml:space="preserve"> </w:t>
      </w:r>
      <w:r w:rsidR="00EE276B" w:rsidRPr="00396819">
        <w:t>(</w:t>
      </w:r>
      <w:r w:rsidR="00EE276B" w:rsidRPr="006C2616">
        <w:rPr>
          <w:b/>
          <w:bCs/>
        </w:rPr>
        <w:t>1PWA</w:t>
      </w:r>
      <w:r w:rsidR="00EE276B" w:rsidRPr="00396819">
        <w:t xml:space="preserve">) </w:t>
      </w:r>
      <w:r w:rsidRPr="00396819">
        <w:t xml:space="preserve">commenced on </w:t>
      </w:r>
      <w:r w:rsidR="009C3FF0">
        <w:t>19 </w:t>
      </w:r>
      <w:r w:rsidR="00832348">
        <w:t>December </w:t>
      </w:r>
      <w:r w:rsidR="009C3FF0">
        <w:t>2024</w:t>
      </w:r>
      <w:r w:rsidRPr="00396819">
        <w:t xml:space="preserve"> and </w:t>
      </w:r>
      <w:r w:rsidR="00160E62">
        <w:t xml:space="preserve">is scheduled to </w:t>
      </w:r>
      <w:r w:rsidR="007E5890" w:rsidRPr="00396819">
        <w:t>expire on 31</w:t>
      </w:r>
      <w:r w:rsidR="006C2616">
        <w:t> </w:t>
      </w:r>
      <w:r w:rsidR="00832348" w:rsidRPr="00396819">
        <w:t>December</w:t>
      </w:r>
      <w:r w:rsidR="00832348">
        <w:t> </w:t>
      </w:r>
      <w:r w:rsidR="007E5890" w:rsidRPr="00396819">
        <w:t>2029</w:t>
      </w:r>
      <w:r w:rsidR="00AA0CC6">
        <w:t xml:space="preserve">. It </w:t>
      </w:r>
      <w:r w:rsidR="007E5890" w:rsidRPr="00396819">
        <w:t xml:space="preserve">sets out changes to the Wholesale Mark-Up </w:t>
      </w:r>
      <w:r w:rsidR="005C2CBF" w:rsidRPr="00396819">
        <w:t>(</w:t>
      </w:r>
      <w:r w:rsidR="005C2CBF" w:rsidRPr="006C2616">
        <w:rPr>
          <w:b/>
          <w:bCs/>
        </w:rPr>
        <w:t>WMU</w:t>
      </w:r>
      <w:r w:rsidR="005C2CBF" w:rsidRPr="00396819">
        <w:t xml:space="preserve">) </w:t>
      </w:r>
      <w:r w:rsidR="007E5890" w:rsidRPr="00396819">
        <w:t xml:space="preserve">component of the </w:t>
      </w:r>
      <w:r w:rsidR="00AA0CC6">
        <w:t xml:space="preserve">Commonwealth Price Calculation, including </w:t>
      </w:r>
      <w:r w:rsidR="00834CD7">
        <w:t xml:space="preserve">the introduction of </w:t>
      </w:r>
      <w:r w:rsidR="005C2CBF" w:rsidRPr="00396819">
        <w:t xml:space="preserve">a </w:t>
      </w:r>
      <w:r w:rsidR="008A5A41">
        <w:t>four-tier</w:t>
      </w:r>
      <w:r w:rsidR="005C2CBF" w:rsidRPr="00396819">
        <w:t xml:space="preserve"> structure </w:t>
      </w:r>
      <w:r w:rsidR="00160E62">
        <w:t xml:space="preserve">for the WMU </w:t>
      </w:r>
      <w:r w:rsidR="00EE276B">
        <w:t xml:space="preserve">to apply </w:t>
      </w:r>
      <w:r w:rsidR="007E5890" w:rsidRPr="00396819">
        <w:t xml:space="preserve">from </w:t>
      </w:r>
      <w:r w:rsidR="00832348" w:rsidRPr="00396819">
        <w:t>1</w:t>
      </w:r>
      <w:r w:rsidR="00832348">
        <w:t> </w:t>
      </w:r>
      <w:r w:rsidR="00832348" w:rsidRPr="00396819">
        <w:t>July</w:t>
      </w:r>
      <w:r w:rsidR="00832348">
        <w:t> </w:t>
      </w:r>
      <w:r w:rsidR="007E5890" w:rsidRPr="00396819">
        <w:t>2026.</w:t>
      </w:r>
      <w:r w:rsidR="00AA0CC6">
        <w:t xml:space="preserve"> </w:t>
      </w:r>
    </w:p>
    <w:p w14:paraId="3C1E5F8E" w14:textId="48A5CA41" w:rsidR="00641151" w:rsidRPr="00396819" w:rsidRDefault="00641151" w:rsidP="00A1289C">
      <w:r w:rsidRPr="006C2616">
        <w:t>Impact on Commonwealth Price</w:t>
      </w:r>
      <w:r w:rsidR="006C2616">
        <w:t xml:space="preserve"> and </w:t>
      </w:r>
      <w:r w:rsidR="006C2616" w:rsidRPr="006C2616" w:rsidDel="00310C0A">
        <w:t>Addendum to the Eighth Community Pharmacy Agreement</w:t>
      </w:r>
    </w:p>
    <w:p w14:paraId="01E0A1FE" w14:textId="291ABD70" w:rsidR="006C2616" w:rsidRDefault="006C2616" w:rsidP="008A33F7">
      <w:pPr>
        <w:pStyle w:val="legalRecital1"/>
      </w:pPr>
      <w:r>
        <w:t xml:space="preserve">The introduction of changes to the WMU </w:t>
      </w:r>
      <w:r w:rsidR="00B33714">
        <w:t xml:space="preserve">has been </w:t>
      </w:r>
      <w:r>
        <w:t xml:space="preserve">estimated </w:t>
      </w:r>
      <w:r w:rsidR="00834CD7">
        <w:t xml:space="preserve">by the Commonwealth </w:t>
      </w:r>
      <w:r>
        <w:t xml:space="preserve">to result in a reduction of </w:t>
      </w:r>
      <w:r w:rsidR="00B33714" w:rsidRPr="00DD7972">
        <w:t>$10</w:t>
      </w:r>
      <w:r w:rsidR="005E2A2E" w:rsidRPr="00DD7972">
        <w:t>,947,269</w:t>
      </w:r>
      <w:r>
        <w:t xml:space="preserve"> to the remuneration that would be paid to </w:t>
      </w:r>
      <w:r w:rsidR="00A952A8">
        <w:t xml:space="preserve">Approved </w:t>
      </w:r>
      <w:r w:rsidR="0052532D">
        <w:t xml:space="preserve">Pharmacists </w:t>
      </w:r>
      <w:r>
        <w:t xml:space="preserve">pursuant to the 8CPA, compared to what would </w:t>
      </w:r>
      <w:r w:rsidR="00834CD7">
        <w:t xml:space="preserve">have </w:t>
      </w:r>
      <w:r>
        <w:t>be</w:t>
      </w:r>
      <w:r w:rsidR="00834CD7">
        <w:t>en</w:t>
      </w:r>
      <w:r>
        <w:t xml:space="preserve"> paid if the changes were not introduced. To offset this impact to the remuneration of </w:t>
      </w:r>
      <w:r w:rsidR="0052532D">
        <w:t>Approved Pharmacists</w:t>
      </w:r>
      <w:r>
        <w:t xml:space="preserve">, in accordance with the 8CPA, the </w:t>
      </w:r>
      <w:r w:rsidR="005E2A2E">
        <w:t>Commo</w:t>
      </w:r>
      <w:r w:rsidR="00B7515A">
        <w:t>n</w:t>
      </w:r>
      <w:r w:rsidR="005E2A2E">
        <w:t xml:space="preserve">wealth and the </w:t>
      </w:r>
      <w:r w:rsidR="00B7515A">
        <w:t>Guild (</w:t>
      </w:r>
      <w:r w:rsidR="00834CD7" w:rsidRPr="00B7515A">
        <w:rPr>
          <w:b/>
          <w:bCs/>
        </w:rPr>
        <w:t>Parties</w:t>
      </w:r>
      <w:r w:rsidR="00B7515A">
        <w:t>)</w:t>
      </w:r>
      <w:r w:rsidR="00834CD7">
        <w:t xml:space="preserve"> </w:t>
      </w:r>
      <w:r>
        <w:t xml:space="preserve">have agreed to adjust the Tier </w:t>
      </w:r>
      <w:r w:rsidR="001062EA">
        <w:t xml:space="preserve">One </w:t>
      </w:r>
      <w:r>
        <w:t xml:space="preserve">AHI Fee and </w:t>
      </w:r>
      <w:r w:rsidR="00834CD7">
        <w:t xml:space="preserve">the </w:t>
      </w:r>
      <w:r w:rsidRPr="00641151">
        <w:t xml:space="preserve">Additional Community Supply Support </w:t>
      </w:r>
      <w:r w:rsidR="00834CD7">
        <w:t>(</w:t>
      </w:r>
      <w:r w:rsidR="00834CD7" w:rsidRPr="00834CD7">
        <w:rPr>
          <w:b/>
          <w:bCs/>
        </w:rPr>
        <w:t>ACSS</w:t>
      </w:r>
      <w:r w:rsidR="00834CD7">
        <w:t>) P</w:t>
      </w:r>
      <w:r w:rsidRPr="00641151">
        <w:t>ayments</w:t>
      </w:r>
      <w:r>
        <w:t xml:space="preserve"> from </w:t>
      </w:r>
      <w:r w:rsidR="004F5049">
        <w:t>1 July </w:t>
      </w:r>
      <w:r>
        <w:t xml:space="preserve">2026. </w:t>
      </w:r>
    </w:p>
    <w:p w14:paraId="5C659D95" w14:textId="15A26320" w:rsidR="00310C0A" w:rsidRDefault="00310C0A" w:rsidP="008A33F7">
      <w:pPr>
        <w:pStyle w:val="legalRecital1"/>
      </w:pPr>
      <w:r>
        <w:t xml:space="preserve">The Act does not contemplate the 1PWA. Accordingly, unless an agreement is entered </w:t>
      </w:r>
      <w:r w:rsidR="006C2616">
        <w:t xml:space="preserve">into </w:t>
      </w:r>
      <w:r>
        <w:t xml:space="preserve">between the </w:t>
      </w:r>
      <w:r w:rsidR="00834CD7">
        <w:t>Parties</w:t>
      </w:r>
      <w:r>
        <w:t xml:space="preserve"> which gives effect to the WMU changes set out in the 1PWA, the Tribunal will not be </w:t>
      </w:r>
      <w:r w:rsidR="002B4785">
        <w:t xml:space="preserve">either </w:t>
      </w:r>
      <w:r>
        <w:t xml:space="preserve">required </w:t>
      </w:r>
      <w:r w:rsidR="002B4785">
        <w:t xml:space="preserve">or authorised </w:t>
      </w:r>
      <w:r>
        <w:t xml:space="preserve">under the Act to </w:t>
      </w:r>
      <w:r w:rsidR="00834CD7">
        <w:t xml:space="preserve">further </w:t>
      </w:r>
      <w:r>
        <w:t xml:space="preserve">amend the Determination to give effect to the changes set out in the 1PWA. </w:t>
      </w:r>
    </w:p>
    <w:p w14:paraId="2E18F799" w14:textId="37525DDB" w:rsidR="007E5890" w:rsidRPr="00396819" w:rsidRDefault="00310C0A" w:rsidP="008A33F7">
      <w:pPr>
        <w:pStyle w:val="legalRecital1"/>
      </w:pPr>
      <w:r>
        <w:t>T</w:t>
      </w:r>
      <w:r w:rsidR="005C2CBF" w:rsidRPr="00396819">
        <w:t>o date</w:t>
      </w:r>
      <w:r>
        <w:t>, there has</w:t>
      </w:r>
      <w:r w:rsidR="005C2CBF" w:rsidRPr="00396819">
        <w:t xml:space="preserve"> </w:t>
      </w:r>
      <w:r w:rsidR="000669E2" w:rsidRPr="00396819">
        <w:t xml:space="preserve">been no formal </w:t>
      </w:r>
      <w:r w:rsidR="005C2CBF" w:rsidRPr="00396819">
        <w:t>agreement</w:t>
      </w:r>
      <w:r w:rsidR="00696D70" w:rsidRPr="00396819">
        <w:t xml:space="preserve"> </w:t>
      </w:r>
      <w:r w:rsidR="005C2CBF" w:rsidRPr="00396819">
        <w:t xml:space="preserve">made </w:t>
      </w:r>
      <w:r w:rsidR="00696D70" w:rsidRPr="00396819">
        <w:t xml:space="preserve">between the </w:t>
      </w:r>
      <w:r w:rsidR="00834CD7">
        <w:t>Parties</w:t>
      </w:r>
      <w:r w:rsidR="00696D70" w:rsidRPr="00396819">
        <w:t xml:space="preserve"> </w:t>
      </w:r>
      <w:r w:rsidR="005C2CBF" w:rsidRPr="00396819">
        <w:t xml:space="preserve">to recognise the WMU </w:t>
      </w:r>
      <w:r>
        <w:t>changes set out in the 1PWA</w:t>
      </w:r>
      <w:r w:rsidR="005C2CBF" w:rsidRPr="00396819">
        <w:t>.</w:t>
      </w:r>
      <w:r w:rsidR="00696D70" w:rsidRPr="00396819">
        <w:t xml:space="preserve"> </w:t>
      </w:r>
    </w:p>
    <w:p w14:paraId="3446293E" w14:textId="463738E0" w:rsidR="00F0180D" w:rsidRDefault="00B6787B" w:rsidP="008A33F7">
      <w:pPr>
        <w:pStyle w:val="legalRecital1"/>
      </w:pPr>
      <w:r>
        <w:t>By this Addendum to the 8CPA</w:t>
      </w:r>
      <w:r w:rsidR="005C2CBF">
        <w:t xml:space="preserve">, </w:t>
      </w:r>
      <w:r w:rsidR="00E911BA">
        <w:t xml:space="preserve">the </w:t>
      </w:r>
      <w:r w:rsidR="0003387A">
        <w:t xml:space="preserve">Parties </w:t>
      </w:r>
      <w:r w:rsidR="005C2CBF">
        <w:t>formally agree</w:t>
      </w:r>
      <w:r w:rsidR="00F0180D">
        <w:t>,</w:t>
      </w:r>
      <w:r w:rsidR="005C2CBF">
        <w:t xml:space="preserve"> for the purposes of subsection 98BAA(1) of the Act</w:t>
      </w:r>
      <w:r w:rsidR="00F0180D">
        <w:t>,</w:t>
      </w:r>
      <w:r w:rsidR="005C2CBF">
        <w:t xml:space="preserve"> </w:t>
      </w:r>
      <w:r>
        <w:t>to amend the 8CPA to</w:t>
      </w:r>
      <w:r w:rsidR="00F0180D">
        <w:t>:</w:t>
      </w:r>
    </w:p>
    <w:p w14:paraId="294F25EC" w14:textId="59D84547" w:rsidR="00F0180D" w:rsidRDefault="00F0180D" w:rsidP="008A33F7">
      <w:pPr>
        <w:pStyle w:val="legalRecital1"/>
        <w:numPr>
          <w:ilvl w:val="1"/>
          <w:numId w:val="24"/>
        </w:numPr>
      </w:pPr>
      <w:r>
        <w:t xml:space="preserve">vary the method of calculating the WMU component of the Commonwealth </w:t>
      </w:r>
      <w:r w:rsidR="00DC3F2A">
        <w:t xml:space="preserve">Price </w:t>
      </w:r>
      <w:r>
        <w:t xml:space="preserve">paid to </w:t>
      </w:r>
      <w:r w:rsidR="00722D1F">
        <w:t>Approved Pharmacists</w:t>
      </w:r>
      <w:r w:rsidR="00EE276B">
        <w:t>, with effect</w:t>
      </w:r>
      <w:r>
        <w:t xml:space="preserve"> from 1</w:t>
      </w:r>
      <w:r w:rsidR="004F5049">
        <w:t> July </w:t>
      </w:r>
      <w:r>
        <w:t>2026</w:t>
      </w:r>
      <w:r w:rsidR="00B6787B">
        <w:t xml:space="preserve">, </w:t>
      </w:r>
      <w:proofErr w:type="gramStart"/>
      <w:r w:rsidR="00EE276B">
        <w:t xml:space="preserve">in order </w:t>
      </w:r>
      <w:r w:rsidR="00B6787B">
        <w:t>to</w:t>
      </w:r>
      <w:proofErr w:type="gramEnd"/>
      <w:r w:rsidR="00B6787B">
        <w:t xml:space="preserve"> reflect </w:t>
      </w:r>
      <w:r w:rsidR="007D5DC2">
        <w:t xml:space="preserve">the provisions contained </w:t>
      </w:r>
      <w:r w:rsidR="00B6787B">
        <w:t>in the 1PWA</w:t>
      </w:r>
      <w:r>
        <w:t>; and</w:t>
      </w:r>
    </w:p>
    <w:p w14:paraId="23EDD566" w14:textId="2B1FC09A" w:rsidR="00F0180D" w:rsidRDefault="00F0180D" w:rsidP="008A33F7">
      <w:pPr>
        <w:pStyle w:val="legalRecital1"/>
        <w:numPr>
          <w:ilvl w:val="1"/>
          <w:numId w:val="24"/>
        </w:numPr>
      </w:pPr>
      <w:r>
        <w:t xml:space="preserve">adjust </w:t>
      </w:r>
      <w:r w:rsidR="008361E8">
        <w:t>pharmacy dispensary remuneration</w:t>
      </w:r>
      <w:r>
        <w:t xml:space="preserve"> paid to </w:t>
      </w:r>
      <w:r w:rsidR="00722D1F">
        <w:t>Approved Pharmacist</w:t>
      </w:r>
      <w:r w:rsidR="00905754">
        <w:t>s</w:t>
      </w:r>
      <w:r w:rsidR="00EE276B">
        <w:t>, with effect</w:t>
      </w:r>
      <w:r>
        <w:t xml:space="preserve"> from 1</w:t>
      </w:r>
      <w:r w:rsidR="00644AE6">
        <w:t> </w:t>
      </w:r>
      <w:r w:rsidR="004F5049">
        <w:t>July </w:t>
      </w:r>
      <w:r>
        <w:t>2026</w:t>
      </w:r>
      <w:r w:rsidR="00EE276B">
        <w:t>,</w:t>
      </w:r>
      <w:r w:rsidR="00644AE6">
        <w:t xml:space="preserve"> </w:t>
      </w:r>
      <w:proofErr w:type="gramStart"/>
      <w:r w:rsidR="00EE276B">
        <w:t xml:space="preserve">in order </w:t>
      </w:r>
      <w:r w:rsidR="00644AE6">
        <w:t>to</w:t>
      </w:r>
      <w:proofErr w:type="gramEnd"/>
      <w:r w:rsidR="00644AE6">
        <w:t xml:space="preserve"> offset the impact of the WMU changes on the remuneration of </w:t>
      </w:r>
      <w:r w:rsidR="00905754">
        <w:t>Approved Pharmacists</w:t>
      </w:r>
      <w:r w:rsidR="00641151">
        <w:t xml:space="preserve">, </w:t>
      </w:r>
      <w:r w:rsidR="00160E62">
        <w:t>by</w:t>
      </w:r>
      <w:r>
        <w:t>:</w:t>
      </w:r>
    </w:p>
    <w:p w14:paraId="0E188CF8" w14:textId="2D437E52" w:rsidR="00641151" w:rsidRDefault="00B6787B" w:rsidP="008A33F7">
      <w:pPr>
        <w:pStyle w:val="legalRecital1"/>
        <w:numPr>
          <w:ilvl w:val="2"/>
          <w:numId w:val="24"/>
        </w:numPr>
      </w:pPr>
      <w:r>
        <w:t>introduc</w:t>
      </w:r>
      <w:r w:rsidR="00160E62">
        <w:t>ing</w:t>
      </w:r>
      <w:r>
        <w:t xml:space="preserve"> </w:t>
      </w:r>
      <w:r w:rsidR="00F0180D">
        <w:t xml:space="preserve">a </w:t>
      </w:r>
      <w:r w:rsidR="00EC1188">
        <w:t xml:space="preserve">non-indexed </w:t>
      </w:r>
      <w:r w:rsidR="00746B66">
        <w:t>one</w:t>
      </w:r>
      <w:r w:rsidR="00EC1188">
        <w:t xml:space="preserve"> </w:t>
      </w:r>
      <w:r w:rsidR="00F0180D">
        <w:t xml:space="preserve">cent increase to the Tier </w:t>
      </w:r>
      <w:r w:rsidR="001062EA">
        <w:t xml:space="preserve">One </w:t>
      </w:r>
      <w:r w:rsidR="00F0180D">
        <w:t xml:space="preserve">AHI fee </w:t>
      </w:r>
      <w:r w:rsidR="008361E8">
        <w:t xml:space="preserve">component of the Commonwealth </w:t>
      </w:r>
      <w:r w:rsidR="00AC296F">
        <w:t xml:space="preserve">Price </w:t>
      </w:r>
      <w:r w:rsidR="00F0180D">
        <w:t>from 1 July</w:t>
      </w:r>
      <w:r w:rsidR="00641151">
        <w:t> </w:t>
      </w:r>
      <w:r w:rsidR="00F0180D">
        <w:t>2026</w:t>
      </w:r>
      <w:r w:rsidR="00641151">
        <w:t>,</w:t>
      </w:r>
      <w:r w:rsidR="00F0180D">
        <w:t xml:space="preserve"> for the remainder of the </w:t>
      </w:r>
      <w:r w:rsidR="003F55AB">
        <w:t>term of the</w:t>
      </w:r>
      <w:r w:rsidR="00392A30">
        <w:t xml:space="preserve"> </w:t>
      </w:r>
      <w:r w:rsidR="00F0180D">
        <w:t>8CPA</w:t>
      </w:r>
      <w:r w:rsidR="00641151">
        <w:t xml:space="preserve">; and </w:t>
      </w:r>
    </w:p>
    <w:p w14:paraId="2C28AE0C" w14:textId="7725722C" w:rsidR="00641151" w:rsidRDefault="00644AE6" w:rsidP="008A33F7">
      <w:pPr>
        <w:pStyle w:val="legalRecital1"/>
        <w:numPr>
          <w:ilvl w:val="2"/>
          <w:numId w:val="24"/>
        </w:numPr>
      </w:pPr>
      <w:r>
        <w:t xml:space="preserve">adjusting </w:t>
      </w:r>
      <w:r w:rsidR="007D5DC2">
        <w:t xml:space="preserve">the </w:t>
      </w:r>
      <w:r w:rsidR="00641151" w:rsidRPr="00641151">
        <w:t xml:space="preserve">ACSS </w:t>
      </w:r>
      <w:r>
        <w:t>P</w:t>
      </w:r>
      <w:r w:rsidR="00641151" w:rsidRPr="00641151">
        <w:t>ayments</w:t>
      </w:r>
      <w:r w:rsidR="00641151">
        <w:t xml:space="preserve"> </w:t>
      </w:r>
      <w:r>
        <w:t xml:space="preserve">made </w:t>
      </w:r>
      <w:r w:rsidR="00641151">
        <w:t xml:space="preserve">to </w:t>
      </w:r>
      <w:r w:rsidR="00B3467C">
        <w:t>Approved Pharmacists</w:t>
      </w:r>
      <w:r w:rsidR="00641151">
        <w:t>.</w:t>
      </w:r>
    </w:p>
    <w:p w14:paraId="63E39485" w14:textId="133BD53E" w:rsidR="00396819" w:rsidRPr="00897877" w:rsidRDefault="00396819" w:rsidP="00897877">
      <w:pPr>
        <w:pStyle w:val="Heading1"/>
      </w:pPr>
      <w:bookmarkStart w:id="4" w:name="_Ref223335997"/>
      <w:r w:rsidRPr="00897877">
        <w:t>Operative Clauses</w:t>
      </w:r>
      <w:bookmarkEnd w:id="4"/>
      <w:r w:rsidRPr="00897877">
        <w:t xml:space="preserve"> </w:t>
      </w:r>
    </w:p>
    <w:p w14:paraId="53FAFBB4" w14:textId="3E9FC03E" w:rsidR="0045403B" w:rsidRDefault="0045403B" w:rsidP="00897877">
      <w:pPr>
        <w:pStyle w:val="Headingpara2"/>
      </w:pPr>
      <w:r>
        <w:t xml:space="preserve">The </w:t>
      </w:r>
      <w:r w:rsidR="00E911BA">
        <w:t xml:space="preserve">8CPA </w:t>
      </w:r>
      <w:r>
        <w:t>is amended</w:t>
      </w:r>
      <w:r w:rsidR="00EE276B">
        <w:t>,</w:t>
      </w:r>
      <w:r>
        <w:t xml:space="preserve"> with effect from </w:t>
      </w:r>
      <w:r w:rsidR="004F5049">
        <w:t>1 July </w:t>
      </w:r>
      <w:r>
        <w:t>2026</w:t>
      </w:r>
      <w:r w:rsidR="00EE276B">
        <w:t>,</w:t>
      </w:r>
      <w:r>
        <w:t xml:space="preserve"> as </w:t>
      </w:r>
      <w:r w:rsidR="00897877">
        <w:t xml:space="preserve">set out in this clause </w:t>
      </w:r>
      <w:r w:rsidR="006C402B">
        <w:t>1</w:t>
      </w:r>
      <w:r w:rsidR="00897877">
        <w:t>.</w:t>
      </w:r>
      <w:r w:rsidR="0003387A">
        <w:t xml:space="preserve"> Unless otherwise indicated, all other references to ‘clauses’, ‘sections’</w:t>
      </w:r>
      <w:r w:rsidR="00DC7375">
        <w:t>,</w:t>
      </w:r>
      <w:r w:rsidR="0003387A">
        <w:t xml:space="preserve"> ‘</w:t>
      </w:r>
      <w:r w:rsidR="00DC7375">
        <w:t>t</w:t>
      </w:r>
      <w:r w:rsidR="0003387A">
        <w:t xml:space="preserve">ables’ </w:t>
      </w:r>
      <w:r w:rsidR="00DC7375">
        <w:t xml:space="preserve">and ‘appendices’ </w:t>
      </w:r>
      <w:r w:rsidR="0003387A">
        <w:t>in this clause 1 are references to clauses, sections</w:t>
      </w:r>
      <w:r w:rsidR="00DC7375">
        <w:t>,</w:t>
      </w:r>
      <w:r w:rsidR="0003387A">
        <w:t xml:space="preserve"> tables </w:t>
      </w:r>
      <w:r w:rsidR="00DC7375">
        <w:t xml:space="preserve">and appendices </w:t>
      </w:r>
      <w:r w:rsidR="0003387A">
        <w:t xml:space="preserve">in the </w:t>
      </w:r>
      <w:r w:rsidR="00D438F2">
        <w:t>8CPA</w:t>
      </w:r>
      <w:r w:rsidR="0003387A">
        <w:t xml:space="preserve">. </w:t>
      </w:r>
    </w:p>
    <w:p w14:paraId="6EF2B9AB" w14:textId="0D3E0AB1" w:rsidR="006B6D87" w:rsidRDefault="006B6D87" w:rsidP="0048663D">
      <w:pPr>
        <w:pStyle w:val="Headingpara2"/>
      </w:pPr>
      <w:r>
        <w:t xml:space="preserve">Table 3 </w:t>
      </w:r>
      <w:r w:rsidR="00E911BA">
        <w:t xml:space="preserve">in </w:t>
      </w:r>
      <w:r>
        <w:t>clause 3.2.3</w:t>
      </w:r>
      <w:r w:rsidR="00160E62">
        <w:t>,</w:t>
      </w:r>
      <w:r>
        <w:t xml:space="preserve"> </w:t>
      </w:r>
      <w:r w:rsidR="00E65339">
        <w:t>and</w:t>
      </w:r>
      <w:r w:rsidR="00E911BA">
        <w:t xml:space="preserve"> the corresponding </w:t>
      </w:r>
      <w:r w:rsidR="00B91622">
        <w:t xml:space="preserve">footnotes </w:t>
      </w:r>
      <w:r w:rsidR="00E911BA">
        <w:t xml:space="preserve">4, </w:t>
      </w:r>
      <w:r w:rsidR="00056110">
        <w:t>5</w:t>
      </w:r>
      <w:r w:rsidR="00E911BA">
        <w:t xml:space="preserve"> and 6</w:t>
      </w:r>
      <w:r w:rsidR="00160E62">
        <w:t>,</w:t>
      </w:r>
      <w:r w:rsidR="00E911BA">
        <w:t xml:space="preserve"> are deleted and replaced </w:t>
      </w:r>
      <w:r w:rsidR="007D5DC2">
        <w:t>by</w:t>
      </w:r>
      <w:r>
        <w:t xml:space="preserve"> the following</w:t>
      </w:r>
      <w:r w:rsidR="00B91622">
        <w:t xml:space="preserve"> table and</w:t>
      </w:r>
      <w:r w:rsidR="00056110">
        <w:t xml:space="preserve"> corresponding</w:t>
      </w:r>
      <w:r w:rsidR="00B91622">
        <w:t xml:space="preserve"> footnotes</w:t>
      </w:r>
      <w:r>
        <w:t>:</w:t>
      </w:r>
    </w:p>
    <w:p w14:paraId="7BF3C514" w14:textId="77777777" w:rsidR="00E911BA" w:rsidRPr="0068430A" w:rsidRDefault="0045403B" w:rsidP="00A1289C">
      <w:pPr>
        <w:pStyle w:val="Caption"/>
      </w:pPr>
      <w:r w:rsidRPr="0045403B">
        <w:t xml:space="preserve">Table 3: </w:t>
      </w:r>
      <w:r w:rsidR="007F3CCD">
        <w:t>Components of the Commonwealth Price</w:t>
      </w:r>
      <w:r w:rsidR="00AC7300" w:rsidRPr="00AC7300">
        <w:rPr>
          <w:vertAlign w:val="superscript"/>
        </w:rPr>
        <w:t>4</w:t>
      </w:r>
    </w:p>
    <w:tbl>
      <w:tblPr>
        <w:tblW w:w="8080" w:type="dxa"/>
        <w:tblInd w:w="699" w:type="dxa"/>
        <w:tblLayout w:type="fixed"/>
        <w:tblCellMar>
          <w:left w:w="0" w:type="dxa"/>
          <w:right w:w="0" w:type="dxa"/>
        </w:tblCellMar>
        <w:tblLook w:val="04A0" w:firstRow="1" w:lastRow="0" w:firstColumn="1" w:lastColumn="0" w:noHBand="0" w:noVBand="1"/>
      </w:tblPr>
      <w:tblGrid>
        <w:gridCol w:w="2126"/>
        <w:gridCol w:w="784"/>
        <w:gridCol w:w="2335"/>
        <w:gridCol w:w="2835"/>
      </w:tblGrid>
      <w:tr w:rsidR="00E911BA" w:rsidRPr="0045403B" w14:paraId="3E9C6BFA" w14:textId="77777777" w:rsidTr="00A1289C">
        <w:trPr>
          <w:cantSplit/>
          <w:trHeight w:val="424"/>
          <w:tblHeader/>
        </w:trPr>
        <w:tc>
          <w:tcPr>
            <w:tcW w:w="2126"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tcPr>
          <w:p w14:paraId="3A7BF9CE" w14:textId="790B6D56" w:rsidR="00E911BA" w:rsidRPr="00E911BA" w:rsidRDefault="00E911BA" w:rsidP="00B51565">
            <w:pPr>
              <w:keepNext/>
              <w:keepLines/>
              <w:jc w:val="center"/>
              <w:rPr>
                <w:b/>
                <w:bCs/>
                <w:color w:val="F2F2F2" w:themeColor="background1" w:themeShade="F2"/>
              </w:rPr>
            </w:pPr>
            <w:r w:rsidRPr="00E911BA">
              <w:rPr>
                <w:b/>
                <w:bCs/>
                <w:color w:val="F2F2F2" w:themeColor="background1" w:themeShade="F2"/>
              </w:rPr>
              <w:t>Payment Type</w:t>
            </w:r>
          </w:p>
        </w:tc>
        <w:tc>
          <w:tcPr>
            <w:tcW w:w="5954" w:type="dxa"/>
            <w:gridSpan w:val="3"/>
            <w:tcBorders>
              <w:top w:val="single" w:sz="8" w:space="0" w:color="auto"/>
              <w:left w:val="nil"/>
              <w:bottom w:val="single" w:sz="8" w:space="0" w:color="auto"/>
              <w:right w:val="single" w:sz="8" w:space="0" w:color="auto"/>
            </w:tcBorders>
            <w:shd w:val="clear" w:color="auto" w:fill="0070C0"/>
            <w:vAlign w:val="center"/>
          </w:tcPr>
          <w:p w14:paraId="323BE3BC" w14:textId="53D30E0C" w:rsidR="00E911BA" w:rsidRPr="00E911BA" w:rsidRDefault="00E911BA" w:rsidP="00B51565">
            <w:pPr>
              <w:keepNext/>
              <w:keepLines/>
              <w:jc w:val="center"/>
              <w:rPr>
                <w:b/>
                <w:bCs/>
                <w:color w:val="F2F2F2" w:themeColor="background1" w:themeShade="F2"/>
              </w:rPr>
            </w:pPr>
            <w:r w:rsidRPr="00E911BA">
              <w:rPr>
                <w:b/>
                <w:bCs/>
                <w:color w:val="F2F2F2" w:themeColor="background1" w:themeShade="F2"/>
              </w:rPr>
              <w:t>Value of Payment</w:t>
            </w:r>
          </w:p>
        </w:tc>
      </w:tr>
      <w:tr w:rsidR="00E911BA" w:rsidRPr="0045403B" w14:paraId="55EBD35B" w14:textId="77777777" w:rsidTr="00C43049">
        <w:trPr>
          <w:cantSplit/>
          <w:trHeight w:val="571"/>
        </w:trPr>
        <w:tc>
          <w:tcPr>
            <w:tcW w:w="212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711385" w14:textId="3603B9F6" w:rsidR="00E911BA" w:rsidRPr="0045403B" w:rsidRDefault="00E911BA" w:rsidP="00E911BA">
            <w:r w:rsidRPr="0045403B">
              <w:t>Wholesale Mark-</w:t>
            </w:r>
            <w:r w:rsidR="00000167">
              <w:t>U</w:t>
            </w:r>
            <w:r w:rsidRPr="0045403B">
              <w:t>p</w:t>
            </w:r>
            <w:r w:rsidR="00000167">
              <w:t xml:space="preserve"> (</w:t>
            </w:r>
            <w:r w:rsidR="00000167" w:rsidRPr="00000167">
              <w:rPr>
                <w:b/>
                <w:bCs/>
              </w:rPr>
              <w:t>WMU</w:t>
            </w:r>
            <w:r w:rsidR="00000167">
              <w:t xml:space="preserve">) </w:t>
            </w:r>
            <w:r>
              <w:t>(</w:t>
            </w:r>
            <w:r w:rsidRPr="0045403B">
              <w:t xml:space="preserve">for </w:t>
            </w:r>
            <w:r>
              <w:t>Ready-Prepared Pharmaceutical Benefits)</w:t>
            </w:r>
            <w:r w:rsidR="00AC7300" w:rsidRPr="00AC7300">
              <w:rPr>
                <w:vertAlign w:val="superscript"/>
              </w:rPr>
              <w:t>5</w:t>
            </w:r>
          </w:p>
        </w:tc>
        <w:tc>
          <w:tcPr>
            <w:tcW w:w="3119" w:type="dxa"/>
            <w:gridSpan w:val="2"/>
            <w:tcBorders>
              <w:top w:val="single" w:sz="8" w:space="0" w:color="auto"/>
              <w:left w:val="nil"/>
              <w:bottom w:val="single" w:sz="8" w:space="0" w:color="auto"/>
              <w:right w:val="single" w:sz="8" w:space="0" w:color="auto"/>
            </w:tcBorders>
            <w:shd w:val="clear" w:color="auto" w:fill="FFFFFF" w:themeFill="background1"/>
            <w:vAlign w:val="center"/>
            <w:hideMark/>
          </w:tcPr>
          <w:p w14:paraId="75069946" w14:textId="77777777" w:rsidR="00E911BA" w:rsidRPr="0045403B" w:rsidRDefault="00E911BA" w:rsidP="00E911BA">
            <w:pPr>
              <w:ind w:left="147"/>
            </w:pPr>
            <w:r w:rsidRPr="0045403B">
              <w:t>When the Ex-Manufacturer Price is up to and including $5.50</w:t>
            </w:r>
            <w:r>
              <w:t>.</w:t>
            </w:r>
          </w:p>
        </w:tc>
        <w:tc>
          <w:tcPr>
            <w:tcW w:w="283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93308F8" w14:textId="77777777" w:rsidR="00E911BA" w:rsidRPr="0045403B" w:rsidRDefault="00E911BA" w:rsidP="00E911BA">
            <w:r w:rsidRPr="0045403B">
              <w:t>$0.24 per dispense</w:t>
            </w:r>
            <w:r>
              <w:t>.</w:t>
            </w:r>
            <w:r w:rsidRPr="0045403B">
              <w:t xml:space="preserve"> </w:t>
            </w:r>
          </w:p>
        </w:tc>
      </w:tr>
      <w:tr w:rsidR="00E911BA" w:rsidRPr="0045403B" w14:paraId="112924CB" w14:textId="77777777" w:rsidTr="00C43049">
        <w:trPr>
          <w:cantSplit/>
          <w:trHeight w:val="709"/>
        </w:trPr>
        <w:tc>
          <w:tcPr>
            <w:tcW w:w="2126" w:type="dxa"/>
            <w:vMerge/>
            <w:tcBorders>
              <w:top w:val="single" w:sz="8" w:space="0" w:color="auto"/>
              <w:left w:val="single" w:sz="8" w:space="0" w:color="auto"/>
              <w:bottom w:val="single" w:sz="8" w:space="0" w:color="auto"/>
              <w:right w:val="single" w:sz="8" w:space="0" w:color="auto"/>
            </w:tcBorders>
            <w:vAlign w:val="center"/>
            <w:hideMark/>
          </w:tcPr>
          <w:p w14:paraId="53182BEA" w14:textId="77777777" w:rsidR="00E911BA" w:rsidRPr="0045403B" w:rsidRDefault="00E911BA" w:rsidP="00E911BA"/>
        </w:tc>
        <w:tc>
          <w:tcPr>
            <w:tcW w:w="3119" w:type="dxa"/>
            <w:gridSpan w:val="2"/>
            <w:tcBorders>
              <w:top w:val="single" w:sz="8" w:space="0" w:color="auto"/>
              <w:left w:val="nil"/>
              <w:bottom w:val="single" w:sz="8" w:space="0" w:color="auto"/>
              <w:right w:val="single" w:sz="8" w:space="0" w:color="auto"/>
            </w:tcBorders>
            <w:shd w:val="clear" w:color="auto" w:fill="FFFFFF" w:themeFill="background1"/>
            <w:vAlign w:val="center"/>
            <w:hideMark/>
          </w:tcPr>
          <w:p w14:paraId="61599263" w14:textId="77777777" w:rsidR="00E911BA" w:rsidRPr="0045403B" w:rsidRDefault="00E911BA" w:rsidP="00E911BA">
            <w:pPr>
              <w:ind w:left="147"/>
            </w:pPr>
            <w:r w:rsidRPr="0045403B">
              <w:t>When the Ex-Manufacturer Price is over $5.50 and up to and including $1,000</w:t>
            </w:r>
            <w:r>
              <w:t>.</w:t>
            </w:r>
          </w:p>
        </w:tc>
        <w:tc>
          <w:tcPr>
            <w:tcW w:w="283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451CCC3" w14:textId="77777777" w:rsidR="00E911BA" w:rsidRPr="0045403B" w:rsidRDefault="00E911BA" w:rsidP="00E911BA">
            <w:r w:rsidRPr="0045403B">
              <w:t>4.3% of the Ex-Manufacturer Price per dispense</w:t>
            </w:r>
            <w:r>
              <w:t>.</w:t>
            </w:r>
          </w:p>
        </w:tc>
      </w:tr>
      <w:tr w:rsidR="00E911BA" w:rsidRPr="0045403B" w14:paraId="468F3FEA" w14:textId="77777777" w:rsidTr="00C43049">
        <w:trPr>
          <w:cantSplit/>
          <w:trHeight w:val="892"/>
        </w:trPr>
        <w:tc>
          <w:tcPr>
            <w:tcW w:w="2126" w:type="dxa"/>
            <w:vMerge/>
            <w:tcBorders>
              <w:top w:val="single" w:sz="8" w:space="0" w:color="auto"/>
              <w:left w:val="single" w:sz="8" w:space="0" w:color="auto"/>
              <w:bottom w:val="single" w:sz="8" w:space="0" w:color="auto"/>
              <w:right w:val="single" w:sz="8" w:space="0" w:color="auto"/>
            </w:tcBorders>
            <w:vAlign w:val="center"/>
            <w:hideMark/>
          </w:tcPr>
          <w:p w14:paraId="72752BF3" w14:textId="77777777" w:rsidR="00E911BA" w:rsidRPr="0045403B" w:rsidRDefault="00E911BA" w:rsidP="00E911BA"/>
        </w:tc>
        <w:tc>
          <w:tcPr>
            <w:tcW w:w="3119" w:type="dxa"/>
            <w:gridSpan w:val="2"/>
            <w:tcBorders>
              <w:top w:val="single" w:sz="8" w:space="0" w:color="auto"/>
              <w:left w:val="nil"/>
              <w:bottom w:val="single" w:sz="8" w:space="0" w:color="auto"/>
              <w:right w:val="single" w:sz="8" w:space="0" w:color="auto"/>
            </w:tcBorders>
            <w:shd w:val="clear" w:color="auto" w:fill="FFFFFF" w:themeFill="background1"/>
            <w:vAlign w:val="center"/>
            <w:hideMark/>
          </w:tcPr>
          <w:p w14:paraId="14240FED" w14:textId="77777777" w:rsidR="00E911BA" w:rsidRPr="0045403B" w:rsidRDefault="00E911BA" w:rsidP="00E911BA">
            <w:pPr>
              <w:ind w:left="146"/>
            </w:pPr>
            <w:r w:rsidRPr="0045403B">
              <w:t>When the Ex-Manufacturer Price is over $1,000 and up to and including $10,000</w:t>
            </w:r>
            <w:r>
              <w:t>.</w:t>
            </w:r>
          </w:p>
        </w:tc>
        <w:tc>
          <w:tcPr>
            <w:tcW w:w="283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683BA4F" w14:textId="77777777" w:rsidR="00E911BA" w:rsidRPr="0045403B" w:rsidRDefault="00E911BA" w:rsidP="00E911BA">
            <w:r w:rsidRPr="0045403B">
              <w:t>$43 + 2% of the amount of the Ex-Manufacturer Price over $1,000 per dispense</w:t>
            </w:r>
            <w:r>
              <w:t>.</w:t>
            </w:r>
          </w:p>
        </w:tc>
      </w:tr>
      <w:tr w:rsidR="00E911BA" w:rsidRPr="0045403B" w14:paraId="7D51C0E8" w14:textId="77777777" w:rsidTr="00C43049">
        <w:trPr>
          <w:cantSplit/>
          <w:trHeight w:val="311"/>
        </w:trPr>
        <w:tc>
          <w:tcPr>
            <w:tcW w:w="2126" w:type="dxa"/>
            <w:vMerge/>
            <w:tcBorders>
              <w:top w:val="single" w:sz="8" w:space="0" w:color="auto"/>
              <w:left w:val="single" w:sz="8" w:space="0" w:color="auto"/>
              <w:bottom w:val="single" w:sz="8" w:space="0" w:color="auto"/>
              <w:right w:val="single" w:sz="8" w:space="0" w:color="auto"/>
            </w:tcBorders>
            <w:vAlign w:val="center"/>
            <w:hideMark/>
          </w:tcPr>
          <w:p w14:paraId="0093DE56" w14:textId="77777777" w:rsidR="00E911BA" w:rsidRPr="0045403B" w:rsidRDefault="00E911BA" w:rsidP="00E911BA"/>
        </w:tc>
        <w:tc>
          <w:tcPr>
            <w:tcW w:w="3119" w:type="dxa"/>
            <w:gridSpan w:val="2"/>
            <w:tcBorders>
              <w:top w:val="single" w:sz="8" w:space="0" w:color="auto"/>
              <w:left w:val="nil"/>
              <w:bottom w:val="single" w:sz="8" w:space="0" w:color="auto"/>
              <w:right w:val="single" w:sz="8" w:space="0" w:color="auto"/>
            </w:tcBorders>
            <w:shd w:val="clear" w:color="auto" w:fill="FFFFFF" w:themeFill="background1"/>
            <w:vAlign w:val="center"/>
            <w:hideMark/>
          </w:tcPr>
          <w:p w14:paraId="43C5330D" w14:textId="77777777" w:rsidR="00E911BA" w:rsidRPr="0045403B" w:rsidRDefault="00E911BA" w:rsidP="00E911BA">
            <w:pPr>
              <w:ind w:left="147"/>
            </w:pPr>
            <w:r w:rsidRPr="0045403B">
              <w:t>When the Ex-Manufacturer Price is over $10,000</w:t>
            </w:r>
            <w:r>
              <w:t>.</w:t>
            </w:r>
          </w:p>
        </w:tc>
        <w:tc>
          <w:tcPr>
            <w:tcW w:w="283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F446132" w14:textId="77777777" w:rsidR="00E911BA" w:rsidRPr="0045403B" w:rsidRDefault="00E911BA" w:rsidP="00E911BA">
            <w:r w:rsidRPr="0045403B">
              <w:t>$223 per dispense</w:t>
            </w:r>
            <w:r>
              <w:t>.</w:t>
            </w:r>
          </w:p>
        </w:tc>
      </w:tr>
      <w:tr w:rsidR="007019F9" w:rsidRPr="0045403B" w14:paraId="54FAE63B" w14:textId="77777777" w:rsidTr="00C43049">
        <w:trPr>
          <w:cantSplit/>
          <w:trHeight w:val="1275"/>
        </w:trPr>
        <w:tc>
          <w:tcPr>
            <w:tcW w:w="2126" w:type="dxa"/>
            <w:vMerge w:val="restart"/>
            <w:tcBorders>
              <w:top w:val="single" w:sz="8" w:space="0" w:color="auto"/>
              <w:left w:val="single" w:sz="8" w:space="0" w:color="auto"/>
              <w:right w:val="single" w:sz="8" w:space="0" w:color="auto"/>
            </w:tcBorders>
            <w:vAlign w:val="center"/>
          </w:tcPr>
          <w:p w14:paraId="250DF4D7" w14:textId="49603041" w:rsidR="007019F9" w:rsidRDefault="007019F9" w:rsidP="007019F9">
            <w:pPr>
              <w:ind w:left="127"/>
            </w:pPr>
            <w:r>
              <w:t xml:space="preserve">Administration, Handling and Infrastructure </w:t>
            </w:r>
            <w:r w:rsidR="00000167">
              <w:t>(</w:t>
            </w:r>
            <w:r w:rsidR="00000167" w:rsidRPr="00000167">
              <w:rPr>
                <w:b/>
                <w:bCs/>
              </w:rPr>
              <w:t>AHI</w:t>
            </w:r>
            <w:r w:rsidR="00000167">
              <w:t xml:space="preserve">) </w:t>
            </w:r>
            <w:r>
              <w:t>Fee</w:t>
            </w:r>
            <w:r w:rsidR="00AC7300" w:rsidRPr="00AC7300">
              <w:rPr>
                <w:vertAlign w:val="superscript"/>
              </w:rPr>
              <w:t>6</w:t>
            </w:r>
          </w:p>
        </w:tc>
        <w:tc>
          <w:tcPr>
            <w:tcW w:w="784" w:type="dxa"/>
            <w:tcBorders>
              <w:top w:val="single" w:sz="8" w:space="0" w:color="auto"/>
              <w:left w:val="nil"/>
              <w:bottom w:val="single" w:sz="8" w:space="0" w:color="auto"/>
              <w:right w:val="single" w:sz="4" w:space="0" w:color="auto"/>
            </w:tcBorders>
            <w:shd w:val="clear" w:color="auto" w:fill="D9D9D9" w:themeFill="background1" w:themeFillShade="D9"/>
            <w:textDirection w:val="btLr"/>
            <w:vAlign w:val="center"/>
          </w:tcPr>
          <w:p w14:paraId="2376A311" w14:textId="7B4B0DFC" w:rsidR="007019F9" w:rsidRPr="007019F9" w:rsidRDefault="007019F9" w:rsidP="009C0355">
            <w:pPr>
              <w:ind w:left="147" w:right="113"/>
              <w:jc w:val="center"/>
              <w:rPr>
                <w:b/>
                <w:bCs/>
              </w:rPr>
            </w:pPr>
            <w:r>
              <w:rPr>
                <w:b/>
                <w:bCs/>
              </w:rPr>
              <w:t>Tier One AHI Fee</w:t>
            </w:r>
          </w:p>
        </w:tc>
        <w:tc>
          <w:tcPr>
            <w:tcW w:w="2335"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195A772E" w14:textId="538CE3FD" w:rsidR="007019F9" w:rsidRDefault="007019F9" w:rsidP="007019F9">
            <w:pPr>
              <w:ind w:left="147"/>
            </w:pPr>
            <w:r w:rsidRPr="00AD7994">
              <w:t>For a Listed Brand with a Price to Pharmacists for Maximum Quantity less than $100</w:t>
            </w:r>
            <w:r>
              <w:t>.</w:t>
            </w:r>
          </w:p>
        </w:tc>
        <w:tc>
          <w:tcPr>
            <w:tcW w:w="283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E9AD56F" w14:textId="1BAA455A" w:rsidR="007019F9" w:rsidRDefault="007019F9" w:rsidP="007019F9">
            <w:r w:rsidRPr="006B6D87">
              <w:t>$4.7</w:t>
            </w:r>
            <w:r>
              <w:t>9 per</w:t>
            </w:r>
            <w:r w:rsidRPr="006B6D87">
              <w:t xml:space="preserve"> dispense </w:t>
            </w:r>
            <w:r>
              <w:t>of Maximum Quantity</w:t>
            </w:r>
          </w:p>
        </w:tc>
      </w:tr>
      <w:tr w:rsidR="007019F9" w:rsidRPr="0045403B" w14:paraId="43CBDBC3" w14:textId="77777777" w:rsidTr="00C43049">
        <w:trPr>
          <w:cantSplit/>
          <w:trHeight w:val="1393"/>
        </w:trPr>
        <w:tc>
          <w:tcPr>
            <w:tcW w:w="2126" w:type="dxa"/>
            <w:vMerge/>
            <w:tcBorders>
              <w:left w:val="single" w:sz="8" w:space="0" w:color="auto"/>
              <w:right w:val="single" w:sz="8" w:space="0" w:color="auto"/>
            </w:tcBorders>
            <w:vAlign w:val="center"/>
          </w:tcPr>
          <w:p w14:paraId="3F72A53B" w14:textId="311FBBFF" w:rsidR="007019F9" w:rsidRPr="0045403B" w:rsidRDefault="007019F9" w:rsidP="007019F9">
            <w:pPr>
              <w:ind w:left="127"/>
            </w:pPr>
          </w:p>
        </w:tc>
        <w:tc>
          <w:tcPr>
            <w:tcW w:w="784" w:type="dxa"/>
            <w:tcBorders>
              <w:top w:val="single" w:sz="8" w:space="0" w:color="auto"/>
              <w:left w:val="nil"/>
              <w:bottom w:val="single" w:sz="8" w:space="0" w:color="auto"/>
              <w:right w:val="single" w:sz="4" w:space="0" w:color="auto"/>
            </w:tcBorders>
            <w:shd w:val="clear" w:color="auto" w:fill="D9D9D9" w:themeFill="background1" w:themeFillShade="D9"/>
            <w:textDirection w:val="btLr"/>
            <w:vAlign w:val="center"/>
          </w:tcPr>
          <w:p w14:paraId="2C398C65" w14:textId="4373801F" w:rsidR="007019F9" w:rsidRPr="007019F9" w:rsidRDefault="007019F9" w:rsidP="009C0355">
            <w:pPr>
              <w:ind w:left="147" w:right="113"/>
              <w:jc w:val="center"/>
              <w:rPr>
                <w:b/>
                <w:bCs/>
              </w:rPr>
            </w:pPr>
            <w:r w:rsidRPr="007019F9">
              <w:rPr>
                <w:b/>
                <w:bCs/>
              </w:rPr>
              <w:t>Tier Two AHI Fee</w:t>
            </w:r>
          </w:p>
        </w:tc>
        <w:tc>
          <w:tcPr>
            <w:tcW w:w="2335"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42762947" w14:textId="601EB99C" w:rsidR="007019F9" w:rsidRPr="0045403B" w:rsidRDefault="007019F9" w:rsidP="007019F9">
            <w:pPr>
              <w:ind w:left="147"/>
            </w:pPr>
            <w:r>
              <w:t>For a Listed Brand with a Price to Pharmacists for Maximum Quantity from $100 and up to and including $2,000</w:t>
            </w:r>
          </w:p>
        </w:tc>
        <w:tc>
          <w:tcPr>
            <w:tcW w:w="283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6CBCEDE" w14:textId="010AB8AB" w:rsidR="007019F9" w:rsidRPr="0045403B" w:rsidRDefault="007019F9" w:rsidP="007019F9">
            <w:r>
              <w:t>Tier One AHI Fee plus 5% of the amount by which the Price to Pharmacists for Maximum Quantity exceeds $100, per dispense of Maximum Quantity</w:t>
            </w:r>
          </w:p>
        </w:tc>
      </w:tr>
      <w:tr w:rsidR="007019F9" w:rsidRPr="0045403B" w14:paraId="18F3B1AC" w14:textId="77777777" w:rsidTr="00C43049">
        <w:trPr>
          <w:cantSplit/>
          <w:trHeight w:val="1541"/>
        </w:trPr>
        <w:tc>
          <w:tcPr>
            <w:tcW w:w="2126" w:type="dxa"/>
            <w:vMerge/>
            <w:tcBorders>
              <w:left w:val="single" w:sz="8" w:space="0" w:color="auto"/>
              <w:bottom w:val="single" w:sz="4" w:space="0" w:color="auto"/>
              <w:right w:val="single" w:sz="8" w:space="0" w:color="auto"/>
            </w:tcBorders>
            <w:vAlign w:val="center"/>
          </w:tcPr>
          <w:p w14:paraId="1360F441" w14:textId="77777777" w:rsidR="007019F9" w:rsidRDefault="007019F9" w:rsidP="007019F9"/>
        </w:tc>
        <w:tc>
          <w:tcPr>
            <w:tcW w:w="784" w:type="dxa"/>
            <w:tcBorders>
              <w:top w:val="single" w:sz="8" w:space="0" w:color="auto"/>
              <w:left w:val="nil"/>
              <w:bottom w:val="single" w:sz="8" w:space="0" w:color="auto"/>
              <w:right w:val="single" w:sz="4" w:space="0" w:color="auto"/>
            </w:tcBorders>
            <w:shd w:val="clear" w:color="auto" w:fill="D9D9D9" w:themeFill="background1" w:themeFillShade="D9"/>
            <w:textDirection w:val="btLr"/>
            <w:vAlign w:val="center"/>
          </w:tcPr>
          <w:p w14:paraId="09871CCF" w14:textId="2717E80F" w:rsidR="007019F9" w:rsidRPr="007019F9" w:rsidRDefault="007019F9" w:rsidP="009C0355">
            <w:pPr>
              <w:ind w:left="147" w:right="113"/>
              <w:jc w:val="center"/>
              <w:rPr>
                <w:b/>
                <w:bCs/>
              </w:rPr>
            </w:pPr>
            <w:r w:rsidRPr="007019F9">
              <w:rPr>
                <w:b/>
                <w:bCs/>
              </w:rPr>
              <w:t>Tier Three AHI Fee</w:t>
            </w:r>
          </w:p>
        </w:tc>
        <w:tc>
          <w:tcPr>
            <w:tcW w:w="2335"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60DAC77C" w14:textId="1B439A44" w:rsidR="007019F9" w:rsidRPr="0045403B" w:rsidRDefault="007019F9" w:rsidP="007019F9">
            <w:pPr>
              <w:ind w:left="147"/>
            </w:pPr>
            <w:r>
              <w:t>For a Listed Brand with a Price to Pharmacists for Maximum Quantity over $2,000</w:t>
            </w:r>
          </w:p>
        </w:tc>
        <w:tc>
          <w:tcPr>
            <w:tcW w:w="283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F68F7B6" w14:textId="06D48527" w:rsidR="007019F9" w:rsidRPr="0045403B" w:rsidRDefault="007019F9" w:rsidP="007019F9">
            <w:r>
              <w:t>Tier One AHI Fee and $95 per dispense of Maximum Quantity</w:t>
            </w:r>
          </w:p>
        </w:tc>
      </w:tr>
      <w:tr w:rsidR="007019F9" w:rsidRPr="0045403B" w14:paraId="5747B12C" w14:textId="77777777" w:rsidTr="00C43049">
        <w:trPr>
          <w:cantSplit/>
          <w:trHeight w:val="829"/>
        </w:trPr>
        <w:tc>
          <w:tcPr>
            <w:tcW w:w="2126" w:type="dxa"/>
            <w:tcBorders>
              <w:top w:val="single" w:sz="4" w:space="0" w:color="auto"/>
              <w:left w:val="single" w:sz="8" w:space="0" w:color="auto"/>
              <w:bottom w:val="single" w:sz="4" w:space="0" w:color="auto"/>
              <w:right w:val="single" w:sz="8" w:space="0" w:color="auto"/>
            </w:tcBorders>
            <w:vAlign w:val="center"/>
          </w:tcPr>
          <w:p w14:paraId="7AC1DC81" w14:textId="5FCC73DD" w:rsidR="007019F9" w:rsidRDefault="00512AF6" w:rsidP="00C970D7">
            <w:pPr>
              <w:ind w:left="127"/>
            </w:pPr>
            <w:r>
              <w:t>D</w:t>
            </w:r>
            <w:r w:rsidRPr="0047362C">
              <w:t xml:space="preserve">ispensing </w:t>
            </w:r>
            <w:r>
              <w:t>F</w:t>
            </w:r>
            <w:r w:rsidRPr="0047362C">
              <w:t xml:space="preserve">ee </w:t>
            </w:r>
            <w:r w:rsidR="007019F9" w:rsidRPr="0047362C">
              <w:t>(for Ready-Prepared Pharmaceutical Benefits)</w:t>
            </w:r>
          </w:p>
        </w:tc>
        <w:tc>
          <w:tcPr>
            <w:tcW w:w="5954" w:type="dxa"/>
            <w:gridSpan w:val="3"/>
            <w:tcBorders>
              <w:top w:val="single" w:sz="8" w:space="0" w:color="auto"/>
              <w:left w:val="nil"/>
              <w:bottom w:val="single" w:sz="8" w:space="0" w:color="auto"/>
              <w:right w:val="single" w:sz="8" w:space="0" w:color="auto"/>
            </w:tcBorders>
            <w:shd w:val="clear" w:color="auto" w:fill="FFFFFF" w:themeFill="background1"/>
          </w:tcPr>
          <w:p w14:paraId="44CBBE13" w14:textId="54E2EF23" w:rsidR="007019F9" w:rsidRDefault="007019F9" w:rsidP="00C970D7">
            <w:pPr>
              <w:ind w:left="127"/>
            </w:pPr>
            <w:r w:rsidRPr="006B6D87">
              <w:t>$8.67 per dispense.</w:t>
            </w:r>
          </w:p>
        </w:tc>
      </w:tr>
      <w:tr w:rsidR="007019F9" w:rsidRPr="0045403B" w14:paraId="5FF951D1" w14:textId="77777777" w:rsidTr="00C43049">
        <w:trPr>
          <w:cantSplit/>
          <w:trHeight w:val="1183"/>
        </w:trPr>
        <w:tc>
          <w:tcPr>
            <w:tcW w:w="2126" w:type="dxa"/>
            <w:tcBorders>
              <w:top w:val="single" w:sz="4" w:space="0" w:color="auto"/>
              <w:left w:val="single" w:sz="8" w:space="0" w:color="auto"/>
              <w:bottom w:val="single" w:sz="4" w:space="0" w:color="auto"/>
              <w:right w:val="single" w:sz="8" w:space="0" w:color="auto"/>
            </w:tcBorders>
            <w:vAlign w:val="center"/>
          </w:tcPr>
          <w:p w14:paraId="663DB0DA" w14:textId="4432B297" w:rsidR="007019F9" w:rsidRPr="0047362C" w:rsidRDefault="00512AF6" w:rsidP="00C970D7">
            <w:pPr>
              <w:ind w:left="127"/>
            </w:pPr>
            <w:r>
              <w:t>D</w:t>
            </w:r>
            <w:r w:rsidRPr="0047362C">
              <w:t xml:space="preserve">ispensing </w:t>
            </w:r>
            <w:r>
              <w:t>F</w:t>
            </w:r>
            <w:r w:rsidRPr="0047362C">
              <w:t xml:space="preserve">ee </w:t>
            </w:r>
            <w:r w:rsidR="007019F9" w:rsidRPr="0047362C">
              <w:t>(for Extemporaneously Prepared Pharmaceutical Benefits)</w:t>
            </w:r>
          </w:p>
        </w:tc>
        <w:tc>
          <w:tcPr>
            <w:tcW w:w="5954" w:type="dxa"/>
            <w:gridSpan w:val="3"/>
            <w:tcBorders>
              <w:top w:val="single" w:sz="8" w:space="0" w:color="auto"/>
              <w:left w:val="nil"/>
              <w:bottom w:val="single" w:sz="8" w:space="0" w:color="auto"/>
              <w:right w:val="single" w:sz="8" w:space="0" w:color="auto"/>
            </w:tcBorders>
            <w:shd w:val="clear" w:color="auto" w:fill="FFFFFF" w:themeFill="background1"/>
          </w:tcPr>
          <w:p w14:paraId="67B6842B" w14:textId="67FA1568" w:rsidR="007019F9" w:rsidRPr="006B6D87" w:rsidRDefault="007019F9" w:rsidP="00C970D7">
            <w:pPr>
              <w:ind w:left="127"/>
            </w:pPr>
            <w:r w:rsidRPr="006B6D87">
              <w:t xml:space="preserve">Dispensing </w:t>
            </w:r>
            <w:r w:rsidR="00512AF6">
              <w:t>F</w:t>
            </w:r>
            <w:r w:rsidR="00512AF6" w:rsidRPr="006B6D87">
              <w:t xml:space="preserve">ee </w:t>
            </w:r>
            <w:r w:rsidRPr="006B6D87">
              <w:t>for Ready-Prepared Pharmaceutical Benefits, plus $2.04 per dispense.</w:t>
            </w:r>
          </w:p>
        </w:tc>
      </w:tr>
      <w:tr w:rsidR="007019F9" w:rsidRPr="0045403B" w14:paraId="437B4068" w14:textId="77777777" w:rsidTr="00C43049">
        <w:trPr>
          <w:cantSplit/>
          <w:trHeight w:val="418"/>
        </w:trPr>
        <w:tc>
          <w:tcPr>
            <w:tcW w:w="2126" w:type="dxa"/>
            <w:tcBorders>
              <w:top w:val="single" w:sz="4" w:space="0" w:color="auto"/>
              <w:left w:val="single" w:sz="8" w:space="0" w:color="auto"/>
              <w:bottom w:val="single" w:sz="8" w:space="0" w:color="auto"/>
              <w:right w:val="single" w:sz="8" w:space="0" w:color="auto"/>
            </w:tcBorders>
          </w:tcPr>
          <w:p w14:paraId="31AA9A30" w14:textId="65DFCB53" w:rsidR="007019F9" w:rsidRPr="0047362C" w:rsidRDefault="007019F9" w:rsidP="00C970D7">
            <w:pPr>
              <w:ind w:left="127"/>
            </w:pPr>
            <w:r w:rsidRPr="0047362C">
              <w:t>Dangerous Drug Fee</w:t>
            </w:r>
          </w:p>
        </w:tc>
        <w:tc>
          <w:tcPr>
            <w:tcW w:w="5954" w:type="dxa"/>
            <w:gridSpan w:val="3"/>
            <w:tcBorders>
              <w:top w:val="single" w:sz="8" w:space="0" w:color="auto"/>
              <w:left w:val="nil"/>
              <w:bottom w:val="single" w:sz="8" w:space="0" w:color="auto"/>
              <w:right w:val="single" w:sz="8" w:space="0" w:color="auto"/>
            </w:tcBorders>
            <w:shd w:val="clear" w:color="auto" w:fill="FFFFFF" w:themeFill="background1"/>
          </w:tcPr>
          <w:p w14:paraId="78E9FC26" w14:textId="38972B81" w:rsidR="007019F9" w:rsidRPr="006B6D87" w:rsidRDefault="007019F9" w:rsidP="00C970D7">
            <w:pPr>
              <w:ind w:left="127"/>
            </w:pPr>
            <w:r w:rsidRPr="006B6D87">
              <w:t>$5.37 per Dangerous Drug dispensed.</w:t>
            </w:r>
          </w:p>
        </w:tc>
      </w:tr>
    </w:tbl>
    <w:p w14:paraId="03C14762" w14:textId="550EB7FD" w:rsidR="00AC7300" w:rsidRDefault="00AC7300" w:rsidP="00AC7300">
      <w:pPr>
        <w:pStyle w:val="FootnoteText"/>
        <w:ind w:left="1004" w:hanging="284"/>
      </w:pPr>
      <w:r>
        <w:t>4.</w:t>
      </w:r>
      <w:r>
        <w:tab/>
        <w:t xml:space="preserve">The figures referred to in Table 3 of this Agreement are as </w:t>
      </w:r>
      <w:proofErr w:type="gramStart"/>
      <w:r>
        <w:t>at</w:t>
      </w:r>
      <w:proofErr w:type="gramEnd"/>
      <w:r>
        <w:t xml:space="preserve"> 1 July 2024, except for the figures for the Wholesale Mark-Up, which are operative from 1 July 2026. Some components of the Commonwealth </w:t>
      </w:r>
      <w:r w:rsidR="003B09FD">
        <w:t xml:space="preserve">Price </w:t>
      </w:r>
      <w:r>
        <w:t xml:space="preserve">will be subject to Indexation in accordance with clause 3.2.4, and the Tier One AHI fee may be reduced in accordance with clause 5 and Appendix A. For clarity, the Wholesale Mark-Up will not be subject to indexation. </w:t>
      </w:r>
    </w:p>
    <w:p w14:paraId="2666AF0B" w14:textId="77777777" w:rsidR="00AC7300" w:rsidRDefault="00AC7300" w:rsidP="00AC7300">
      <w:pPr>
        <w:pStyle w:val="FootnoteText"/>
        <w:ind w:left="1004" w:hanging="284"/>
      </w:pPr>
      <w:r>
        <w:t>5.</w:t>
      </w:r>
      <w:r>
        <w:tab/>
        <w:t>From 1 July 2026, the WMU payment per dispense is calculated using the Ex-Manufacturer Price for the Pack Quantity of a Listed Brand dispensed by the Approved Pharmacist (rather than the Relevant Quantity).</w:t>
      </w:r>
    </w:p>
    <w:p w14:paraId="7CD348EC" w14:textId="77777777" w:rsidR="00AC7300" w:rsidRDefault="00AC7300" w:rsidP="00AC7300">
      <w:pPr>
        <w:pStyle w:val="FootnoteText"/>
        <w:ind w:left="1004" w:hanging="284"/>
      </w:pPr>
      <w:r>
        <w:t>6.</w:t>
      </w:r>
      <w:r>
        <w:tab/>
        <w:t>The AHI Fee is calculated based on the Maximum Quantity, and will be adjusted if less or more than the Maximum Quantity is supplied. Refer to the Determination for further details of the AHI Fee calculation.</w:t>
      </w:r>
    </w:p>
    <w:p w14:paraId="407C9BF3" w14:textId="7C077EF8" w:rsidR="00E65339" w:rsidRDefault="00E65339" w:rsidP="00C43049">
      <w:pPr>
        <w:pStyle w:val="Headingpara2"/>
        <w:keepNext/>
      </w:pPr>
      <w:r>
        <w:t xml:space="preserve">The </w:t>
      </w:r>
      <w:r w:rsidR="002D18BF">
        <w:t xml:space="preserve">text of the </w:t>
      </w:r>
      <w:r>
        <w:t>existing clauses 3.2.5</w:t>
      </w:r>
      <w:r w:rsidR="00746B66">
        <w:t>,</w:t>
      </w:r>
      <w:r>
        <w:t xml:space="preserve"> 3.2.6</w:t>
      </w:r>
      <w:r w:rsidR="00746B66">
        <w:t xml:space="preserve"> and 3.2.7</w:t>
      </w:r>
      <w:r>
        <w:t xml:space="preserve"> </w:t>
      </w:r>
      <w:r w:rsidR="002D18BF">
        <w:t>is</w:t>
      </w:r>
      <w:r>
        <w:t xml:space="preserve"> deleted and replaced </w:t>
      </w:r>
      <w:r w:rsidR="00C970D7">
        <w:t xml:space="preserve">in each case </w:t>
      </w:r>
      <w:r w:rsidR="002D18BF">
        <w:t>by</w:t>
      </w:r>
      <w:r>
        <w:t xml:space="preserve"> the </w:t>
      </w:r>
      <w:r w:rsidR="002D18BF">
        <w:t>words “Not used”.</w:t>
      </w:r>
    </w:p>
    <w:p w14:paraId="5620D807" w14:textId="30B54FD6" w:rsidR="006B6D87" w:rsidRPr="00CD71EC" w:rsidRDefault="00056110" w:rsidP="00AC7300">
      <w:pPr>
        <w:pStyle w:val="Headingpara2"/>
        <w:keepNext/>
      </w:pPr>
      <w:r>
        <w:t xml:space="preserve">The following </w:t>
      </w:r>
      <w:r w:rsidR="006B6D87" w:rsidRPr="00CD71EC">
        <w:t>new clause</w:t>
      </w:r>
      <w:r w:rsidR="009200C8">
        <w:t>s</w:t>
      </w:r>
      <w:r w:rsidR="006B6D87" w:rsidRPr="00CD71EC">
        <w:t xml:space="preserve"> 3.2.9 </w:t>
      </w:r>
      <w:r w:rsidR="00E355A6">
        <w:t>and</w:t>
      </w:r>
      <w:r w:rsidR="00025C9E">
        <w:t xml:space="preserve"> </w:t>
      </w:r>
      <w:r w:rsidR="009200C8">
        <w:t>3.2.</w:t>
      </w:r>
      <w:r w:rsidR="00E355A6">
        <w:t>10</w:t>
      </w:r>
      <w:r w:rsidR="00245413">
        <w:t xml:space="preserve"> </w:t>
      </w:r>
      <w:r>
        <w:t xml:space="preserve">are inserted immediately after </w:t>
      </w:r>
      <w:r w:rsidR="00025C9E">
        <w:t xml:space="preserve">the existing </w:t>
      </w:r>
      <w:r>
        <w:t>clause</w:t>
      </w:r>
      <w:r w:rsidR="00E355A6">
        <w:t> </w:t>
      </w:r>
      <w:r>
        <w:t>3.2.8</w:t>
      </w:r>
      <w:r w:rsidR="006B6D87" w:rsidRPr="00CD71EC">
        <w:t>:</w:t>
      </w:r>
    </w:p>
    <w:p w14:paraId="4AAE2A42" w14:textId="2C0BCB58" w:rsidR="00E65339" w:rsidRDefault="006B6D87" w:rsidP="00E6417F">
      <w:pPr>
        <w:pStyle w:val="Heading3"/>
        <w:numPr>
          <w:ilvl w:val="0"/>
          <w:numId w:val="0"/>
        </w:numPr>
        <w:ind w:left="1701" w:hanging="850"/>
      </w:pPr>
      <w:r w:rsidRPr="00CD71EC">
        <w:t>3.2.9</w:t>
      </w:r>
      <w:r w:rsidR="00CD71EC">
        <w:tab/>
      </w:r>
      <w:r w:rsidRPr="00CD71EC">
        <w:t xml:space="preserve">In consideration of the estimated reduction in </w:t>
      </w:r>
      <w:r w:rsidR="00AA0D4B">
        <w:t>A</w:t>
      </w:r>
      <w:r w:rsidRPr="00CD71EC">
        <w:t xml:space="preserve">pproved </w:t>
      </w:r>
      <w:r w:rsidR="00AA0D4B">
        <w:t>P</w:t>
      </w:r>
      <w:r w:rsidRPr="00CD71EC">
        <w:t xml:space="preserve">harmacist remuneration </w:t>
      </w:r>
      <w:r w:rsidR="00AA0D4B">
        <w:t xml:space="preserve">that will result </w:t>
      </w:r>
      <w:r w:rsidRPr="00CD71EC">
        <w:t xml:space="preserve">from changes </w:t>
      </w:r>
      <w:r w:rsidR="007B0201">
        <w:t xml:space="preserve">to the Wholesale Mark-Up </w:t>
      </w:r>
      <w:r w:rsidRPr="00CD71EC">
        <w:t>from 1</w:t>
      </w:r>
      <w:r w:rsidR="00025C9E">
        <w:t> </w:t>
      </w:r>
      <w:r w:rsidR="003611D6" w:rsidRPr="00CD71EC">
        <w:t>July</w:t>
      </w:r>
      <w:r w:rsidR="003611D6">
        <w:t> </w:t>
      </w:r>
      <w:r w:rsidRPr="00CD71EC">
        <w:t>2026</w:t>
      </w:r>
      <w:r w:rsidR="00C970D7">
        <w:t>,</w:t>
      </w:r>
      <w:r w:rsidRPr="00CD71EC">
        <w:t xml:space="preserve"> </w:t>
      </w:r>
      <w:r w:rsidR="00C970D7">
        <w:t xml:space="preserve">as </w:t>
      </w:r>
      <w:r w:rsidR="007B0201">
        <w:t xml:space="preserve">introduced </w:t>
      </w:r>
      <w:r w:rsidR="00C970D7">
        <w:t>by</w:t>
      </w:r>
      <w:r w:rsidR="007B0201">
        <w:t xml:space="preserve"> the </w:t>
      </w:r>
      <w:r w:rsidR="00CF426A">
        <w:t>First Pharm</w:t>
      </w:r>
      <w:r w:rsidR="00C40A19">
        <w:t>a</w:t>
      </w:r>
      <w:r w:rsidR="00CF426A">
        <w:t>ceutical Wholesaler Agreement (</w:t>
      </w:r>
      <w:r w:rsidRPr="00CD71EC">
        <w:t>1PWA</w:t>
      </w:r>
      <w:r w:rsidR="00CF426A">
        <w:t>)</w:t>
      </w:r>
      <w:r w:rsidR="007B0201">
        <w:t xml:space="preserve"> and incorporated into Table 3 of this Agreement (</w:t>
      </w:r>
      <w:r w:rsidR="007B0201" w:rsidRPr="007B0201">
        <w:rPr>
          <w:b/>
          <w:bCs/>
        </w:rPr>
        <w:t>1PWA</w:t>
      </w:r>
      <w:r w:rsidR="00E6417F">
        <w:rPr>
          <w:b/>
          <w:bCs/>
        </w:rPr>
        <w:t> </w:t>
      </w:r>
      <w:r w:rsidR="007B0201" w:rsidRPr="007B0201">
        <w:rPr>
          <w:b/>
          <w:bCs/>
        </w:rPr>
        <w:t>WMU Change</w:t>
      </w:r>
      <w:r w:rsidR="00025C9E">
        <w:t>)</w:t>
      </w:r>
      <w:r w:rsidRPr="00CD71EC">
        <w:t>, the Tier One AHI Fee will</w:t>
      </w:r>
      <w:r w:rsidR="00025C9E">
        <w:t xml:space="preserve"> be</w:t>
      </w:r>
      <w:r w:rsidR="00E355A6">
        <w:t xml:space="preserve"> increased by $0.01 (one cent) non-indexed, as follows</w:t>
      </w:r>
      <w:r w:rsidR="00E65339">
        <w:t>:</w:t>
      </w:r>
      <w:r>
        <w:t xml:space="preserve"> </w:t>
      </w:r>
    </w:p>
    <w:p w14:paraId="26E58DE1" w14:textId="26060395" w:rsidR="00E65339" w:rsidRDefault="00E65339" w:rsidP="00E6417F">
      <w:pPr>
        <w:pStyle w:val="Heading4"/>
        <w:numPr>
          <w:ilvl w:val="0"/>
          <w:numId w:val="0"/>
        </w:numPr>
        <w:ind w:left="2268" w:hanging="567"/>
      </w:pPr>
      <w:r>
        <w:t>(a)</w:t>
      </w:r>
      <w:r>
        <w:tab/>
      </w:r>
      <w:r w:rsidR="00E355A6">
        <w:t xml:space="preserve">The </w:t>
      </w:r>
      <w:r w:rsidR="00E355A6" w:rsidRPr="00CD71EC">
        <w:t>Tier One AHI Fee</w:t>
      </w:r>
      <w:r w:rsidR="00E355A6">
        <w:t xml:space="preserve"> applicable to the 2025/26 Financial Year will be </w:t>
      </w:r>
      <w:r w:rsidR="00093A84">
        <w:t>I</w:t>
      </w:r>
      <w:r>
        <w:t xml:space="preserve">ndexed on </w:t>
      </w:r>
      <w:r w:rsidR="001D199A">
        <w:t>1 July </w:t>
      </w:r>
      <w:r>
        <w:t>2026</w:t>
      </w:r>
      <w:r w:rsidR="005C5D22">
        <w:t>,</w:t>
      </w:r>
      <w:r>
        <w:t xml:space="preserve"> </w:t>
      </w:r>
      <w:r w:rsidR="006E1A7A">
        <w:t>and on each subsequent Indexation Date</w:t>
      </w:r>
      <w:r w:rsidR="00AC7300">
        <w:t xml:space="preserve"> during the Term</w:t>
      </w:r>
      <w:r w:rsidR="006E1A7A">
        <w:t xml:space="preserve">, </w:t>
      </w:r>
      <w:r>
        <w:t xml:space="preserve">in accordance with clause </w:t>
      </w:r>
      <w:r w:rsidR="00093A84">
        <w:t>3.</w:t>
      </w:r>
      <w:r w:rsidR="00DF15EA">
        <w:t>3</w:t>
      </w:r>
      <w:r w:rsidR="00E355A6">
        <w:t xml:space="preserve">, </w:t>
      </w:r>
      <w:proofErr w:type="gramStart"/>
      <w:r w:rsidR="00E355A6">
        <w:t>so as</w:t>
      </w:r>
      <w:r w:rsidR="009C0355">
        <w:t xml:space="preserve"> to</w:t>
      </w:r>
      <w:proofErr w:type="gramEnd"/>
      <w:r w:rsidR="009C0355">
        <w:t xml:space="preserve"> produce the </w:t>
      </w:r>
      <w:r w:rsidR="00531771">
        <w:rPr>
          <w:b/>
          <w:bCs/>
        </w:rPr>
        <w:t>AHI</w:t>
      </w:r>
      <w:r w:rsidR="00531771" w:rsidRPr="00E355A6">
        <w:rPr>
          <w:b/>
          <w:bCs/>
        </w:rPr>
        <w:t xml:space="preserve"> </w:t>
      </w:r>
      <w:r w:rsidR="009C0355" w:rsidRPr="00E355A6">
        <w:rPr>
          <w:b/>
          <w:bCs/>
        </w:rPr>
        <w:t>Base Amount</w:t>
      </w:r>
      <w:r w:rsidR="00AC7300">
        <w:t xml:space="preserve"> for the 2026/27 Financial Year and each subsequent Financial Year during the Term</w:t>
      </w:r>
      <w:r w:rsidR="00093A84">
        <w:t>; and</w:t>
      </w:r>
    </w:p>
    <w:p w14:paraId="7329AD1B" w14:textId="36C47FF0" w:rsidR="00893D9A" w:rsidRDefault="00093A84" w:rsidP="00E6417F">
      <w:pPr>
        <w:pStyle w:val="Heading4"/>
        <w:numPr>
          <w:ilvl w:val="0"/>
          <w:numId w:val="0"/>
        </w:numPr>
        <w:ind w:left="2268" w:hanging="567"/>
      </w:pPr>
      <w:r>
        <w:t>(b)</w:t>
      </w:r>
      <w:r>
        <w:tab/>
      </w:r>
      <w:r w:rsidR="006B6D87">
        <w:t xml:space="preserve">$0.01 (one cent) </w:t>
      </w:r>
      <w:r w:rsidR="009C0355">
        <w:t xml:space="preserve">will be added to the </w:t>
      </w:r>
      <w:r w:rsidR="00063AEB">
        <w:t xml:space="preserve">AHI </w:t>
      </w:r>
      <w:r w:rsidR="009C0355">
        <w:t xml:space="preserve">Base Amount </w:t>
      </w:r>
      <w:r w:rsidR="00AC7300">
        <w:t>for the 2026/27 Financial Year and each subsequent Financial Year during the Term</w:t>
      </w:r>
      <w:r w:rsidR="00E355A6">
        <w:t xml:space="preserve">, </w:t>
      </w:r>
      <w:proofErr w:type="gramStart"/>
      <w:r w:rsidR="00E355A6">
        <w:t>in order</w:t>
      </w:r>
      <w:r w:rsidR="00AC7300">
        <w:t xml:space="preserve"> </w:t>
      </w:r>
      <w:r w:rsidR="00DF15EA">
        <w:t>to</w:t>
      </w:r>
      <w:proofErr w:type="gramEnd"/>
      <w:r w:rsidR="00DF15EA">
        <w:t xml:space="preserve"> determine the amount of the Tier One AHI Fee payable </w:t>
      </w:r>
      <w:r w:rsidR="009200C8">
        <w:t>per dispense</w:t>
      </w:r>
      <w:r w:rsidR="00DF15EA">
        <w:t xml:space="preserve"> in the relevant </w:t>
      </w:r>
      <w:r w:rsidR="00AC7300">
        <w:t>Financial Y</w:t>
      </w:r>
      <w:r w:rsidR="00DF15EA">
        <w:t>ear</w:t>
      </w:r>
      <w:r>
        <w:t>.</w:t>
      </w:r>
    </w:p>
    <w:p w14:paraId="1EE6BC74" w14:textId="2554BDBB" w:rsidR="00093A84" w:rsidRDefault="007B0201" w:rsidP="00E6417F">
      <w:pPr>
        <w:pStyle w:val="Heading3"/>
        <w:numPr>
          <w:ilvl w:val="0"/>
          <w:numId w:val="0"/>
        </w:numPr>
        <w:ind w:left="1701" w:hanging="850"/>
      </w:pPr>
      <w:r>
        <w:t>3.2.10</w:t>
      </w:r>
      <w:r>
        <w:tab/>
      </w:r>
      <w:r w:rsidR="00CD71EC">
        <w:t>Th</w:t>
      </w:r>
      <w:r>
        <w:t>e</w:t>
      </w:r>
      <w:r w:rsidR="00CD71EC">
        <w:t xml:space="preserve"> adjustment </w:t>
      </w:r>
      <w:r>
        <w:t>described in clause</w:t>
      </w:r>
      <w:r w:rsidR="005C5D22">
        <w:t> </w:t>
      </w:r>
      <w:r>
        <w:t>3.2.9</w:t>
      </w:r>
      <w:r w:rsidR="00093A84">
        <w:t>(b):</w:t>
      </w:r>
    </w:p>
    <w:p w14:paraId="73B762B7" w14:textId="4108A84A" w:rsidR="00093A84" w:rsidRDefault="00093A84" w:rsidP="00E6417F">
      <w:pPr>
        <w:pStyle w:val="Heading4"/>
        <w:numPr>
          <w:ilvl w:val="0"/>
          <w:numId w:val="0"/>
        </w:numPr>
        <w:ind w:left="2268" w:hanging="567"/>
      </w:pPr>
      <w:r>
        <w:t>(a)</w:t>
      </w:r>
      <w:r>
        <w:tab/>
      </w:r>
      <w:r w:rsidR="00DF15EA">
        <w:t xml:space="preserve">is </w:t>
      </w:r>
      <w:r>
        <w:t xml:space="preserve">a one-off adjustment to be made </w:t>
      </w:r>
      <w:r w:rsidR="006E1A7A">
        <w:t xml:space="preserve">from </w:t>
      </w:r>
      <w:r w:rsidR="001D199A">
        <w:t>1 July </w:t>
      </w:r>
      <w:r>
        <w:t xml:space="preserve">2026 </w:t>
      </w:r>
      <w:r w:rsidR="00744771">
        <w:t xml:space="preserve">which, for clarity, </w:t>
      </w:r>
      <w:r>
        <w:t>will be</w:t>
      </w:r>
      <w:r w:rsidR="00DF15EA">
        <w:t xml:space="preserve"> added to the </w:t>
      </w:r>
      <w:r w:rsidR="00E53682">
        <w:t xml:space="preserve">AHI </w:t>
      </w:r>
      <w:r w:rsidR="00DF15EA">
        <w:t xml:space="preserve">Base Amount </w:t>
      </w:r>
      <w:r w:rsidR="00AC7300">
        <w:t>for the 2026/27 Financial Year and for each subsequent Financial Year during the Term</w:t>
      </w:r>
      <w:r w:rsidR="00AC7300" w:rsidDel="00DF15EA">
        <w:t xml:space="preserve"> </w:t>
      </w:r>
      <w:r w:rsidR="00AC7300" w:rsidRPr="00E53682">
        <w:t>after</w:t>
      </w:r>
      <w:r w:rsidR="00AC7300">
        <w:t xml:space="preserve"> the </w:t>
      </w:r>
      <w:r w:rsidR="00E53682">
        <w:t xml:space="preserve">AHI </w:t>
      </w:r>
      <w:r w:rsidR="00AC7300">
        <w:t>Base Amount for the previous Fina</w:t>
      </w:r>
      <w:r w:rsidR="00E355A6">
        <w:t>n</w:t>
      </w:r>
      <w:r w:rsidR="00AC7300">
        <w:t xml:space="preserve">cial Year has been </w:t>
      </w:r>
      <w:r>
        <w:t xml:space="preserve">Indexed; </w:t>
      </w:r>
    </w:p>
    <w:p w14:paraId="37EDC707" w14:textId="77777777" w:rsidR="00E927E1" w:rsidRDefault="00093A84" w:rsidP="00E6417F">
      <w:pPr>
        <w:pStyle w:val="Heading4"/>
        <w:numPr>
          <w:ilvl w:val="0"/>
          <w:numId w:val="0"/>
        </w:numPr>
        <w:ind w:left="2268" w:hanging="567"/>
      </w:pPr>
      <w:r>
        <w:t>(b)</w:t>
      </w:r>
      <w:r w:rsidR="00893D9A">
        <w:t xml:space="preserve"> </w:t>
      </w:r>
      <w:r>
        <w:tab/>
      </w:r>
      <w:r w:rsidR="00DF15EA">
        <w:t xml:space="preserve">is </w:t>
      </w:r>
      <w:r w:rsidR="00CD71EC">
        <w:t xml:space="preserve">estimated to </w:t>
      </w:r>
      <w:r w:rsidR="007B0201">
        <w:t>co</w:t>
      </w:r>
      <w:r w:rsidR="007B0201" w:rsidRPr="00DD7972">
        <w:t xml:space="preserve">mpensate </w:t>
      </w:r>
      <w:r w:rsidR="00AA0D4B" w:rsidRPr="00DD7972">
        <w:t>A</w:t>
      </w:r>
      <w:r w:rsidR="007B0201" w:rsidRPr="00DD7972">
        <w:t xml:space="preserve">pproved </w:t>
      </w:r>
      <w:r w:rsidR="00AA0D4B" w:rsidRPr="00DD7972">
        <w:t>P</w:t>
      </w:r>
      <w:r w:rsidR="007B0201" w:rsidRPr="00DD7972">
        <w:t xml:space="preserve">harmacists </w:t>
      </w:r>
      <w:r w:rsidR="00CD71EC" w:rsidRPr="00DD7972">
        <w:t xml:space="preserve">for </w:t>
      </w:r>
      <w:r w:rsidR="006D1797" w:rsidRPr="00DD7972">
        <w:t>$8,873,672</w:t>
      </w:r>
      <w:r w:rsidRPr="00DD7972">
        <w:t xml:space="preserve"> out</w:t>
      </w:r>
      <w:r w:rsidR="00CD71EC" w:rsidRPr="00DD7972">
        <w:t xml:space="preserve"> of </w:t>
      </w:r>
      <w:r w:rsidR="007B0201" w:rsidRPr="00DD7972">
        <w:t>a</w:t>
      </w:r>
      <w:r w:rsidRPr="00DD7972">
        <w:t>n estimated</w:t>
      </w:r>
      <w:r w:rsidR="007B0201" w:rsidRPr="00DD7972">
        <w:t xml:space="preserve"> </w:t>
      </w:r>
      <w:r w:rsidR="0060740C" w:rsidRPr="00DD7972">
        <w:t>$10,947,269</w:t>
      </w:r>
      <w:r w:rsidR="00CD71EC" w:rsidRPr="00DD7972">
        <w:t xml:space="preserve"> </w:t>
      </w:r>
      <w:r w:rsidR="009200C8" w:rsidRPr="00DD7972">
        <w:t xml:space="preserve">total </w:t>
      </w:r>
      <w:r w:rsidR="00CD71EC" w:rsidRPr="00DD7972">
        <w:t>impact on remuneration</w:t>
      </w:r>
      <w:r w:rsidR="007B0201" w:rsidRPr="00DD7972">
        <w:t xml:space="preserve"> </w:t>
      </w:r>
      <w:r w:rsidR="00C970D7" w:rsidRPr="00DD7972">
        <w:t xml:space="preserve">that is expected </w:t>
      </w:r>
      <w:r w:rsidRPr="00DD7972">
        <w:t>to result</w:t>
      </w:r>
      <w:r w:rsidR="007B0201" w:rsidRPr="00DD7972">
        <w:t xml:space="preserve"> </w:t>
      </w:r>
      <w:r w:rsidR="00CD71EC" w:rsidRPr="00DD7972">
        <w:t xml:space="preserve">from </w:t>
      </w:r>
      <w:r w:rsidR="009200C8" w:rsidRPr="00DD7972">
        <w:t xml:space="preserve">the </w:t>
      </w:r>
      <w:r w:rsidR="007B0201" w:rsidRPr="00DD7972">
        <w:t xml:space="preserve">1PWA </w:t>
      </w:r>
      <w:r w:rsidR="00CD71EC" w:rsidRPr="00DD7972">
        <w:t xml:space="preserve">WMU </w:t>
      </w:r>
      <w:r w:rsidR="007B0201" w:rsidRPr="00DD7972">
        <w:t>Change</w:t>
      </w:r>
      <w:r w:rsidR="00D305ED">
        <w:t>; and</w:t>
      </w:r>
    </w:p>
    <w:p w14:paraId="34248883" w14:textId="6B06B875" w:rsidR="00CD71EC" w:rsidRPr="00DD7972" w:rsidRDefault="00E927E1" w:rsidP="00E6417F">
      <w:pPr>
        <w:pStyle w:val="Heading4"/>
        <w:numPr>
          <w:ilvl w:val="0"/>
          <w:numId w:val="0"/>
        </w:numPr>
        <w:ind w:left="2268" w:hanging="567"/>
      </w:pPr>
      <w:r>
        <w:t xml:space="preserve">(c) </w:t>
      </w:r>
      <w:r>
        <w:tab/>
        <w:t xml:space="preserve">will also </w:t>
      </w:r>
      <w:r w:rsidR="00F166DB">
        <w:t>be applied</w:t>
      </w:r>
      <w:r w:rsidR="004665D9">
        <w:t xml:space="preserve"> </w:t>
      </w:r>
      <w:r w:rsidR="002934E6">
        <w:t xml:space="preserve">in determining the </w:t>
      </w:r>
      <w:r w:rsidR="00F1269E">
        <w:t>value of</w:t>
      </w:r>
      <w:r w:rsidR="002934E6">
        <w:t xml:space="preserve"> </w:t>
      </w:r>
      <w:r w:rsidR="004665D9">
        <w:t>Component 1 of the ACSS Payment</w:t>
      </w:r>
      <w:r w:rsidR="00B67621">
        <w:t xml:space="preserve"> from 1 July 2026</w:t>
      </w:r>
      <w:r w:rsidR="00F1269E">
        <w:t>, in accordance with section 3 of Appendix A</w:t>
      </w:r>
      <w:r w:rsidR="009200C8" w:rsidRPr="00DD7972">
        <w:t>.</w:t>
      </w:r>
    </w:p>
    <w:p w14:paraId="0C3F6F64" w14:textId="2B069B57" w:rsidR="000122C3" w:rsidRPr="00BD77AA" w:rsidRDefault="000122C3" w:rsidP="00E6417F">
      <w:pPr>
        <w:pStyle w:val="Headingpara2"/>
      </w:pPr>
      <w:r w:rsidRPr="00BD77AA">
        <w:t>A new clause 4.1.8 is inserted immediately following the existing clause 4.1.7:</w:t>
      </w:r>
    </w:p>
    <w:p w14:paraId="57734743" w14:textId="54403A3A" w:rsidR="003A508C" w:rsidRDefault="003A508C" w:rsidP="003A508C">
      <w:pPr>
        <w:pStyle w:val="BodyIndent1"/>
        <w:ind w:left="1701" w:hanging="850"/>
      </w:pPr>
      <w:r w:rsidRPr="00BD77AA">
        <w:t>4.1.8</w:t>
      </w:r>
      <w:r w:rsidRPr="00BD77AA">
        <w:tab/>
        <w:t>In addition to the arrangement described in clauses 4.1.1 to 4.1.7, the amount of $2,073,</w:t>
      </w:r>
      <w:r w:rsidR="00DD7972" w:rsidRPr="00BD77AA">
        <w:t xml:space="preserve">597 </w:t>
      </w:r>
      <w:r w:rsidRPr="00BD77AA">
        <w:t xml:space="preserve">will be distributed to Approved Pharmacists through </w:t>
      </w:r>
      <w:r w:rsidR="007B67BE" w:rsidRPr="00BD77AA">
        <w:t xml:space="preserve">adjustments to </w:t>
      </w:r>
      <w:r w:rsidR="00AC16EB" w:rsidRPr="00BD77AA">
        <w:t>Component 1 and</w:t>
      </w:r>
      <w:r w:rsidR="000A474B" w:rsidRPr="00BD77AA">
        <w:t xml:space="preserve"> </w:t>
      </w:r>
      <w:r w:rsidR="007B67BE" w:rsidRPr="00BD77AA">
        <w:t xml:space="preserve">Component 2 of </w:t>
      </w:r>
      <w:r w:rsidR="00BC4ABC" w:rsidRPr="00BD77AA">
        <w:t xml:space="preserve">the </w:t>
      </w:r>
      <w:r w:rsidRPr="00BD77AA">
        <w:t>ACSS Payment, commencing in the assessment period immediately following 1 July 2026 (</w:t>
      </w:r>
      <w:r w:rsidR="00174721" w:rsidRPr="00BD77AA">
        <w:t xml:space="preserve">Fifth </w:t>
      </w:r>
      <w:r w:rsidRPr="00BD77AA">
        <w:t>Assessment Period)</w:t>
      </w:r>
      <w:r w:rsidR="007B67BE" w:rsidRPr="00BD77AA">
        <w:t>, as set out in sections 4.3.2 and 4.6.1 of Appendix A</w:t>
      </w:r>
      <w:r w:rsidRPr="00BD77AA">
        <w:t>.</w:t>
      </w:r>
    </w:p>
    <w:p w14:paraId="138E140B" w14:textId="0BFC4DCB" w:rsidR="004565F1" w:rsidRDefault="004565F1" w:rsidP="003A508C">
      <w:pPr>
        <w:pStyle w:val="BodyIndent1"/>
        <w:ind w:left="1701" w:hanging="850"/>
      </w:pPr>
      <w:r>
        <w:tab/>
        <w:t xml:space="preserve">The Parties anticipate </w:t>
      </w:r>
      <w:r w:rsidRPr="00726B8A">
        <w:t>that this will add $</w:t>
      </w:r>
      <w:r w:rsidR="00DA10E3" w:rsidRPr="00726B8A">
        <w:t>1,592,06</w:t>
      </w:r>
      <w:r w:rsidR="00BB16C9" w:rsidRPr="00726B8A">
        <w:t>2</w:t>
      </w:r>
      <w:r w:rsidR="00DA10E3" w:rsidRPr="00726B8A">
        <w:t xml:space="preserve"> to the Component 1 payments and $481,535 to the Component</w:t>
      </w:r>
      <w:r w:rsidR="00DA10E3">
        <w:t xml:space="preserve"> </w:t>
      </w:r>
      <w:r w:rsidR="00B752D8">
        <w:t>2 payments.</w:t>
      </w:r>
    </w:p>
    <w:p w14:paraId="1F6DBCC2" w14:textId="5ADBA9E0" w:rsidR="002206F8" w:rsidRDefault="002206F8" w:rsidP="002206F8">
      <w:pPr>
        <w:pStyle w:val="Heading2"/>
        <w:rPr>
          <w:b w:val="0"/>
          <w:bCs/>
        </w:rPr>
      </w:pPr>
      <w:r w:rsidRPr="002206F8">
        <w:rPr>
          <w:b w:val="0"/>
          <w:bCs/>
        </w:rPr>
        <w:t>The definition of ‘R’ in section 2.2 of Appendix A is deleted and replaced by the following:</w:t>
      </w:r>
    </w:p>
    <w:p w14:paraId="553E696C" w14:textId="77777777" w:rsidR="002206F8" w:rsidRDefault="002206F8" w:rsidP="00AD7543">
      <w:pPr>
        <w:pStyle w:val="BodyIndent1"/>
      </w:pPr>
      <w:r w:rsidRPr="002206F8">
        <w:rPr>
          <w:b/>
          <w:bCs/>
        </w:rPr>
        <w:t>R</w:t>
      </w:r>
      <w:r>
        <w:t xml:space="preserve"> means:</w:t>
      </w:r>
    </w:p>
    <w:p w14:paraId="60CF0390" w14:textId="59587E26" w:rsidR="002206F8" w:rsidRDefault="00C216D4" w:rsidP="007132EB">
      <w:pPr>
        <w:pStyle w:val="Heading4"/>
        <w:ind w:left="1418"/>
      </w:pPr>
      <w:r>
        <w:t>f</w:t>
      </w:r>
      <w:r w:rsidR="002206F8">
        <w:t>or the first four</w:t>
      </w:r>
      <w:r w:rsidR="00DC7375">
        <w:t xml:space="preserve"> (4)</w:t>
      </w:r>
      <w:r w:rsidR="002206F8">
        <w:t xml:space="preserve"> Assessment Periods</w:t>
      </w:r>
      <w:r>
        <w:t>,</w:t>
      </w:r>
      <w:r w:rsidR="002206F8">
        <w:t xml:space="preserve"> the sum of the Tier One AHI Fee plus the dispensing fee for RPPBs (</w:t>
      </w:r>
      <w:r w:rsidR="00DC7375">
        <w:t xml:space="preserve">as </w:t>
      </w:r>
      <w:r w:rsidR="002206F8">
        <w:t>applying under the Determination</w:t>
      </w:r>
      <w:r w:rsidR="003B2C61">
        <w:t>)</w:t>
      </w:r>
      <w:r w:rsidR="002206F8">
        <w:t xml:space="preserve"> as at the end of the Assessment </w:t>
      </w:r>
      <w:r>
        <w:t>P</w:t>
      </w:r>
      <w:r w:rsidR="002206F8">
        <w:t>eriod; and</w:t>
      </w:r>
    </w:p>
    <w:p w14:paraId="2D8E3B23" w14:textId="0E15A6A8" w:rsidR="002206F8" w:rsidRPr="00BD77AA" w:rsidRDefault="002206F8" w:rsidP="00A1289C">
      <w:pPr>
        <w:pStyle w:val="Heading4"/>
        <w:ind w:left="1418"/>
      </w:pPr>
      <w:r>
        <w:t xml:space="preserve">for the </w:t>
      </w:r>
      <w:r w:rsidR="003B2C61">
        <w:t>Fifth Assessment Period and</w:t>
      </w:r>
      <w:r w:rsidR="003B2C61" w:rsidRPr="00BD77AA">
        <w:t xml:space="preserve"> all Assessment Periods thereafter</w:t>
      </w:r>
      <w:r w:rsidR="003B2C61">
        <w:t xml:space="preserve">, </w:t>
      </w:r>
      <w:r>
        <w:t>the sum of the AHI Base Amount plus the dispensing fee for RPPBs (as applying under the Determination</w:t>
      </w:r>
      <w:r w:rsidR="003B2C61">
        <w:t>)</w:t>
      </w:r>
      <w:r>
        <w:t xml:space="preserve"> as at the end of the Assessment Period.</w:t>
      </w:r>
    </w:p>
    <w:p w14:paraId="37A3BFDC" w14:textId="6F3FB9B9" w:rsidR="00104878" w:rsidRPr="00BD77AA" w:rsidRDefault="000A6448" w:rsidP="001C4348">
      <w:pPr>
        <w:pStyle w:val="Headingpara2"/>
      </w:pPr>
      <w:r w:rsidRPr="00BD77AA">
        <w:t xml:space="preserve">The </w:t>
      </w:r>
      <w:r w:rsidR="00526D3B" w:rsidRPr="00BD77AA">
        <w:t>definition</w:t>
      </w:r>
      <w:r w:rsidR="001C4348" w:rsidRPr="00BD77AA">
        <w:t xml:space="preserve"> </w:t>
      </w:r>
      <w:r w:rsidR="00526D3B" w:rsidRPr="00BD77AA">
        <w:t>of ‘C1UA’ in s</w:t>
      </w:r>
      <w:r w:rsidR="00641CD3" w:rsidRPr="00BD77AA">
        <w:t>ection</w:t>
      </w:r>
      <w:r w:rsidR="00F61AE0" w:rsidRPr="00BD77AA">
        <w:t xml:space="preserve"> 3.2 of</w:t>
      </w:r>
      <w:r w:rsidR="00E77686" w:rsidRPr="00BD77AA">
        <w:t xml:space="preserve"> Appendix</w:t>
      </w:r>
      <w:r w:rsidR="00F61AE0" w:rsidRPr="00BD77AA">
        <w:t xml:space="preserve"> A</w:t>
      </w:r>
      <w:r w:rsidR="00E77686" w:rsidRPr="00BD77AA">
        <w:t xml:space="preserve"> </w:t>
      </w:r>
      <w:r w:rsidR="00F61AE0" w:rsidRPr="00BD77AA">
        <w:t>is</w:t>
      </w:r>
      <w:r w:rsidR="00E77686" w:rsidRPr="00BD77AA">
        <w:t xml:space="preserve"> </w:t>
      </w:r>
      <w:r w:rsidR="00526D3B" w:rsidRPr="00BD77AA">
        <w:t xml:space="preserve">deleted and replaced </w:t>
      </w:r>
      <w:r w:rsidR="001C4348" w:rsidRPr="00BD77AA">
        <w:t>by the following:</w:t>
      </w:r>
    </w:p>
    <w:p w14:paraId="0553E94A" w14:textId="453E6A0E" w:rsidR="00F142C4" w:rsidRPr="00BD77AA" w:rsidRDefault="00F142C4" w:rsidP="00CF3EE3">
      <w:pPr>
        <w:widowControl w:val="0"/>
        <w:tabs>
          <w:tab w:val="left" w:pos="2127"/>
        </w:tabs>
        <w:autoSpaceDE w:val="0"/>
        <w:autoSpaceDN w:val="0"/>
        <w:spacing w:before="240"/>
        <w:ind w:left="1702" w:right="159" w:hanging="851"/>
      </w:pPr>
      <w:r w:rsidRPr="00BD77AA">
        <w:rPr>
          <w:b/>
          <w:bCs/>
        </w:rPr>
        <w:t>C1UA</w:t>
      </w:r>
      <w:r w:rsidRPr="00BD77AA">
        <w:t xml:space="preserve"> means, </w:t>
      </w:r>
      <w:r w:rsidR="00E66436" w:rsidRPr="00BD77AA">
        <w:t>for an</w:t>
      </w:r>
      <w:r w:rsidR="009E0ADA" w:rsidRPr="00BD77AA">
        <w:t xml:space="preserve"> </w:t>
      </w:r>
      <w:r w:rsidR="00E66436" w:rsidRPr="00BD77AA">
        <w:t>Assessment Period, the</w:t>
      </w:r>
      <w:r w:rsidR="009E0ADA" w:rsidRPr="00BD77AA">
        <w:t xml:space="preserve"> </w:t>
      </w:r>
      <w:r w:rsidR="00E66436" w:rsidRPr="00BD77AA">
        <w:t>Component 1 unit amount,</w:t>
      </w:r>
      <w:r w:rsidR="009E0ADA" w:rsidRPr="00BD77AA">
        <w:t xml:space="preserve"> </w:t>
      </w:r>
      <w:r w:rsidR="00E66436" w:rsidRPr="00BD77AA">
        <w:t>being:</w:t>
      </w:r>
    </w:p>
    <w:p w14:paraId="53F6A7A2" w14:textId="327106D8" w:rsidR="00902144" w:rsidRPr="00BD77AA" w:rsidRDefault="003874F6" w:rsidP="007132EB">
      <w:pPr>
        <w:pStyle w:val="Heading4"/>
        <w:ind w:left="1418"/>
      </w:pPr>
      <w:r>
        <w:t>f</w:t>
      </w:r>
      <w:r w:rsidRPr="00BD77AA">
        <w:t xml:space="preserve">or </w:t>
      </w:r>
      <w:r w:rsidR="00902144" w:rsidRPr="00BD77AA">
        <w:t>the first two</w:t>
      </w:r>
      <w:r w:rsidR="009E0ADA" w:rsidRPr="00BD77AA">
        <w:t xml:space="preserve"> </w:t>
      </w:r>
      <w:r w:rsidR="00902144" w:rsidRPr="00BD77AA">
        <w:t>(2) Assessment Periods, the unit amount set out in</w:t>
      </w:r>
      <w:r w:rsidR="009E0ADA" w:rsidRPr="00BD77AA">
        <w:t xml:space="preserve"> row A of Table C; </w:t>
      </w:r>
    </w:p>
    <w:p w14:paraId="0013E35D" w14:textId="5247C1EC" w:rsidR="00E0005F" w:rsidRPr="00BD77AA" w:rsidRDefault="003874F6" w:rsidP="007132EB">
      <w:pPr>
        <w:pStyle w:val="Heading4"/>
        <w:ind w:left="1418"/>
      </w:pPr>
      <w:r>
        <w:t>f</w:t>
      </w:r>
      <w:r w:rsidRPr="00BD77AA">
        <w:t xml:space="preserve">or </w:t>
      </w:r>
      <w:r w:rsidR="00E0005F" w:rsidRPr="00BD77AA">
        <w:t>the T</w:t>
      </w:r>
      <w:r w:rsidR="005E5F3A" w:rsidRPr="00BD77AA">
        <w:t>h</w:t>
      </w:r>
      <w:r w:rsidR="00E0005F" w:rsidRPr="00BD77AA">
        <w:t xml:space="preserve">ird and Fourth Assessment Periods, the Tier One AHI Fee that would apply in </w:t>
      </w:r>
      <w:r w:rsidR="009F79F9">
        <w:t>those</w:t>
      </w:r>
      <w:r w:rsidR="009F79F9" w:rsidRPr="00BD77AA">
        <w:t xml:space="preserve"> </w:t>
      </w:r>
      <w:r w:rsidR="00E0005F" w:rsidRPr="00BD77AA">
        <w:t>Assessment Period</w:t>
      </w:r>
      <w:r w:rsidR="009F79F9">
        <w:t>s</w:t>
      </w:r>
      <w:r w:rsidR="00E0005F" w:rsidRPr="00BD77AA">
        <w:t xml:space="preserve"> after the application of Indexation, but before any adjustment under section 4.5</w:t>
      </w:r>
      <w:r w:rsidR="00FF3805">
        <w:t>; and</w:t>
      </w:r>
    </w:p>
    <w:p w14:paraId="390F63A3" w14:textId="25E762E3" w:rsidR="000D5FB3" w:rsidRDefault="003874F6" w:rsidP="007132EB">
      <w:pPr>
        <w:pStyle w:val="Heading4"/>
        <w:ind w:left="1418"/>
      </w:pPr>
      <w:r>
        <w:t>f</w:t>
      </w:r>
      <w:r w:rsidRPr="00BD77AA">
        <w:t xml:space="preserve">or </w:t>
      </w:r>
      <w:r w:rsidR="000D5FB3">
        <w:t>the Fifth Assessment Period and</w:t>
      </w:r>
      <w:r w:rsidR="000D5FB3" w:rsidRPr="00BD77AA">
        <w:t xml:space="preserve"> </w:t>
      </w:r>
      <w:r w:rsidR="00A76AA5" w:rsidRPr="00BD77AA">
        <w:t>all Assessment Periods thereafter, the Tier One AHI Fee that would apply in the Assessment Period</w:t>
      </w:r>
      <w:r w:rsidR="009E2649">
        <w:t>:</w:t>
      </w:r>
      <w:r w:rsidR="00A76AA5" w:rsidRPr="00BD77AA">
        <w:t xml:space="preserve"> </w:t>
      </w:r>
    </w:p>
    <w:p w14:paraId="35EA4AB2" w14:textId="29D7203A" w:rsidR="007D5181" w:rsidRDefault="00A76AA5" w:rsidP="007132EB">
      <w:pPr>
        <w:pStyle w:val="Heading5"/>
        <w:tabs>
          <w:tab w:val="clear" w:pos="2835"/>
        </w:tabs>
        <w:ind w:left="1985"/>
      </w:pPr>
      <w:r w:rsidRPr="00BD77AA">
        <w:t xml:space="preserve">after the application of Indexation </w:t>
      </w:r>
      <w:r w:rsidR="00CE7986">
        <w:t>in accordance with clause 3.2.9(a) to determine the AHI Base Am</w:t>
      </w:r>
      <w:r w:rsidR="0043795C">
        <w:t>ount and the addition of</w:t>
      </w:r>
      <w:r w:rsidRPr="00BD77AA">
        <w:t xml:space="preserve"> </w:t>
      </w:r>
      <w:r w:rsidR="00192B04" w:rsidRPr="00BD77AA">
        <w:t>$0.01 (</w:t>
      </w:r>
      <w:r w:rsidR="00A240E6">
        <w:t>o</w:t>
      </w:r>
      <w:r w:rsidR="00192B04" w:rsidRPr="00BD77AA">
        <w:t xml:space="preserve">ne cent) </w:t>
      </w:r>
      <w:r w:rsidR="0003328B">
        <w:t>to the AHI Base Amount</w:t>
      </w:r>
      <w:r w:rsidR="00192B04" w:rsidRPr="00BD77AA">
        <w:t xml:space="preserve"> in </w:t>
      </w:r>
      <w:r w:rsidR="00DC7375">
        <w:t xml:space="preserve">accordance with </w:t>
      </w:r>
      <w:r w:rsidR="00192B04" w:rsidRPr="00BD77AA">
        <w:t>clause 3.2.9(b)</w:t>
      </w:r>
      <w:r w:rsidR="00DC7375">
        <w:t>;</w:t>
      </w:r>
      <w:r w:rsidR="00DD7644" w:rsidRPr="00BD77AA">
        <w:t xml:space="preserve"> but </w:t>
      </w:r>
    </w:p>
    <w:p w14:paraId="43D59D47" w14:textId="4E65E40B" w:rsidR="00A76AA5" w:rsidRPr="00BD77AA" w:rsidRDefault="00DD7644" w:rsidP="007132EB">
      <w:pPr>
        <w:pStyle w:val="Heading5"/>
        <w:tabs>
          <w:tab w:val="clear" w:pos="2835"/>
          <w:tab w:val="num" w:pos="2268"/>
        </w:tabs>
        <w:ind w:left="1985"/>
      </w:pPr>
      <w:r w:rsidRPr="00BD77AA">
        <w:t xml:space="preserve">before any adjustment under section </w:t>
      </w:r>
      <w:r w:rsidR="001062EA">
        <w:t>4.5.</w:t>
      </w:r>
    </w:p>
    <w:p w14:paraId="5BC46E67" w14:textId="77777777" w:rsidR="008723E0" w:rsidRDefault="008723E0" w:rsidP="008723E0">
      <w:pPr>
        <w:pStyle w:val="Headingpara2"/>
      </w:pPr>
      <w:r>
        <w:t>The definition of ‘URC1’ in section 4.2 of Appendix A is deleted and replaced by the following:</w:t>
      </w:r>
    </w:p>
    <w:p w14:paraId="19CC530A" w14:textId="77777777" w:rsidR="008723E0" w:rsidRPr="00BD77AA" w:rsidRDefault="008723E0" w:rsidP="00900C45">
      <w:pPr>
        <w:widowControl w:val="0"/>
        <w:tabs>
          <w:tab w:val="left" w:pos="2127"/>
        </w:tabs>
        <w:autoSpaceDE w:val="0"/>
        <w:autoSpaceDN w:val="0"/>
        <w:spacing w:before="240"/>
        <w:ind w:left="1701" w:right="159" w:hanging="851"/>
      </w:pPr>
      <w:r>
        <w:rPr>
          <w:b/>
          <w:bCs/>
        </w:rPr>
        <w:t>URC1</w:t>
      </w:r>
      <w:r w:rsidRPr="00BD77AA">
        <w:t xml:space="preserve"> means:</w:t>
      </w:r>
    </w:p>
    <w:p w14:paraId="4E9A7681" w14:textId="728781B5" w:rsidR="008723E0" w:rsidRDefault="008723E0" w:rsidP="00AD7543">
      <w:pPr>
        <w:pStyle w:val="Heading4"/>
        <w:ind w:left="1418"/>
      </w:pPr>
      <w:r>
        <w:t>f</w:t>
      </w:r>
      <w:r w:rsidR="00AD4875">
        <w:t>or</w:t>
      </w:r>
      <w:r w:rsidR="00363023">
        <w:t xml:space="preserve"> </w:t>
      </w:r>
      <w:r w:rsidRPr="00BD77AA">
        <w:t>the first two (2) Assessment Periods</w:t>
      </w:r>
      <w:r w:rsidRPr="00495536">
        <w:t xml:space="preserve">, the Tier One AHI Fee </w:t>
      </w:r>
      <w:r>
        <w:t xml:space="preserve">for the Next Period </w:t>
      </w:r>
      <w:r w:rsidRPr="00495536">
        <w:t>after the application of Indexation, but before any adjustment under this Appendix A</w:t>
      </w:r>
      <w:r w:rsidRPr="00BD77AA">
        <w:t>; and</w:t>
      </w:r>
    </w:p>
    <w:p w14:paraId="5C1B1D73" w14:textId="3AB180ED" w:rsidR="001954F1" w:rsidRPr="00BD77AA" w:rsidRDefault="008723E0" w:rsidP="00A1289C">
      <w:pPr>
        <w:pStyle w:val="Heading4"/>
        <w:ind w:left="1418"/>
      </w:pPr>
      <w:r>
        <w:t>for all Assessment Periods thereafter, the Tier One AHI Fee for the Next Period after the application of Indexation</w:t>
      </w:r>
      <w:r w:rsidR="004F2CB3" w:rsidRPr="004F2CB3">
        <w:t xml:space="preserve"> </w:t>
      </w:r>
      <w:r w:rsidR="004F2CB3">
        <w:t>in accordance with clause 3.2.9(a) to determine the AHI Base Amount and the addition of</w:t>
      </w:r>
      <w:r>
        <w:t xml:space="preserve"> $0.01 (one cent) </w:t>
      </w:r>
      <w:r w:rsidR="004F2CB3">
        <w:t xml:space="preserve">to the AHI Base Amount </w:t>
      </w:r>
      <w:r>
        <w:t xml:space="preserve">in </w:t>
      </w:r>
      <w:r w:rsidR="004F2CB3">
        <w:t xml:space="preserve">accordance with </w:t>
      </w:r>
      <w:r>
        <w:t>clause 3.2.9(b)</w:t>
      </w:r>
      <w:r w:rsidR="00363023">
        <w:t xml:space="preserve">, </w:t>
      </w:r>
      <w:r>
        <w:t>but before any adjustment under this Appendix A.</w:t>
      </w:r>
    </w:p>
    <w:p w14:paraId="2155D9E2" w14:textId="55B645E0" w:rsidR="00957023" w:rsidRPr="00BD77AA" w:rsidRDefault="00957023" w:rsidP="001954F1">
      <w:pPr>
        <w:pStyle w:val="Headingpara2"/>
      </w:pPr>
      <w:r w:rsidRPr="00BD77AA">
        <w:t xml:space="preserve">Section 4.6.1 of Appendix A is </w:t>
      </w:r>
      <w:r w:rsidR="002463CD" w:rsidRPr="00BD77AA">
        <w:t>revised as shown in the marked up version below</w:t>
      </w:r>
      <w:r w:rsidR="0014189E" w:rsidRPr="00BD77AA">
        <w:t>:</w:t>
      </w:r>
    </w:p>
    <w:p w14:paraId="76813E08" w14:textId="48F1364E" w:rsidR="002463CD" w:rsidRPr="00BD77AA" w:rsidRDefault="002463CD" w:rsidP="0048663D">
      <w:pPr>
        <w:keepNext/>
        <w:widowControl w:val="0"/>
        <w:tabs>
          <w:tab w:val="left" w:pos="2127"/>
        </w:tabs>
        <w:autoSpaceDE w:val="0"/>
        <w:autoSpaceDN w:val="0"/>
        <w:spacing w:before="240"/>
        <w:ind w:left="1702" w:right="159" w:hanging="851"/>
      </w:pPr>
      <w:r w:rsidRPr="00BD77AA">
        <w:t>4.6.1</w:t>
      </w:r>
      <w:r w:rsidRPr="00BD77AA">
        <w:tab/>
        <w:t xml:space="preserve">If, as at the end of the </w:t>
      </w:r>
      <w:r w:rsidR="00BF6137" w:rsidRPr="00BD77AA">
        <w:t xml:space="preserve">Sixth </w:t>
      </w:r>
      <w:r w:rsidRPr="00BD77AA">
        <w:t>Assessment Period, the ATAEA is more than 5 per cent greater or less than the ATEE (as calculated by the Department), then the Department will adjust the Component 1 unit payment, Component 2 unit payment and the Tier One AHI Fee (as necessary) commencing in the Next Period, to seek to bring the aggregate dollar expenditure on the ACSS Payment as close as practicable to the</w:t>
      </w:r>
      <w:r w:rsidRPr="00921A1A">
        <w:rPr>
          <w:color w:val="A20000"/>
          <w:u w:val="single"/>
        </w:rPr>
        <w:t>:</w:t>
      </w:r>
      <w:r w:rsidRPr="00BD77AA">
        <w:t xml:space="preserve"> </w:t>
      </w:r>
    </w:p>
    <w:p w14:paraId="5621AE33" w14:textId="1A4F9740" w:rsidR="002463CD" w:rsidRPr="00BD77AA" w:rsidRDefault="002463CD" w:rsidP="002463CD">
      <w:pPr>
        <w:widowControl w:val="0"/>
        <w:tabs>
          <w:tab w:val="left" w:pos="2127"/>
        </w:tabs>
        <w:autoSpaceDE w:val="0"/>
        <w:autoSpaceDN w:val="0"/>
        <w:spacing w:before="240"/>
        <w:ind w:left="2160" w:right="159" w:hanging="458"/>
      </w:pPr>
      <w:r w:rsidRPr="00921A1A">
        <w:rPr>
          <w:color w:val="A20000"/>
          <w:u w:val="single"/>
        </w:rPr>
        <w:t>(a)</w:t>
      </w:r>
      <w:r w:rsidRPr="00921A1A">
        <w:rPr>
          <w:color w:val="A20000"/>
          <w:u w:val="single"/>
        </w:rPr>
        <w:tab/>
      </w:r>
      <w:r w:rsidRPr="00BD77AA">
        <w:t>$2.111 billion referred to as element 1 in Table 1 (in clause 2.2 of the Agreement)</w:t>
      </w:r>
      <w:r w:rsidRPr="00921A1A">
        <w:rPr>
          <w:color w:val="A20000"/>
          <w:u w:val="single"/>
        </w:rPr>
        <w:t>; and</w:t>
      </w:r>
      <w:r w:rsidRPr="00BD77AA">
        <w:t xml:space="preserve"> </w:t>
      </w:r>
    </w:p>
    <w:p w14:paraId="41A93644" w14:textId="424F5F72" w:rsidR="002463CD" w:rsidRPr="00BD77AA" w:rsidRDefault="002463CD" w:rsidP="002463CD">
      <w:pPr>
        <w:widowControl w:val="0"/>
        <w:tabs>
          <w:tab w:val="left" w:pos="2127"/>
        </w:tabs>
        <w:autoSpaceDE w:val="0"/>
        <w:autoSpaceDN w:val="0"/>
        <w:spacing w:before="240"/>
        <w:ind w:left="2160" w:right="159" w:hanging="458"/>
        <w:rPr>
          <w:color w:val="FF0000"/>
          <w:u w:val="single"/>
        </w:rPr>
      </w:pPr>
      <w:r w:rsidRPr="00921A1A">
        <w:rPr>
          <w:color w:val="A20000"/>
          <w:u w:val="single"/>
        </w:rPr>
        <w:t>(b)</w:t>
      </w:r>
      <w:r w:rsidRPr="00921A1A">
        <w:rPr>
          <w:color w:val="A20000"/>
          <w:u w:val="single"/>
        </w:rPr>
        <w:tab/>
        <w:t>$2,073,</w:t>
      </w:r>
      <w:r w:rsidR="00DD7972" w:rsidRPr="00921A1A">
        <w:rPr>
          <w:color w:val="A20000"/>
          <w:u w:val="single"/>
        </w:rPr>
        <w:t xml:space="preserve">597 </w:t>
      </w:r>
      <w:r w:rsidRPr="00921A1A">
        <w:rPr>
          <w:color w:val="A20000"/>
          <w:u w:val="single"/>
        </w:rPr>
        <w:t>referred to in clause 4.1.8</w:t>
      </w:r>
      <w:r w:rsidRPr="00BD77AA">
        <w:t>,</w:t>
      </w:r>
    </w:p>
    <w:p w14:paraId="0E9798B1" w14:textId="7CA0D8C7" w:rsidR="002463CD" w:rsidRDefault="002463CD" w:rsidP="002463CD">
      <w:pPr>
        <w:widowControl w:val="0"/>
        <w:tabs>
          <w:tab w:val="left" w:pos="2127"/>
        </w:tabs>
        <w:autoSpaceDE w:val="0"/>
        <w:autoSpaceDN w:val="0"/>
        <w:spacing w:before="240"/>
        <w:ind w:left="1702" w:right="159"/>
      </w:pPr>
      <w:r w:rsidRPr="00BD77AA">
        <w:t>and will consult with the Pharmacy Guild on the unit amount adjustments required to do so. In determining any adjustments that may be required under this section 4.6.1, the Department will account for known adjustments arising from the first six (6) Assessment Periods (</w:t>
      </w:r>
      <w:proofErr w:type="gramStart"/>
      <w:r w:rsidRPr="00BD77AA">
        <w:t>as a result of</w:t>
      </w:r>
      <w:proofErr w:type="gramEnd"/>
      <w:r w:rsidRPr="00BD77AA">
        <w:t xml:space="preserve"> this Appendix A) to payments that will take effect after the sixth Assessment Period.</w:t>
      </w:r>
    </w:p>
    <w:p w14:paraId="4FEC47FF" w14:textId="23891273" w:rsidR="001105BE" w:rsidRDefault="001105BE" w:rsidP="001105BE">
      <w:pPr>
        <w:pStyle w:val="Headingpara2"/>
        <w:keepNext/>
      </w:pPr>
      <w:r>
        <w:t xml:space="preserve">Table </w:t>
      </w:r>
      <w:r w:rsidR="00196FE7">
        <w:t>B of the Attachment to A</w:t>
      </w:r>
      <w:r w:rsidR="00475CF3">
        <w:t xml:space="preserve">ppendix A and </w:t>
      </w:r>
      <w:r>
        <w:t>the corresponding footnote are deleted and replaced by the following table and corresponding footnotes:</w:t>
      </w:r>
    </w:p>
    <w:p w14:paraId="49DDB317" w14:textId="77777777" w:rsidR="00475CF3" w:rsidRDefault="00475CF3">
      <w:pPr>
        <w:spacing w:after="160" w:line="259" w:lineRule="auto"/>
        <w:sectPr w:rsidR="00475CF3" w:rsidSect="0020250F">
          <w:headerReference w:type="even" r:id="rId12"/>
          <w:headerReference w:type="default" r:id="rId13"/>
          <w:footerReference w:type="even" r:id="rId14"/>
          <w:footerReference w:type="default" r:id="rId15"/>
          <w:headerReference w:type="first" r:id="rId16"/>
          <w:footerReference w:type="first" r:id="rId17"/>
          <w:footnotePr>
            <w:numStart w:val="4"/>
          </w:footnotePr>
          <w:pgSz w:w="11906" w:h="16838"/>
          <w:pgMar w:top="1440" w:right="1440" w:bottom="1440" w:left="1440" w:header="708" w:footer="708" w:gutter="0"/>
          <w:cols w:space="708"/>
          <w:titlePg/>
          <w:docGrid w:linePitch="360"/>
        </w:sectPr>
      </w:pPr>
    </w:p>
    <w:p w14:paraId="2C75FE3C" w14:textId="46ABE1FC" w:rsidR="00045FA6" w:rsidRPr="00215532" w:rsidRDefault="00045FA6" w:rsidP="00A1289C">
      <w:pPr>
        <w:pStyle w:val="Caption"/>
        <w:rPr>
          <w:lang w:val="en-US"/>
        </w:rPr>
      </w:pPr>
      <w:r w:rsidRPr="00215532">
        <w:rPr>
          <w:lang w:val="en-US"/>
        </w:rPr>
        <w:t>Table B – Assessment Periods and Total Estimated Expenditure by component</w:t>
      </w:r>
    </w:p>
    <w:tbl>
      <w:tblPr>
        <w:tblW w:w="15593"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417"/>
        <w:gridCol w:w="1360"/>
        <w:gridCol w:w="1361"/>
        <w:gridCol w:w="1361"/>
        <w:gridCol w:w="1361"/>
        <w:gridCol w:w="1361"/>
        <w:gridCol w:w="1360"/>
        <w:gridCol w:w="1361"/>
        <w:gridCol w:w="1674"/>
        <w:gridCol w:w="1048"/>
        <w:gridCol w:w="1361"/>
      </w:tblGrid>
      <w:tr w:rsidR="00045FA6" w:rsidRPr="00215532" w14:paraId="48AC18A0" w14:textId="77777777" w:rsidTr="00A1289C">
        <w:trPr>
          <w:trHeight w:val="138"/>
          <w:tblHeader/>
        </w:trPr>
        <w:tc>
          <w:tcPr>
            <w:tcW w:w="1985" w:type="dxa"/>
            <w:gridSpan w:val="2"/>
            <w:vMerge w:val="restart"/>
            <w:tcBorders>
              <w:top w:val="nil"/>
              <w:left w:val="nil"/>
              <w:bottom w:val="single" w:sz="4" w:space="0" w:color="000000"/>
              <w:right w:val="single" w:sz="4" w:space="0" w:color="000000"/>
            </w:tcBorders>
          </w:tcPr>
          <w:p w14:paraId="45A70A9B" w14:textId="77777777" w:rsidR="00045FA6" w:rsidRPr="00215532" w:rsidRDefault="00045FA6" w:rsidP="007D203A">
            <w:pPr>
              <w:rPr>
                <w:lang w:val="en-US"/>
              </w:rPr>
            </w:pPr>
          </w:p>
        </w:tc>
        <w:tc>
          <w:tcPr>
            <w:tcW w:w="13608" w:type="dxa"/>
            <w:gridSpan w:val="10"/>
            <w:tcBorders>
              <w:top w:val="single" w:sz="4" w:space="0" w:color="000000"/>
              <w:left w:val="single" w:sz="4" w:space="0" w:color="000000"/>
              <w:bottom w:val="single" w:sz="4" w:space="0" w:color="000000"/>
              <w:right w:val="single" w:sz="4" w:space="0" w:color="000000"/>
            </w:tcBorders>
            <w:hideMark/>
          </w:tcPr>
          <w:p w14:paraId="344EA8BD" w14:textId="77777777" w:rsidR="00045FA6" w:rsidRPr="00215532" w:rsidRDefault="00045FA6" w:rsidP="00F5146C">
            <w:pPr>
              <w:jc w:val="center"/>
              <w:rPr>
                <w:b/>
                <w:lang w:val="en-US"/>
              </w:rPr>
            </w:pPr>
            <w:r w:rsidRPr="00215532">
              <w:rPr>
                <w:b/>
                <w:lang w:val="en-US"/>
              </w:rPr>
              <w:t>Assessment Periods</w:t>
            </w:r>
          </w:p>
        </w:tc>
      </w:tr>
      <w:tr w:rsidR="00045FA6" w:rsidRPr="00215532" w14:paraId="7DA3BD80" w14:textId="77777777" w:rsidTr="00A1289C">
        <w:trPr>
          <w:trHeight w:val="551"/>
          <w:tblHeader/>
        </w:trPr>
        <w:tc>
          <w:tcPr>
            <w:tcW w:w="1985" w:type="dxa"/>
            <w:gridSpan w:val="2"/>
            <w:vMerge/>
            <w:tcBorders>
              <w:top w:val="nil"/>
              <w:left w:val="nil"/>
              <w:bottom w:val="single" w:sz="4" w:space="0" w:color="000000"/>
              <w:right w:val="single" w:sz="4" w:space="0" w:color="000000"/>
            </w:tcBorders>
            <w:vAlign w:val="center"/>
            <w:hideMark/>
          </w:tcPr>
          <w:p w14:paraId="0D399449" w14:textId="77777777" w:rsidR="00045FA6" w:rsidRPr="00215532" w:rsidRDefault="00045FA6" w:rsidP="007D203A">
            <w:pPr>
              <w:rPr>
                <w:lang w:val="en-US"/>
              </w:rPr>
            </w:pPr>
          </w:p>
        </w:tc>
        <w:tc>
          <w:tcPr>
            <w:tcW w:w="1360" w:type="dxa"/>
            <w:tcBorders>
              <w:top w:val="single" w:sz="4" w:space="0" w:color="000000"/>
              <w:left w:val="single" w:sz="4" w:space="0" w:color="000000"/>
              <w:bottom w:val="single" w:sz="4" w:space="0" w:color="000000"/>
              <w:right w:val="single" w:sz="4" w:space="0" w:color="000000"/>
            </w:tcBorders>
            <w:hideMark/>
          </w:tcPr>
          <w:p w14:paraId="6C51B5EE" w14:textId="0B4F055F" w:rsidR="00045FA6" w:rsidRPr="00AA4BCC" w:rsidRDefault="00045FA6" w:rsidP="00AA4BCC">
            <w:pPr>
              <w:spacing w:before="60" w:after="60"/>
              <w:jc w:val="center"/>
              <w:rPr>
                <w:b/>
                <w:sz w:val="18"/>
                <w:szCs w:val="18"/>
                <w:lang w:val="en-US"/>
              </w:rPr>
            </w:pPr>
            <w:r w:rsidRPr="00AA4BCC">
              <w:rPr>
                <w:b/>
                <w:sz w:val="18"/>
                <w:szCs w:val="18"/>
                <w:lang w:val="en-US"/>
              </w:rPr>
              <w:t>1 April 2024</w:t>
            </w:r>
            <w:r w:rsidR="00AA4BCC" w:rsidRPr="00AA4BCC">
              <w:rPr>
                <w:b/>
                <w:sz w:val="18"/>
                <w:szCs w:val="18"/>
                <w:lang w:val="en-US"/>
              </w:rPr>
              <w:t xml:space="preserve"> </w:t>
            </w:r>
            <w:r w:rsidRPr="00AA4BCC">
              <w:rPr>
                <w:b/>
                <w:sz w:val="18"/>
                <w:szCs w:val="18"/>
                <w:lang w:val="en-US"/>
              </w:rPr>
              <w:t>–</w:t>
            </w:r>
            <w:r w:rsidR="00AA4BCC" w:rsidRPr="00AA4BCC">
              <w:rPr>
                <w:b/>
                <w:sz w:val="18"/>
                <w:szCs w:val="18"/>
                <w:lang w:val="en-US"/>
              </w:rPr>
              <w:t xml:space="preserve"> </w:t>
            </w:r>
            <w:r w:rsidRPr="00AA4BCC">
              <w:rPr>
                <w:b/>
                <w:sz w:val="18"/>
                <w:szCs w:val="18"/>
                <w:lang w:val="en-US"/>
              </w:rPr>
              <w:t>31 December</w:t>
            </w:r>
            <w:r w:rsidR="00F5146C" w:rsidRPr="00AA4BCC">
              <w:rPr>
                <w:b/>
                <w:sz w:val="18"/>
                <w:szCs w:val="18"/>
                <w:lang w:val="en-US"/>
              </w:rPr>
              <w:t xml:space="preserve"> </w:t>
            </w:r>
            <w:r w:rsidRPr="00AA4BCC">
              <w:rPr>
                <w:b/>
                <w:sz w:val="18"/>
                <w:szCs w:val="18"/>
                <w:lang w:val="en-US"/>
              </w:rPr>
              <w:t>2024</w:t>
            </w:r>
          </w:p>
        </w:tc>
        <w:tc>
          <w:tcPr>
            <w:tcW w:w="1361" w:type="dxa"/>
            <w:tcBorders>
              <w:top w:val="single" w:sz="4" w:space="0" w:color="000000"/>
              <w:left w:val="single" w:sz="4" w:space="0" w:color="000000"/>
              <w:bottom w:val="single" w:sz="4" w:space="0" w:color="000000"/>
              <w:right w:val="single" w:sz="4" w:space="0" w:color="000000"/>
            </w:tcBorders>
            <w:hideMark/>
          </w:tcPr>
          <w:p w14:paraId="1BA4EF71" w14:textId="65AD4187" w:rsidR="00045FA6" w:rsidRPr="00AA4BCC" w:rsidRDefault="00045FA6" w:rsidP="00AA4BCC">
            <w:pPr>
              <w:spacing w:before="60" w:after="60"/>
              <w:jc w:val="center"/>
              <w:rPr>
                <w:b/>
                <w:sz w:val="18"/>
                <w:szCs w:val="18"/>
                <w:lang w:val="en-US"/>
              </w:rPr>
            </w:pPr>
            <w:r w:rsidRPr="00AA4BCC">
              <w:rPr>
                <w:b/>
                <w:sz w:val="18"/>
                <w:szCs w:val="18"/>
                <w:lang w:val="en-US"/>
              </w:rPr>
              <w:t>1 January 2025</w:t>
            </w:r>
            <w:r w:rsidR="00A1289C">
              <w:rPr>
                <w:b/>
                <w:sz w:val="18"/>
                <w:szCs w:val="18"/>
                <w:lang w:val="en-US"/>
              </w:rPr>
              <w:t xml:space="preserve"> </w:t>
            </w:r>
            <w:r w:rsidRPr="00AA4BCC">
              <w:rPr>
                <w:b/>
                <w:sz w:val="18"/>
                <w:szCs w:val="18"/>
                <w:lang w:val="en-US"/>
              </w:rPr>
              <w:t>–</w:t>
            </w:r>
            <w:r w:rsidR="00AA4BCC" w:rsidRPr="00AA4BCC">
              <w:rPr>
                <w:b/>
                <w:sz w:val="18"/>
                <w:szCs w:val="18"/>
                <w:lang w:val="en-US"/>
              </w:rPr>
              <w:t xml:space="preserve"> </w:t>
            </w:r>
            <w:r w:rsidRPr="00AA4BCC">
              <w:rPr>
                <w:b/>
                <w:sz w:val="18"/>
                <w:szCs w:val="18"/>
                <w:lang w:val="en-US"/>
              </w:rPr>
              <w:t>30 June 2025</w:t>
            </w:r>
          </w:p>
        </w:tc>
        <w:tc>
          <w:tcPr>
            <w:tcW w:w="1361" w:type="dxa"/>
            <w:tcBorders>
              <w:top w:val="single" w:sz="4" w:space="0" w:color="000000"/>
              <w:left w:val="single" w:sz="4" w:space="0" w:color="000000"/>
              <w:bottom w:val="single" w:sz="4" w:space="0" w:color="000000"/>
              <w:right w:val="single" w:sz="4" w:space="0" w:color="000000"/>
            </w:tcBorders>
            <w:hideMark/>
          </w:tcPr>
          <w:p w14:paraId="761376BA" w14:textId="14DD7D90" w:rsidR="00045FA6" w:rsidRPr="00AA4BCC" w:rsidRDefault="00045FA6" w:rsidP="00AA4BCC">
            <w:pPr>
              <w:spacing w:before="60" w:after="60"/>
              <w:jc w:val="center"/>
              <w:rPr>
                <w:b/>
                <w:sz w:val="18"/>
                <w:szCs w:val="18"/>
                <w:lang w:val="en-US"/>
              </w:rPr>
            </w:pPr>
            <w:r w:rsidRPr="00AA4BCC">
              <w:rPr>
                <w:b/>
                <w:sz w:val="18"/>
                <w:szCs w:val="18"/>
                <w:lang w:val="en-US"/>
              </w:rPr>
              <w:t>1 July 2025</w:t>
            </w:r>
            <w:r w:rsidR="00AA4BCC" w:rsidRPr="00AA4BCC">
              <w:rPr>
                <w:b/>
                <w:sz w:val="18"/>
                <w:szCs w:val="18"/>
                <w:lang w:val="en-US"/>
              </w:rPr>
              <w:t xml:space="preserve"> </w:t>
            </w:r>
            <w:r w:rsidR="00F5146C" w:rsidRPr="00AA4BCC">
              <w:rPr>
                <w:b/>
                <w:sz w:val="18"/>
                <w:szCs w:val="18"/>
                <w:lang w:val="en-US"/>
              </w:rPr>
              <w:t>–</w:t>
            </w:r>
            <w:r w:rsidR="00AA4BCC" w:rsidRPr="00AA4BCC">
              <w:rPr>
                <w:b/>
                <w:sz w:val="18"/>
                <w:szCs w:val="18"/>
                <w:lang w:val="en-US"/>
              </w:rPr>
              <w:t xml:space="preserve"> </w:t>
            </w:r>
            <w:r w:rsidRPr="00AA4BCC">
              <w:rPr>
                <w:b/>
                <w:sz w:val="18"/>
                <w:szCs w:val="18"/>
                <w:lang w:val="en-US"/>
              </w:rPr>
              <w:t>31 Decembe</w:t>
            </w:r>
            <w:r w:rsidR="00F5146C" w:rsidRPr="00AA4BCC">
              <w:rPr>
                <w:b/>
                <w:sz w:val="18"/>
                <w:szCs w:val="18"/>
                <w:lang w:val="en-US"/>
              </w:rPr>
              <w:t xml:space="preserve">r </w:t>
            </w:r>
            <w:r w:rsidRPr="00AA4BCC">
              <w:rPr>
                <w:b/>
                <w:sz w:val="18"/>
                <w:szCs w:val="18"/>
                <w:lang w:val="en-US"/>
              </w:rPr>
              <w:t>2025</w:t>
            </w:r>
          </w:p>
        </w:tc>
        <w:tc>
          <w:tcPr>
            <w:tcW w:w="1361" w:type="dxa"/>
            <w:tcBorders>
              <w:top w:val="single" w:sz="4" w:space="0" w:color="000000"/>
              <w:left w:val="single" w:sz="4" w:space="0" w:color="000000"/>
              <w:bottom w:val="single" w:sz="4" w:space="0" w:color="000000"/>
              <w:right w:val="single" w:sz="4" w:space="0" w:color="000000"/>
            </w:tcBorders>
            <w:hideMark/>
          </w:tcPr>
          <w:p w14:paraId="24D145B7" w14:textId="21883F37" w:rsidR="00045FA6" w:rsidRPr="00AA4BCC" w:rsidRDefault="00045FA6" w:rsidP="00AA4BCC">
            <w:pPr>
              <w:spacing w:before="60" w:after="60"/>
              <w:jc w:val="center"/>
              <w:rPr>
                <w:b/>
                <w:sz w:val="18"/>
                <w:szCs w:val="18"/>
                <w:lang w:val="en-US"/>
              </w:rPr>
            </w:pPr>
            <w:r w:rsidRPr="00AA4BCC">
              <w:rPr>
                <w:b/>
                <w:sz w:val="18"/>
                <w:szCs w:val="18"/>
                <w:lang w:val="en-US"/>
              </w:rPr>
              <w:t>1 January 2026</w:t>
            </w:r>
            <w:r w:rsidR="00A1289C">
              <w:rPr>
                <w:b/>
                <w:sz w:val="18"/>
                <w:szCs w:val="18"/>
                <w:lang w:val="en-US"/>
              </w:rPr>
              <w:t xml:space="preserve"> </w:t>
            </w:r>
            <w:r w:rsidRPr="00AA4BCC">
              <w:rPr>
                <w:b/>
                <w:sz w:val="18"/>
                <w:szCs w:val="18"/>
                <w:lang w:val="en-US"/>
              </w:rPr>
              <w:t>–</w:t>
            </w:r>
            <w:r w:rsidR="00AA4BCC" w:rsidRPr="00AA4BCC">
              <w:rPr>
                <w:b/>
                <w:sz w:val="18"/>
                <w:szCs w:val="18"/>
                <w:lang w:val="en-US"/>
              </w:rPr>
              <w:t xml:space="preserve"> </w:t>
            </w:r>
            <w:r w:rsidRPr="00AA4BCC">
              <w:rPr>
                <w:b/>
                <w:sz w:val="18"/>
                <w:szCs w:val="18"/>
                <w:lang w:val="en-US"/>
              </w:rPr>
              <w:t>30 June 2026</w:t>
            </w:r>
          </w:p>
        </w:tc>
        <w:tc>
          <w:tcPr>
            <w:tcW w:w="1361" w:type="dxa"/>
            <w:tcBorders>
              <w:top w:val="single" w:sz="4" w:space="0" w:color="000000"/>
              <w:left w:val="single" w:sz="4" w:space="0" w:color="000000"/>
              <w:bottom w:val="single" w:sz="4" w:space="0" w:color="000000"/>
              <w:right w:val="single" w:sz="4" w:space="0" w:color="000000"/>
            </w:tcBorders>
            <w:hideMark/>
          </w:tcPr>
          <w:p w14:paraId="45AA4EFD" w14:textId="6CD4EBF0" w:rsidR="00045FA6" w:rsidRPr="00AA4BCC" w:rsidRDefault="00045FA6" w:rsidP="00AA4BCC">
            <w:pPr>
              <w:spacing w:before="60" w:after="60"/>
              <w:jc w:val="center"/>
              <w:rPr>
                <w:b/>
                <w:sz w:val="18"/>
                <w:szCs w:val="18"/>
                <w:lang w:val="en-US"/>
              </w:rPr>
            </w:pPr>
            <w:r w:rsidRPr="00AA4BCC">
              <w:rPr>
                <w:b/>
                <w:sz w:val="18"/>
                <w:szCs w:val="18"/>
                <w:lang w:val="en-US"/>
              </w:rPr>
              <w:t>1 July 2026</w:t>
            </w:r>
            <w:r w:rsidR="00AA4BCC" w:rsidRPr="00AA4BCC">
              <w:rPr>
                <w:b/>
                <w:sz w:val="18"/>
                <w:szCs w:val="18"/>
                <w:lang w:val="en-US"/>
              </w:rPr>
              <w:t xml:space="preserve"> </w:t>
            </w:r>
            <w:r w:rsidRPr="00AA4BCC">
              <w:rPr>
                <w:b/>
                <w:sz w:val="18"/>
                <w:szCs w:val="18"/>
                <w:lang w:val="en-US"/>
              </w:rPr>
              <w:t>–</w:t>
            </w:r>
            <w:r w:rsidR="00AA4BCC" w:rsidRPr="00AA4BCC">
              <w:rPr>
                <w:b/>
                <w:sz w:val="18"/>
                <w:szCs w:val="18"/>
                <w:lang w:val="en-US"/>
              </w:rPr>
              <w:t xml:space="preserve"> </w:t>
            </w:r>
            <w:r w:rsidRPr="00AA4BCC">
              <w:rPr>
                <w:b/>
                <w:sz w:val="18"/>
                <w:szCs w:val="18"/>
                <w:lang w:val="en-US"/>
              </w:rPr>
              <w:t>31 December</w:t>
            </w:r>
            <w:r w:rsidR="00AA4BCC" w:rsidRPr="00AA4BCC">
              <w:rPr>
                <w:b/>
                <w:sz w:val="18"/>
                <w:szCs w:val="18"/>
                <w:lang w:val="en-US"/>
              </w:rPr>
              <w:t xml:space="preserve"> </w:t>
            </w:r>
            <w:r w:rsidRPr="00AA4BCC">
              <w:rPr>
                <w:b/>
                <w:sz w:val="18"/>
                <w:szCs w:val="18"/>
                <w:lang w:val="en-US"/>
              </w:rPr>
              <w:t>2026</w:t>
            </w:r>
          </w:p>
        </w:tc>
        <w:tc>
          <w:tcPr>
            <w:tcW w:w="1360" w:type="dxa"/>
            <w:tcBorders>
              <w:top w:val="single" w:sz="4" w:space="0" w:color="000000"/>
              <w:left w:val="single" w:sz="4" w:space="0" w:color="000000"/>
              <w:bottom w:val="single" w:sz="4" w:space="0" w:color="000000"/>
              <w:right w:val="single" w:sz="4" w:space="0" w:color="000000"/>
            </w:tcBorders>
            <w:hideMark/>
          </w:tcPr>
          <w:p w14:paraId="28748E6C" w14:textId="7DE76587" w:rsidR="00045FA6" w:rsidRPr="00AA4BCC" w:rsidRDefault="00045FA6" w:rsidP="00AA4BCC">
            <w:pPr>
              <w:spacing w:before="60" w:after="60"/>
              <w:jc w:val="center"/>
              <w:rPr>
                <w:b/>
                <w:sz w:val="18"/>
                <w:szCs w:val="18"/>
                <w:lang w:val="en-US"/>
              </w:rPr>
            </w:pPr>
            <w:r w:rsidRPr="00AA4BCC">
              <w:rPr>
                <w:b/>
                <w:sz w:val="18"/>
                <w:szCs w:val="18"/>
                <w:lang w:val="en-US"/>
              </w:rPr>
              <w:t>1 January 2027</w:t>
            </w:r>
            <w:r w:rsidR="00A1289C">
              <w:rPr>
                <w:b/>
                <w:sz w:val="18"/>
                <w:szCs w:val="18"/>
                <w:lang w:val="en-US"/>
              </w:rPr>
              <w:t xml:space="preserve"> </w:t>
            </w:r>
            <w:r w:rsidRPr="00AA4BCC">
              <w:rPr>
                <w:b/>
                <w:sz w:val="18"/>
                <w:szCs w:val="18"/>
                <w:lang w:val="en-US"/>
              </w:rPr>
              <w:t>–</w:t>
            </w:r>
            <w:r w:rsidR="00AA4BCC" w:rsidRPr="00AA4BCC">
              <w:rPr>
                <w:b/>
                <w:sz w:val="18"/>
                <w:szCs w:val="18"/>
                <w:lang w:val="en-US"/>
              </w:rPr>
              <w:t xml:space="preserve"> </w:t>
            </w:r>
            <w:r w:rsidRPr="00AA4BCC">
              <w:rPr>
                <w:b/>
                <w:sz w:val="18"/>
                <w:szCs w:val="18"/>
                <w:lang w:val="en-US"/>
              </w:rPr>
              <w:t>30 June 2027</w:t>
            </w:r>
          </w:p>
        </w:tc>
        <w:tc>
          <w:tcPr>
            <w:tcW w:w="1361" w:type="dxa"/>
            <w:tcBorders>
              <w:top w:val="single" w:sz="4" w:space="0" w:color="000000"/>
              <w:left w:val="single" w:sz="4" w:space="0" w:color="000000"/>
              <w:bottom w:val="single" w:sz="4" w:space="0" w:color="000000"/>
              <w:right w:val="single" w:sz="4" w:space="0" w:color="000000"/>
            </w:tcBorders>
            <w:hideMark/>
          </w:tcPr>
          <w:p w14:paraId="2F3DC20E" w14:textId="1823C87B" w:rsidR="00045FA6" w:rsidRPr="00AA4BCC" w:rsidRDefault="00045FA6" w:rsidP="00AA4BCC">
            <w:pPr>
              <w:spacing w:before="60" w:after="60"/>
              <w:jc w:val="center"/>
              <w:rPr>
                <w:b/>
                <w:sz w:val="18"/>
                <w:szCs w:val="18"/>
                <w:lang w:val="en-US"/>
              </w:rPr>
            </w:pPr>
            <w:r w:rsidRPr="00AA4BCC">
              <w:rPr>
                <w:b/>
                <w:sz w:val="18"/>
                <w:szCs w:val="18"/>
                <w:lang w:val="en-US"/>
              </w:rPr>
              <w:t>1 July 2027</w:t>
            </w:r>
            <w:r w:rsidR="00AA4BCC" w:rsidRPr="00AA4BCC">
              <w:rPr>
                <w:b/>
                <w:sz w:val="18"/>
                <w:szCs w:val="18"/>
                <w:lang w:val="en-US"/>
              </w:rPr>
              <w:t xml:space="preserve"> </w:t>
            </w:r>
            <w:r w:rsidRPr="00AA4BCC">
              <w:rPr>
                <w:b/>
                <w:sz w:val="18"/>
                <w:szCs w:val="18"/>
                <w:lang w:val="en-US"/>
              </w:rPr>
              <w:t>–</w:t>
            </w:r>
            <w:r w:rsidR="00AA4BCC" w:rsidRPr="00AA4BCC">
              <w:rPr>
                <w:b/>
                <w:sz w:val="18"/>
                <w:szCs w:val="18"/>
                <w:lang w:val="en-US"/>
              </w:rPr>
              <w:t xml:space="preserve"> </w:t>
            </w:r>
            <w:r w:rsidRPr="00AA4BCC">
              <w:rPr>
                <w:b/>
                <w:sz w:val="18"/>
                <w:szCs w:val="18"/>
                <w:lang w:val="en-US"/>
              </w:rPr>
              <w:t>31 December</w:t>
            </w:r>
            <w:r w:rsidR="00AA4BCC" w:rsidRPr="00AA4BCC">
              <w:rPr>
                <w:b/>
                <w:sz w:val="18"/>
                <w:szCs w:val="18"/>
                <w:lang w:val="en-US"/>
              </w:rPr>
              <w:t xml:space="preserve"> </w:t>
            </w:r>
            <w:r w:rsidRPr="00AA4BCC">
              <w:rPr>
                <w:b/>
                <w:sz w:val="18"/>
                <w:szCs w:val="18"/>
                <w:lang w:val="en-US"/>
              </w:rPr>
              <w:t>2027</w:t>
            </w:r>
          </w:p>
        </w:tc>
        <w:tc>
          <w:tcPr>
            <w:tcW w:w="1674" w:type="dxa"/>
            <w:tcBorders>
              <w:top w:val="single" w:sz="4" w:space="0" w:color="000000"/>
              <w:left w:val="single" w:sz="4" w:space="0" w:color="000000"/>
              <w:bottom w:val="single" w:sz="4" w:space="0" w:color="000000"/>
              <w:right w:val="single" w:sz="4" w:space="0" w:color="000000"/>
            </w:tcBorders>
            <w:hideMark/>
          </w:tcPr>
          <w:p w14:paraId="156CBB56" w14:textId="73AFE29E" w:rsidR="00045FA6" w:rsidRPr="00AA4BCC" w:rsidRDefault="00045FA6" w:rsidP="00AA4BCC">
            <w:pPr>
              <w:spacing w:before="60" w:after="60"/>
              <w:jc w:val="center"/>
              <w:rPr>
                <w:b/>
                <w:sz w:val="18"/>
                <w:szCs w:val="18"/>
                <w:lang w:val="en-US"/>
              </w:rPr>
            </w:pPr>
            <w:r w:rsidRPr="00AA4BCC">
              <w:rPr>
                <w:b/>
                <w:sz w:val="18"/>
                <w:szCs w:val="18"/>
                <w:lang w:val="en-US"/>
              </w:rPr>
              <w:t>1 January 2028</w:t>
            </w:r>
            <w:r w:rsidR="00AA4BCC" w:rsidRPr="00AA4BCC">
              <w:rPr>
                <w:b/>
                <w:sz w:val="18"/>
                <w:szCs w:val="18"/>
                <w:lang w:val="en-US"/>
              </w:rPr>
              <w:t xml:space="preserve"> </w:t>
            </w:r>
            <w:r w:rsidRPr="00AA4BCC">
              <w:rPr>
                <w:b/>
                <w:sz w:val="18"/>
                <w:szCs w:val="18"/>
                <w:lang w:val="en-US"/>
              </w:rPr>
              <w:t>–</w:t>
            </w:r>
            <w:r w:rsidR="00AA4BCC" w:rsidRPr="00AA4BCC">
              <w:rPr>
                <w:b/>
                <w:sz w:val="18"/>
                <w:szCs w:val="18"/>
                <w:lang w:val="en-US"/>
              </w:rPr>
              <w:t xml:space="preserve"> </w:t>
            </w:r>
            <w:r w:rsidRPr="00AA4BCC">
              <w:rPr>
                <w:b/>
                <w:sz w:val="18"/>
                <w:szCs w:val="18"/>
                <w:lang w:val="en-US"/>
              </w:rPr>
              <w:t>30 June 2028</w:t>
            </w:r>
          </w:p>
        </w:tc>
        <w:tc>
          <w:tcPr>
            <w:tcW w:w="1048" w:type="dxa"/>
            <w:tcBorders>
              <w:top w:val="single" w:sz="4" w:space="0" w:color="000000"/>
              <w:left w:val="single" w:sz="4" w:space="0" w:color="000000"/>
              <w:bottom w:val="single" w:sz="4" w:space="0" w:color="000000"/>
              <w:right w:val="single" w:sz="4" w:space="0" w:color="000000"/>
            </w:tcBorders>
            <w:hideMark/>
          </w:tcPr>
          <w:p w14:paraId="7D22EBAE" w14:textId="61BF64F2" w:rsidR="00045FA6" w:rsidRPr="00AA4BCC" w:rsidRDefault="00045FA6" w:rsidP="00AA4BCC">
            <w:pPr>
              <w:spacing w:before="60" w:after="60"/>
              <w:jc w:val="center"/>
              <w:rPr>
                <w:b/>
                <w:sz w:val="18"/>
                <w:szCs w:val="18"/>
                <w:lang w:val="en-US"/>
              </w:rPr>
            </w:pPr>
            <w:r w:rsidRPr="00AA4BCC">
              <w:rPr>
                <w:b/>
                <w:sz w:val="18"/>
                <w:szCs w:val="18"/>
                <w:lang w:val="en-US"/>
              </w:rPr>
              <w:t>1 July 2028</w:t>
            </w:r>
            <w:r w:rsidR="00A1289C">
              <w:rPr>
                <w:b/>
                <w:sz w:val="18"/>
                <w:szCs w:val="18"/>
                <w:lang w:val="en-US"/>
              </w:rPr>
              <w:t xml:space="preserve"> </w:t>
            </w:r>
            <w:r w:rsidRPr="00AA4BCC">
              <w:rPr>
                <w:b/>
                <w:sz w:val="18"/>
                <w:szCs w:val="18"/>
                <w:lang w:val="en-US"/>
              </w:rPr>
              <w:t>–</w:t>
            </w:r>
            <w:r w:rsidR="00AA4BCC" w:rsidRPr="00AA4BCC">
              <w:rPr>
                <w:b/>
                <w:sz w:val="18"/>
                <w:szCs w:val="18"/>
                <w:lang w:val="en-US"/>
              </w:rPr>
              <w:t xml:space="preserve"> </w:t>
            </w:r>
            <w:r w:rsidRPr="00AA4BCC">
              <w:rPr>
                <w:b/>
                <w:sz w:val="18"/>
                <w:szCs w:val="18"/>
                <w:lang w:val="en-US"/>
              </w:rPr>
              <w:t>31 December</w:t>
            </w:r>
            <w:r w:rsidR="00AA4BCC" w:rsidRPr="00AA4BCC">
              <w:rPr>
                <w:b/>
                <w:sz w:val="18"/>
                <w:szCs w:val="18"/>
                <w:lang w:val="en-US"/>
              </w:rPr>
              <w:t xml:space="preserve"> </w:t>
            </w:r>
            <w:r w:rsidRPr="00AA4BCC">
              <w:rPr>
                <w:b/>
                <w:sz w:val="18"/>
                <w:szCs w:val="18"/>
                <w:lang w:val="en-US"/>
              </w:rPr>
              <w:t>2028</w:t>
            </w:r>
          </w:p>
        </w:tc>
        <w:tc>
          <w:tcPr>
            <w:tcW w:w="1361" w:type="dxa"/>
            <w:tcBorders>
              <w:top w:val="single" w:sz="4" w:space="0" w:color="000000"/>
              <w:left w:val="single" w:sz="4" w:space="0" w:color="000000"/>
              <w:bottom w:val="single" w:sz="4" w:space="0" w:color="000000"/>
              <w:right w:val="single" w:sz="4" w:space="0" w:color="000000"/>
            </w:tcBorders>
            <w:hideMark/>
          </w:tcPr>
          <w:p w14:paraId="1F32DF0D" w14:textId="3CE07E03" w:rsidR="00045FA6" w:rsidRPr="00AA4BCC" w:rsidRDefault="00045FA6" w:rsidP="00AA4BCC">
            <w:pPr>
              <w:spacing w:before="60" w:after="60"/>
              <w:jc w:val="center"/>
              <w:rPr>
                <w:b/>
                <w:sz w:val="18"/>
                <w:szCs w:val="18"/>
                <w:lang w:val="en-US"/>
              </w:rPr>
            </w:pPr>
            <w:r w:rsidRPr="00AA4BCC">
              <w:rPr>
                <w:b/>
                <w:sz w:val="18"/>
                <w:szCs w:val="18"/>
                <w:lang w:val="en-US"/>
              </w:rPr>
              <w:t>1 January 2029</w:t>
            </w:r>
            <w:r w:rsidR="00A1289C">
              <w:rPr>
                <w:b/>
                <w:sz w:val="18"/>
                <w:szCs w:val="18"/>
                <w:lang w:val="en-US"/>
              </w:rPr>
              <w:t xml:space="preserve"> </w:t>
            </w:r>
            <w:r w:rsidRPr="00AA4BCC">
              <w:rPr>
                <w:b/>
                <w:sz w:val="18"/>
                <w:szCs w:val="18"/>
                <w:lang w:val="en-US"/>
              </w:rPr>
              <w:t>–</w:t>
            </w:r>
            <w:r w:rsidR="00AA4BCC" w:rsidRPr="00AA4BCC">
              <w:rPr>
                <w:b/>
                <w:sz w:val="18"/>
                <w:szCs w:val="18"/>
                <w:lang w:val="en-US"/>
              </w:rPr>
              <w:t xml:space="preserve"> </w:t>
            </w:r>
            <w:r w:rsidRPr="00AA4BCC">
              <w:rPr>
                <w:b/>
                <w:sz w:val="18"/>
                <w:szCs w:val="18"/>
                <w:lang w:val="en-US"/>
              </w:rPr>
              <w:t>30 June 2029</w:t>
            </w:r>
          </w:p>
        </w:tc>
      </w:tr>
      <w:tr w:rsidR="00045FA6" w:rsidRPr="00215532" w14:paraId="16B1285B" w14:textId="77777777" w:rsidTr="00A1289C">
        <w:trPr>
          <w:trHeight w:val="984"/>
        </w:trPr>
        <w:tc>
          <w:tcPr>
            <w:tcW w:w="568" w:type="dxa"/>
            <w:tcBorders>
              <w:top w:val="single" w:sz="4" w:space="0" w:color="000000"/>
              <w:left w:val="single" w:sz="4" w:space="0" w:color="000000"/>
              <w:bottom w:val="single" w:sz="4" w:space="0" w:color="000000"/>
              <w:right w:val="single" w:sz="4" w:space="0" w:color="000000"/>
            </w:tcBorders>
            <w:vAlign w:val="center"/>
          </w:tcPr>
          <w:p w14:paraId="47D6255C" w14:textId="77777777" w:rsidR="00045FA6" w:rsidRPr="00215532" w:rsidRDefault="00045FA6" w:rsidP="001527C9">
            <w:pPr>
              <w:spacing w:beforeLines="60" w:before="144" w:afterLines="60" w:after="144"/>
              <w:jc w:val="center"/>
              <w:rPr>
                <w:lang w:val="en-US"/>
              </w:rPr>
            </w:pPr>
            <w:r w:rsidRPr="00215532">
              <w:rPr>
                <w:lang w:val="en-US"/>
              </w:rPr>
              <w:t>Rows</w:t>
            </w:r>
          </w:p>
        </w:tc>
        <w:tc>
          <w:tcPr>
            <w:tcW w:w="1417" w:type="dxa"/>
            <w:tcBorders>
              <w:top w:val="single" w:sz="4" w:space="0" w:color="000000"/>
              <w:left w:val="single" w:sz="4" w:space="0" w:color="000000"/>
              <w:bottom w:val="single" w:sz="4" w:space="0" w:color="000000"/>
              <w:right w:val="single" w:sz="4" w:space="0" w:color="000000"/>
            </w:tcBorders>
            <w:vAlign w:val="center"/>
          </w:tcPr>
          <w:p w14:paraId="066F5D3A" w14:textId="77777777" w:rsidR="00045FA6" w:rsidRPr="00215532" w:rsidRDefault="00045FA6" w:rsidP="001527C9">
            <w:pPr>
              <w:spacing w:beforeLines="60" w:before="144" w:afterLines="60" w:after="144"/>
              <w:jc w:val="center"/>
              <w:rPr>
                <w:lang w:val="en-US"/>
              </w:rPr>
            </w:pPr>
            <w:r w:rsidRPr="00215532">
              <w:rPr>
                <w:lang w:val="en-US"/>
              </w:rPr>
              <w:t>Description</w:t>
            </w:r>
          </w:p>
        </w:tc>
        <w:tc>
          <w:tcPr>
            <w:tcW w:w="1360" w:type="dxa"/>
            <w:tcBorders>
              <w:top w:val="single" w:sz="4" w:space="0" w:color="000000"/>
              <w:left w:val="single" w:sz="4" w:space="0" w:color="000000"/>
              <w:bottom w:val="single" w:sz="4" w:space="0" w:color="000000"/>
              <w:right w:val="single" w:sz="4" w:space="0" w:color="000000"/>
            </w:tcBorders>
            <w:hideMark/>
          </w:tcPr>
          <w:p w14:paraId="79583124" w14:textId="0FC72B3A" w:rsidR="00045FA6" w:rsidRPr="00215532" w:rsidRDefault="00045FA6" w:rsidP="00F5146C">
            <w:pPr>
              <w:spacing w:before="60" w:after="60"/>
              <w:jc w:val="center"/>
              <w:rPr>
                <w:lang w:val="en-US"/>
              </w:rPr>
            </w:pPr>
            <w:r w:rsidRPr="00215532">
              <w:rPr>
                <w:lang w:val="en-US"/>
              </w:rPr>
              <w:t>First Assessment Period</w:t>
            </w:r>
          </w:p>
        </w:tc>
        <w:tc>
          <w:tcPr>
            <w:tcW w:w="1361" w:type="dxa"/>
            <w:tcBorders>
              <w:top w:val="single" w:sz="4" w:space="0" w:color="000000"/>
              <w:left w:val="single" w:sz="4" w:space="0" w:color="000000"/>
              <w:bottom w:val="single" w:sz="4" w:space="0" w:color="000000"/>
              <w:right w:val="single" w:sz="4" w:space="0" w:color="000000"/>
            </w:tcBorders>
            <w:hideMark/>
          </w:tcPr>
          <w:p w14:paraId="1A5886B3" w14:textId="76A41017" w:rsidR="00045FA6" w:rsidRPr="00215532" w:rsidRDefault="00045FA6" w:rsidP="00F5146C">
            <w:pPr>
              <w:spacing w:before="60" w:after="60"/>
              <w:jc w:val="center"/>
              <w:rPr>
                <w:lang w:val="en-US"/>
              </w:rPr>
            </w:pPr>
            <w:r w:rsidRPr="00215532">
              <w:rPr>
                <w:lang w:val="en-US"/>
              </w:rPr>
              <w:t>Second</w:t>
            </w:r>
            <w:r w:rsidR="006953E0">
              <w:rPr>
                <w:lang w:val="en-US"/>
              </w:rPr>
              <w:t xml:space="preserve"> </w:t>
            </w:r>
            <w:r w:rsidRPr="00215532">
              <w:rPr>
                <w:lang w:val="en-US"/>
              </w:rPr>
              <w:t>Assessment Period</w:t>
            </w:r>
          </w:p>
        </w:tc>
        <w:tc>
          <w:tcPr>
            <w:tcW w:w="1361" w:type="dxa"/>
            <w:tcBorders>
              <w:top w:val="single" w:sz="4" w:space="0" w:color="000000"/>
              <w:left w:val="single" w:sz="4" w:space="0" w:color="000000"/>
              <w:bottom w:val="single" w:sz="4" w:space="0" w:color="000000"/>
              <w:right w:val="single" w:sz="4" w:space="0" w:color="000000"/>
            </w:tcBorders>
            <w:hideMark/>
          </w:tcPr>
          <w:p w14:paraId="513448CF" w14:textId="77777777" w:rsidR="00045FA6" w:rsidRPr="00215532" w:rsidRDefault="00045FA6" w:rsidP="00F5146C">
            <w:pPr>
              <w:spacing w:before="60" w:after="60"/>
              <w:jc w:val="center"/>
              <w:rPr>
                <w:lang w:val="en-US"/>
              </w:rPr>
            </w:pPr>
            <w:r w:rsidRPr="00215532">
              <w:rPr>
                <w:lang w:val="en-US"/>
              </w:rPr>
              <w:t>Third Assessment Period</w:t>
            </w:r>
          </w:p>
        </w:tc>
        <w:tc>
          <w:tcPr>
            <w:tcW w:w="1361" w:type="dxa"/>
            <w:tcBorders>
              <w:top w:val="single" w:sz="4" w:space="0" w:color="000000"/>
              <w:left w:val="single" w:sz="4" w:space="0" w:color="000000"/>
              <w:bottom w:val="single" w:sz="4" w:space="0" w:color="000000"/>
              <w:right w:val="single" w:sz="4" w:space="0" w:color="000000"/>
            </w:tcBorders>
            <w:hideMark/>
          </w:tcPr>
          <w:p w14:paraId="105E1B88" w14:textId="282D9F2C" w:rsidR="00045FA6" w:rsidRPr="00215532" w:rsidRDefault="00045FA6" w:rsidP="00F5146C">
            <w:pPr>
              <w:spacing w:before="60" w:after="60"/>
              <w:jc w:val="center"/>
              <w:rPr>
                <w:lang w:val="en-US"/>
              </w:rPr>
            </w:pPr>
            <w:r w:rsidRPr="00215532">
              <w:rPr>
                <w:lang w:val="en-US"/>
              </w:rPr>
              <w:t>Fourth</w:t>
            </w:r>
            <w:r w:rsidR="006953E0">
              <w:rPr>
                <w:lang w:val="en-US"/>
              </w:rPr>
              <w:t xml:space="preserve"> </w:t>
            </w:r>
            <w:r w:rsidRPr="00215532">
              <w:rPr>
                <w:lang w:val="en-US"/>
              </w:rPr>
              <w:t>Assessment Period</w:t>
            </w:r>
          </w:p>
        </w:tc>
        <w:tc>
          <w:tcPr>
            <w:tcW w:w="1361" w:type="dxa"/>
            <w:tcBorders>
              <w:top w:val="single" w:sz="4" w:space="0" w:color="000000"/>
              <w:left w:val="single" w:sz="4" w:space="0" w:color="000000"/>
              <w:bottom w:val="single" w:sz="4" w:space="0" w:color="000000"/>
              <w:right w:val="single" w:sz="4" w:space="0" w:color="000000"/>
            </w:tcBorders>
            <w:hideMark/>
          </w:tcPr>
          <w:p w14:paraId="0552F113" w14:textId="2986588A" w:rsidR="00045FA6" w:rsidRPr="00215532" w:rsidRDefault="00045FA6" w:rsidP="00F5146C">
            <w:pPr>
              <w:spacing w:before="60" w:after="60"/>
              <w:jc w:val="center"/>
              <w:rPr>
                <w:lang w:val="en-US"/>
              </w:rPr>
            </w:pPr>
            <w:r w:rsidRPr="00215532">
              <w:rPr>
                <w:lang w:val="en-US"/>
              </w:rPr>
              <w:t>Fifth Assessment Period</w:t>
            </w:r>
            <w:r w:rsidR="008B50D5">
              <w:rPr>
                <w:lang w:val="en-US"/>
              </w:rPr>
              <w:t xml:space="preserve"> </w:t>
            </w:r>
            <w:r w:rsidR="008B50D5" w:rsidRPr="00EE6D5B">
              <w:rPr>
                <w:vertAlign w:val="superscript"/>
                <w:lang w:val="en-US"/>
              </w:rPr>
              <w:t>##</w:t>
            </w:r>
          </w:p>
        </w:tc>
        <w:tc>
          <w:tcPr>
            <w:tcW w:w="1360" w:type="dxa"/>
            <w:tcBorders>
              <w:top w:val="single" w:sz="4" w:space="0" w:color="000000"/>
              <w:left w:val="single" w:sz="4" w:space="0" w:color="000000"/>
              <w:bottom w:val="single" w:sz="4" w:space="0" w:color="000000"/>
              <w:right w:val="single" w:sz="4" w:space="0" w:color="000000"/>
            </w:tcBorders>
            <w:hideMark/>
          </w:tcPr>
          <w:p w14:paraId="59F71003" w14:textId="0936F374" w:rsidR="00045FA6" w:rsidRPr="00215532" w:rsidRDefault="00045FA6" w:rsidP="00F5146C">
            <w:pPr>
              <w:spacing w:before="60" w:after="60"/>
              <w:jc w:val="center"/>
              <w:rPr>
                <w:lang w:val="en-US"/>
              </w:rPr>
            </w:pPr>
            <w:r w:rsidRPr="00215532">
              <w:rPr>
                <w:lang w:val="en-US"/>
              </w:rPr>
              <w:t>Sixth Assessment Period</w:t>
            </w:r>
            <w:r w:rsidR="00A81E5D">
              <w:rPr>
                <w:lang w:val="en-US"/>
              </w:rPr>
              <w:t xml:space="preserve"> </w:t>
            </w:r>
            <w:r w:rsidR="00A81E5D" w:rsidRPr="00EE6D5B">
              <w:rPr>
                <w:vertAlign w:val="superscript"/>
                <w:lang w:val="en-US"/>
              </w:rPr>
              <w:t>##</w:t>
            </w:r>
          </w:p>
        </w:tc>
        <w:tc>
          <w:tcPr>
            <w:tcW w:w="1361" w:type="dxa"/>
            <w:tcBorders>
              <w:top w:val="single" w:sz="4" w:space="0" w:color="000000"/>
              <w:left w:val="single" w:sz="4" w:space="0" w:color="000000"/>
              <w:bottom w:val="single" w:sz="4" w:space="0" w:color="000000"/>
              <w:right w:val="single" w:sz="4" w:space="0" w:color="000000"/>
            </w:tcBorders>
            <w:hideMark/>
          </w:tcPr>
          <w:p w14:paraId="629162B3" w14:textId="1E0BE61E" w:rsidR="00045FA6" w:rsidRPr="00215532" w:rsidRDefault="00045FA6" w:rsidP="00F5146C">
            <w:pPr>
              <w:spacing w:before="60" w:after="60"/>
              <w:jc w:val="center"/>
              <w:rPr>
                <w:lang w:val="en-US"/>
              </w:rPr>
            </w:pPr>
            <w:r w:rsidRPr="00215532">
              <w:rPr>
                <w:lang w:val="en-US"/>
              </w:rPr>
              <w:t>Seventh</w:t>
            </w:r>
            <w:r w:rsidR="006953E0">
              <w:rPr>
                <w:lang w:val="en-US"/>
              </w:rPr>
              <w:t xml:space="preserve"> </w:t>
            </w:r>
            <w:r w:rsidRPr="00215532">
              <w:rPr>
                <w:lang w:val="en-US"/>
              </w:rPr>
              <w:t>Assessment Period</w:t>
            </w:r>
            <w:r w:rsidR="00A81E5D">
              <w:rPr>
                <w:lang w:val="en-US"/>
              </w:rPr>
              <w:t xml:space="preserve"> </w:t>
            </w:r>
            <w:r w:rsidR="00A81E5D" w:rsidRPr="00EE6D5B">
              <w:rPr>
                <w:vertAlign w:val="superscript"/>
                <w:lang w:val="en-US"/>
              </w:rPr>
              <w:t>##</w:t>
            </w:r>
          </w:p>
        </w:tc>
        <w:tc>
          <w:tcPr>
            <w:tcW w:w="1674" w:type="dxa"/>
            <w:tcBorders>
              <w:top w:val="single" w:sz="4" w:space="0" w:color="000000"/>
              <w:left w:val="single" w:sz="4" w:space="0" w:color="000000"/>
              <w:bottom w:val="single" w:sz="4" w:space="0" w:color="000000"/>
              <w:right w:val="single" w:sz="4" w:space="0" w:color="000000"/>
            </w:tcBorders>
            <w:hideMark/>
          </w:tcPr>
          <w:p w14:paraId="365CE4C4" w14:textId="59962861" w:rsidR="00045FA6" w:rsidRPr="00215532" w:rsidRDefault="00045FA6" w:rsidP="00F5146C">
            <w:pPr>
              <w:spacing w:before="60" w:after="60"/>
              <w:jc w:val="center"/>
              <w:rPr>
                <w:lang w:val="en-US"/>
              </w:rPr>
            </w:pPr>
            <w:r w:rsidRPr="00215532">
              <w:rPr>
                <w:lang w:val="en-US"/>
              </w:rPr>
              <w:t>Eighth</w:t>
            </w:r>
            <w:r w:rsidR="006953E0">
              <w:rPr>
                <w:lang w:val="en-US"/>
              </w:rPr>
              <w:t xml:space="preserve"> </w:t>
            </w:r>
            <w:r w:rsidRPr="00215532">
              <w:rPr>
                <w:lang w:val="en-US"/>
              </w:rPr>
              <w:t>Assessment Period</w:t>
            </w:r>
            <w:r w:rsidR="00A81E5D">
              <w:rPr>
                <w:lang w:val="en-US"/>
              </w:rPr>
              <w:t xml:space="preserve"> </w:t>
            </w:r>
            <w:r w:rsidR="00A81E5D" w:rsidRPr="00EE6D5B">
              <w:rPr>
                <w:vertAlign w:val="superscript"/>
                <w:lang w:val="en-US"/>
              </w:rPr>
              <w:t>##</w:t>
            </w:r>
          </w:p>
        </w:tc>
        <w:tc>
          <w:tcPr>
            <w:tcW w:w="1048" w:type="dxa"/>
            <w:tcBorders>
              <w:top w:val="single" w:sz="4" w:space="0" w:color="000000"/>
              <w:left w:val="single" w:sz="4" w:space="0" w:color="000000"/>
              <w:bottom w:val="single" w:sz="4" w:space="0" w:color="000000"/>
              <w:right w:val="single" w:sz="4" w:space="0" w:color="000000"/>
            </w:tcBorders>
            <w:hideMark/>
          </w:tcPr>
          <w:p w14:paraId="1BDC3F28" w14:textId="5C50C452" w:rsidR="00045FA6" w:rsidRPr="00215532" w:rsidRDefault="00045FA6" w:rsidP="00F5146C">
            <w:pPr>
              <w:spacing w:before="60" w:after="60"/>
              <w:jc w:val="center"/>
              <w:rPr>
                <w:lang w:val="en-US"/>
              </w:rPr>
            </w:pPr>
            <w:r w:rsidRPr="00215532">
              <w:rPr>
                <w:lang w:val="en-US"/>
              </w:rPr>
              <w:t>Ninth</w:t>
            </w:r>
            <w:r w:rsidR="006953E0">
              <w:rPr>
                <w:lang w:val="en-US"/>
              </w:rPr>
              <w:t xml:space="preserve"> </w:t>
            </w:r>
            <w:r w:rsidRPr="00215532">
              <w:rPr>
                <w:lang w:val="en-US"/>
              </w:rPr>
              <w:t>Assessment Period</w:t>
            </w:r>
            <w:r w:rsidR="00A81E5D">
              <w:rPr>
                <w:lang w:val="en-US"/>
              </w:rPr>
              <w:t xml:space="preserve"> </w:t>
            </w:r>
            <w:r w:rsidR="00A81E5D" w:rsidRPr="00EE6D5B">
              <w:rPr>
                <w:vertAlign w:val="superscript"/>
                <w:lang w:val="en-US"/>
              </w:rPr>
              <w:t>##</w:t>
            </w:r>
          </w:p>
        </w:tc>
        <w:tc>
          <w:tcPr>
            <w:tcW w:w="1361" w:type="dxa"/>
            <w:tcBorders>
              <w:top w:val="single" w:sz="4" w:space="0" w:color="000000"/>
              <w:left w:val="single" w:sz="4" w:space="0" w:color="000000"/>
              <w:bottom w:val="single" w:sz="4" w:space="0" w:color="000000"/>
              <w:right w:val="single" w:sz="4" w:space="0" w:color="000000"/>
            </w:tcBorders>
            <w:hideMark/>
          </w:tcPr>
          <w:p w14:paraId="32D0FE1B" w14:textId="32F88E1E" w:rsidR="00045FA6" w:rsidRPr="00215532" w:rsidRDefault="00045FA6" w:rsidP="00F5146C">
            <w:pPr>
              <w:spacing w:before="60" w:after="60"/>
              <w:jc w:val="center"/>
              <w:rPr>
                <w:lang w:val="en-US"/>
              </w:rPr>
            </w:pPr>
            <w:r w:rsidRPr="00215532">
              <w:rPr>
                <w:lang w:val="en-US"/>
              </w:rPr>
              <w:t>Tenth</w:t>
            </w:r>
            <w:r w:rsidR="006953E0">
              <w:rPr>
                <w:lang w:val="en-US"/>
              </w:rPr>
              <w:t xml:space="preserve"> </w:t>
            </w:r>
            <w:r w:rsidRPr="00215532">
              <w:rPr>
                <w:lang w:val="en-US"/>
              </w:rPr>
              <w:t>Assessment Period</w:t>
            </w:r>
            <w:r w:rsidR="00A81E5D">
              <w:rPr>
                <w:lang w:val="en-US"/>
              </w:rPr>
              <w:t xml:space="preserve"> </w:t>
            </w:r>
            <w:r w:rsidR="00A81E5D" w:rsidRPr="00EE6D5B">
              <w:rPr>
                <w:vertAlign w:val="superscript"/>
                <w:lang w:val="en-US"/>
              </w:rPr>
              <w:t>##</w:t>
            </w:r>
          </w:p>
        </w:tc>
      </w:tr>
      <w:tr w:rsidR="00045FA6" w:rsidRPr="00215532" w14:paraId="1986EB96" w14:textId="77777777" w:rsidTr="00A1289C">
        <w:trPr>
          <w:trHeight w:val="184"/>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565D6AB" w14:textId="77777777" w:rsidR="00045FA6" w:rsidRPr="00215532" w:rsidRDefault="00045FA6" w:rsidP="008A7390">
            <w:pPr>
              <w:spacing w:beforeLines="60" w:before="144" w:afterLines="60" w:after="144"/>
              <w:jc w:val="center"/>
              <w:rPr>
                <w:lang w:val="en-US"/>
              </w:rPr>
            </w:pPr>
            <w:r w:rsidRPr="00215532">
              <w:rPr>
                <w:lang w:val="en-US"/>
              </w:rPr>
              <w:t>A</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EE92D05" w14:textId="77777777" w:rsidR="00045FA6" w:rsidRPr="00215532" w:rsidRDefault="00045FA6" w:rsidP="00116E24">
            <w:pPr>
              <w:spacing w:beforeLines="60" w:before="144" w:afterLines="60" w:after="144"/>
              <w:jc w:val="center"/>
              <w:rPr>
                <w:b/>
                <w:lang w:val="en-US"/>
              </w:rPr>
            </w:pPr>
            <w:r w:rsidRPr="00215532">
              <w:rPr>
                <w:b/>
                <w:lang w:val="en-US"/>
              </w:rPr>
              <w:t xml:space="preserve">Component 1 pool </w:t>
            </w:r>
            <w:r w:rsidRPr="00EE6D5B">
              <w:rPr>
                <w:b/>
                <w:vertAlign w:val="superscript"/>
                <w:lang w:val="en-US"/>
              </w:rPr>
              <w:t>#</w:t>
            </w:r>
          </w:p>
        </w:tc>
        <w:tc>
          <w:tcPr>
            <w:tcW w:w="1360" w:type="dxa"/>
            <w:tcBorders>
              <w:top w:val="single" w:sz="4" w:space="0" w:color="000000"/>
              <w:left w:val="single" w:sz="4" w:space="0" w:color="000000"/>
              <w:bottom w:val="single" w:sz="4" w:space="0" w:color="000000"/>
              <w:right w:val="single" w:sz="4" w:space="0" w:color="000000"/>
            </w:tcBorders>
            <w:vAlign w:val="center"/>
            <w:hideMark/>
          </w:tcPr>
          <w:p w14:paraId="6270FCEB" w14:textId="77777777" w:rsidR="00045FA6" w:rsidRPr="00215532" w:rsidRDefault="00045FA6" w:rsidP="00EB1229">
            <w:pPr>
              <w:spacing w:before="60" w:after="60"/>
              <w:jc w:val="center"/>
              <w:rPr>
                <w:lang w:val="en-US"/>
              </w:rPr>
            </w:pPr>
            <w:r w:rsidRPr="00215532">
              <w:rPr>
                <w:lang w:val="en-US"/>
              </w:rPr>
              <w:t>$94,295,006</w:t>
            </w:r>
          </w:p>
        </w:tc>
        <w:tc>
          <w:tcPr>
            <w:tcW w:w="1361" w:type="dxa"/>
            <w:tcBorders>
              <w:top w:val="single" w:sz="4" w:space="0" w:color="000000"/>
              <w:left w:val="single" w:sz="4" w:space="0" w:color="000000"/>
              <w:bottom w:val="single" w:sz="4" w:space="0" w:color="000000"/>
              <w:right w:val="single" w:sz="4" w:space="0" w:color="000000"/>
            </w:tcBorders>
            <w:vAlign w:val="center"/>
            <w:hideMark/>
          </w:tcPr>
          <w:p w14:paraId="23A3B6FD" w14:textId="77777777" w:rsidR="00045FA6" w:rsidRPr="00215532" w:rsidRDefault="00045FA6" w:rsidP="00E4525F">
            <w:pPr>
              <w:spacing w:before="60" w:after="60"/>
              <w:jc w:val="center"/>
              <w:rPr>
                <w:lang w:val="en-US"/>
              </w:rPr>
            </w:pPr>
            <w:r w:rsidRPr="00215532">
              <w:rPr>
                <w:lang w:val="en-US"/>
              </w:rPr>
              <w:t>$93,208,457</w:t>
            </w:r>
          </w:p>
        </w:tc>
        <w:tc>
          <w:tcPr>
            <w:tcW w:w="1361" w:type="dxa"/>
            <w:tcBorders>
              <w:top w:val="single" w:sz="4" w:space="0" w:color="000000"/>
              <w:left w:val="single" w:sz="4" w:space="0" w:color="000000"/>
              <w:bottom w:val="single" w:sz="4" w:space="0" w:color="000000"/>
              <w:right w:val="single" w:sz="4" w:space="0" w:color="000000"/>
            </w:tcBorders>
            <w:vAlign w:val="center"/>
            <w:hideMark/>
          </w:tcPr>
          <w:p w14:paraId="5AAFC5CD" w14:textId="77777777" w:rsidR="00045FA6" w:rsidRPr="00215532" w:rsidRDefault="00045FA6" w:rsidP="00E4525F">
            <w:pPr>
              <w:spacing w:before="60" w:after="60"/>
              <w:jc w:val="center"/>
              <w:rPr>
                <w:lang w:val="en-US"/>
              </w:rPr>
            </w:pPr>
            <w:r w:rsidRPr="00215532">
              <w:rPr>
                <w:lang w:val="en-US"/>
              </w:rPr>
              <w:t>$119,771,697</w:t>
            </w:r>
          </w:p>
        </w:tc>
        <w:tc>
          <w:tcPr>
            <w:tcW w:w="1361" w:type="dxa"/>
            <w:tcBorders>
              <w:top w:val="single" w:sz="4" w:space="0" w:color="000000"/>
              <w:left w:val="single" w:sz="4" w:space="0" w:color="000000"/>
              <w:bottom w:val="single" w:sz="4" w:space="0" w:color="000000"/>
              <w:right w:val="single" w:sz="4" w:space="0" w:color="000000"/>
            </w:tcBorders>
            <w:vAlign w:val="center"/>
            <w:hideMark/>
          </w:tcPr>
          <w:p w14:paraId="244424AA" w14:textId="77777777" w:rsidR="00045FA6" w:rsidRPr="00215532" w:rsidRDefault="00045FA6" w:rsidP="00E4525F">
            <w:pPr>
              <w:spacing w:before="60" w:after="60"/>
              <w:jc w:val="center"/>
              <w:rPr>
                <w:lang w:val="en-US"/>
              </w:rPr>
            </w:pPr>
            <w:r w:rsidRPr="00215532">
              <w:rPr>
                <w:lang w:val="en-US"/>
              </w:rPr>
              <w:t>$114,484,393</w:t>
            </w:r>
          </w:p>
        </w:tc>
        <w:tc>
          <w:tcPr>
            <w:tcW w:w="1361" w:type="dxa"/>
            <w:tcBorders>
              <w:top w:val="single" w:sz="4" w:space="0" w:color="000000"/>
              <w:left w:val="single" w:sz="4" w:space="0" w:color="000000"/>
              <w:bottom w:val="single" w:sz="4" w:space="0" w:color="000000"/>
              <w:right w:val="single" w:sz="4" w:space="0" w:color="000000"/>
            </w:tcBorders>
            <w:vAlign w:val="center"/>
            <w:hideMark/>
          </w:tcPr>
          <w:p w14:paraId="653F4368" w14:textId="36EBAF67" w:rsidR="00045FA6" w:rsidRPr="00EB1229" w:rsidRDefault="00045FA6" w:rsidP="00E4525F">
            <w:pPr>
              <w:spacing w:before="60" w:after="60"/>
              <w:jc w:val="center"/>
              <w:rPr>
                <w:lang w:val="en-US"/>
              </w:rPr>
            </w:pPr>
            <w:r w:rsidRPr="00EB1229">
              <w:rPr>
                <w:lang w:val="en-US"/>
              </w:rPr>
              <w:t>$135,636,711</w:t>
            </w:r>
          </w:p>
        </w:tc>
        <w:tc>
          <w:tcPr>
            <w:tcW w:w="1360" w:type="dxa"/>
            <w:tcBorders>
              <w:top w:val="single" w:sz="4" w:space="0" w:color="000000"/>
              <w:left w:val="single" w:sz="4" w:space="0" w:color="000000"/>
              <w:bottom w:val="single" w:sz="4" w:space="0" w:color="000000"/>
              <w:right w:val="single" w:sz="4" w:space="0" w:color="000000"/>
            </w:tcBorders>
            <w:vAlign w:val="center"/>
            <w:hideMark/>
          </w:tcPr>
          <w:p w14:paraId="4709C8B8" w14:textId="0399C751" w:rsidR="00045FA6" w:rsidRPr="00EB1229" w:rsidRDefault="00045FA6" w:rsidP="00E4525F">
            <w:pPr>
              <w:spacing w:before="60" w:after="60"/>
              <w:jc w:val="center"/>
              <w:rPr>
                <w:lang w:val="en-US"/>
              </w:rPr>
            </w:pPr>
            <w:r w:rsidRPr="00EB1229">
              <w:rPr>
                <w:lang w:val="en-US"/>
              </w:rPr>
              <w:t>$124,817,404</w:t>
            </w:r>
          </w:p>
        </w:tc>
        <w:tc>
          <w:tcPr>
            <w:tcW w:w="1361" w:type="dxa"/>
            <w:tcBorders>
              <w:top w:val="single" w:sz="4" w:space="0" w:color="000000"/>
              <w:left w:val="single" w:sz="4" w:space="0" w:color="000000"/>
              <w:bottom w:val="single" w:sz="4" w:space="0" w:color="000000"/>
              <w:right w:val="single" w:sz="4" w:space="0" w:color="000000"/>
            </w:tcBorders>
            <w:vAlign w:val="center"/>
            <w:hideMark/>
          </w:tcPr>
          <w:p w14:paraId="5D660FD0" w14:textId="1F3D17C0" w:rsidR="00045FA6" w:rsidRPr="00EB1229" w:rsidRDefault="00045FA6" w:rsidP="00E4525F">
            <w:pPr>
              <w:spacing w:before="60" w:after="60"/>
              <w:jc w:val="center"/>
              <w:rPr>
                <w:lang w:val="en-US"/>
              </w:rPr>
            </w:pPr>
            <w:r w:rsidRPr="00EB1229">
              <w:rPr>
                <w:lang w:val="en-US"/>
              </w:rPr>
              <w:t>$143,723,332</w:t>
            </w:r>
          </w:p>
        </w:tc>
        <w:tc>
          <w:tcPr>
            <w:tcW w:w="1674" w:type="dxa"/>
            <w:tcBorders>
              <w:top w:val="single" w:sz="4" w:space="0" w:color="000000"/>
              <w:left w:val="single" w:sz="4" w:space="0" w:color="000000"/>
              <w:bottom w:val="single" w:sz="4" w:space="0" w:color="000000"/>
              <w:right w:val="single" w:sz="4" w:space="0" w:color="000000"/>
            </w:tcBorders>
            <w:vAlign w:val="center"/>
            <w:hideMark/>
          </w:tcPr>
          <w:p w14:paraId="2F7977A7" w14:textId="45AD9CE2" w:rsidR="00045FA6" w:rsidRPr="00EB1229" w:rsidRDefault="00045FA6" w:rsidP="00E4525F">
            <w:pPr>
              <w:spacing w:before="60" w:after="60"/>
              <w:jc w:val="center"/>
              <w:rPr>
                <w:lang w:val="en-US"/>
              </w:rPr>
            </w:pPr>
            <w:r w:rsidRPr="00EB1229">
              <w:rPr>
                <w:lang w:val="en-US"/>
              </w:rPr>
              <w:t>$131,296,046</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61F01A62" w14:textId="112402E8" w:rsidR="00045FA6" w:rsidRPr="00EB1229" w:rsidRDefault="00045FA6" w:rsidP="00E4525F">
            <w:pPr>
              <w:spacing w:before="60" w:after="60"/>
              <w:jc w:val="center"/>
              <w:rPr>
                <w:lang w:val="en-US"/>
              </w:rPr>
            </w:pPr>
            <w:r w:rsidRPr="00EB1229">
              <w:rPr>
                <w:lang w:val="en-US"/>
              </w:rPr>
              <w:t>$151,877,714</w:t>
            </w:r>
          </w:p>
        </w:tc>
        <w:tc>
          <w:tcPr>
            <w:tcW w:w="1361" w:type="dxa"/>
            <w:tcBorders>
              <w:top w:val="single" w:sz="4" w:space="0" w:color="000000"/>
              <w:left w:val="single" w:sz="4" w:space="0" w:color="000000"/>
              <w:bottom w:val="single" w:sz="4" w:space="0" w:color="000000"/>
              <w:right w:val="single" w:sz="4" w:space="0" w:color="000000"/>
            </w:tcBorders>
            <w:vAlign w:val="center"/>
            <w:hideMark/>
          </w:tcPr>
          <w:p w14:paraId="5330FDD6" w14:textId="6FAF2110" w:rsidR="00045FA6" w:rsidRPr="00EB1229" w:rsidRDefault="00045FA6" w:rsidP="00E4525F">
            <w:pPr>
              <w:spacing w:before="60" w:after="60"/>
              <w:jc w:val="center"/>
              <w:rPr>
                <w:lang w:val="en-US"/>
              </w:rPr>
            </w:pPr>
            <w:r w:rsidRPr="00EB1229">
              <w:rPr>
                <w:lang w:val="en-US"/>
              </w:rPr>
              <w:t>$138,263,225</w:t>
            </w:r>
          </w:p>
        </w:tc>
      </w:tr>
      <w:tr w:rsidR="00045FA6" w:rsidRPr="00215532" w14:paraId="66C120DC" w14:textId="77777777" w:rsidTr="00A1289C">
        <w:trPr>
          <w:trHeight w:val="136"/>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808A218" w14:textId="77777777" w:rsidR="00045FA6" w:rsidRPr="00215532" w:rsidRDefault="00045FA6" w:rsidP="008A7390">
            <w:pPr>
              <w:spacing w:beforeLines="60" w:before="144" w:afterLines="60" w:after="144"/>
              <w:jc w:val="center"/>
              <w:rPr>
                <w:lang w:val="en-US"/>
              </w:rPr>
            </w:pPr>
            <w:r w:rsidRPr="00215532">
              <w:rPr>
                <w:lang w:val="en-US"/>
              </w:rPr>
              <w:t>B</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E3F734C" w14:textId="77777777" w:rsidR="00045FA6" w:rsidRPr="00215532" w:rsidRDefault="00045FA6" w:rsidP="00116E24">
            <w:pPr>
              <w:spacing w:beforeLines="60" w:before="144" w:afterLines="60" w:after="144"/>
              <w:jc w:val="center"/>
              <w:rPr>
                <w:b/>
                <w:lang w:val="en-US"/>
              </w:rPr>
            </w:pPr>
            <w:r w:rsidRPr="00215532">
              <w:rPr>
                <w:b/>
                <w:lang w:val="en-US"/>
              </w:rPr>
              <w:t>Component 2 pool</w:t>
            </w:r>
          </w:p>
        </w:tc>
        <w:tc>
          <w:tcPr>
            <w:tcW w:w="1360" w:type="dxa"/>
            <w:tcBorders>
              <w:top w:val="single" w:sz="4" w:space="0" w:color="000000"/>
              <w:left w:val="single" w:sz="4" w:space="0" w:color="000000"/>
              <w:bottom w:val="single" w:sz="4" w:space="0" w:color="000000"/>
              <w:right w:val="single" w:sz="4" w:space="0" w:color="000000"/>
            </w:tcBorders>
            <w:vAlign w:val="center"/>
            <w:hideMark/>
          </w:tcPr>
          <w:p w14:paraId="5336F8C2" w14:textId="77777777" w:rsidR="00045FA6" w:rsidRPr="00215532" w:rsidRDefault="00045FA6" w:rsidP="00E4525F">
            <w:pPr>
              <w:spacing w:before="60" w:after="60"/>
              <w:jc w:val="center"/>
              <w:rPr>
                <w:lang w:val="en-US"/>
              </w:rPr>
            </w:pPr>
            <w:r w:rsidRPr="00215532">
              <w:rPr>
                <w:lang w:val="en-US"/>
              </w:rPr>
              <w:t>$124,580,322</w:t>
            </w:r>
          </w:p>
        </w:tc>
        <w:tc>
          <w:tcPr>
            <w:tcW w:w="1361" w:type="dxa"/>
            <w:tcBorders>
              <w:top w:val="single" w:sz="4" w:space="0" w:color="000000"/>
              <w:left w:val="single" w:sz="4" w:space="0" w:color="000000"/>
              <w:bottom w:val="single" w:sz="4" w:space="0" w:color="000000"/>
              <w:right w:val="single" w:sz="4" w:space="0" w:color="000000"/>
            </w:tcBorders>
            <w:vAlign w:val="center"/>
            <w:hideMark/>
          </w:tcPr>
          <w:p w14:paraId="7EF2159F" w14:textId="77777777" w:rsidR="00045FA6" w:rsidRPr="00215532" w:rsidRDefault="00045FA6" w:rsidP="00E4525F">
            <w:pPr>
              <w:spacing w:before="60" w:after="60"/>
              <w:jc w:val="center"/>
              <w:rPr>
                <w:lang w:val="en-US"/>
              </w:rPr>
            </w:pPr>
            <w:r w:rsidRPr="00215532">
              <w:rPr>
                <w:lang w:val="en-US"/>
              </w:rPr>
              <w:t>$73,284,111</w:t>
            </w:r>
          </w:p>
        </w:tc>
        <w:tc>
          <w:tcPr>
            <w:tcW w:w="1361" w:type="dxa"/>
            <w:tcBorders>
              <w:top w:val="single" w:sz="4" w:space="0" w:color="000000"/>
              <w:left w:val="single" w:sz="4" w:space="0" w:color="000000"/>
              <w:bottom w:val="single" w:sz="4" w:space="0" w:color="000000"/>
              <w:right w:val="single" w:sz="4" w:space="0" w:color="000000"/>
            </w:tcBorders>
            <w:vAlign w:val="center"/>
            <w:hideMark/>
          </w:tcPr>
          <w:p w14:paraId="28346B3A" w14:textId="77777777" w:rsidR="00045FA6" w:rsidRPr="00215532" w:rsidRDefault="00045FA6" w:rsidP="00E4525F">
            <w:pPr>
              <w:spacing w:before="60" w:after="60"/>
              <w:jc w:val="center"/>
              <w:rPr>
                <w:lang w:val="en-US"/>
              </w:rPr>
            </w:pPr>
            <w:r w:rsidRPr="00215532">
              <w:rPr>
                <w:lang w:val="en-US"/>
              </w:rPr>
              <w:t>$82,180,643</w:t>
            </w:r>
          </w:p>
        </w:tc>
        <w:tc>
          <w:tcPr>
            <w:tcW w:w="1361" w:type="dxa"/>
            <w:tcBorders>
              <w:top w:val="single" w:sz="4" w:space="0" w:color="000000"/>
              <w:left w:val="single" w:sz="4" w:space="0" w:color="000000"/>
              <w:bottom w:val="single" w:sz="4" w:space="0" w:color="000000"/>
              <w:right w:val="single" w:sz="4" w:space="0" w:color="000000"/>
            </w:tcBorders>
            <w:vAlign w:val="center"/>
            <w:hideMark/>
          </w:tcPr>
          <w:p w14:paraId="7E024A49" w14:textId="77777777" w:rsidR="00045FA6" w:rsidRPr="00215532" w:rsidRDefault="00045FA6" w:rsidP="00E4525F">
            <w:pPr>
              <w:spacing w:before="60" w:after="60"/>
              <w:jc w:val="center"/>
              <w:rPr>
                <w:lang w:val="en-US"/>
              </w:rPr>
            </w:pPr>
            <w:r w:rsidRPr="00215532">
              <w:rPr>
                <w:lang w:val="en-US"/>
              </w:rPr>
              <w:t>$74,627,026</w:t>
            </w:r>
          </w:p>
        </w:tc>
        <w:tc>
          <w:tcPr>
            <w:tcW w:w="1361" w:type="dxa"/>
            <w:tcBorders>
              <w:top w:val="single" w:sz="4" w:space="0" w:color="000000"/>
              <w:left w:val="single" w:sz="4" w:space="0" w:color="000000"/>
              <w:bottom w:val="single" w:sz="4" w:space="0" w:color="000000"/>
              <w:right w:val="single" w:sz="4" w:space="0" w:color="000000"/>
            </w:tcBorders>
            <w:vAlign w:val="center"/>
            <w:hideMark/>
          </w:tcPr>
          <w:p w14:paraId="38E8D7E5" w14:textId="6C0B591F" w:rsidR="00045FA6" w:rsidRPr="00E4525F" w:rsidRDefault="00045FA6" w:rsidP="00E4525F">
            <w:pPr>
              <w:spacing w:before="60" w:after="60"/>
              <w:jc w:val="center"/>
              <w:rPr>
                <w:lang w:val="en-US"/>
              </w:rPr>
            </w:pPr>
            <w:r w:rsidRPr="00E4525F">
              <w:rPr>
                <w:lang w:val="en-US"/>
              </w:rPr>
              <w:t>$84,968,657</w:t>
            </w:r>
          </w:p>
        </w:tc>
        <w:tc>
          <w:tcPr>
            <w:tcW w:w="1360" w:type="dxa"/>
            <w:tcBorders>
              <w:top w:val="single" w:sz="4" w:space="0" w:color="000000"/>
              <w:left w:val="single" w:sz="4" w:space="0" w:color="000000"/>
              <w:bottom w:val="single" w:sz="4" w:space="0" w:color="000000"/>
              <w:right w:val="single" w:sz="4" w:space="0" w:color="000000"/>
            </w:tcBorders>
            <w:vAlign w:val="center"/>
            <w:hideMark/>
          </w:tcPr>
          <w:p w14:paraId="57AF2BF4" w14:textId="348A2C6F" w:rsidR="00045FA6" w:rsidRPr="00E4525F" w:rsidRDefault="00045FA6" w:rsidP="00E4525F">
            <w:pPr>
              <w:spacing w:before="60" w:after="60"/>
              <w:jc w:val="center"/>
              <w:rPr>
                <w:lang w:val="en-US"/>
              </w:rPr>
            </w:pPr>
            <w:r w:rsidRPr="00E4525F">
              <w:rPr>
                <w:lang w:val="en-US"/>
              </w:rPr>
              <w:t>$77,934,511</w:t>
            </w:r>
          </w:p>
        </w:tc>
        <w:tc>
          <w:tcPr>
            <w:tcW w:w="1361" w:type="dxa"/>
            <w:tcBorders>
              <w:top w:val="single" w:sz="4" w:space="0" w:color="000000"/>
              <w:left w:val="single" w:sz="4" w:space="0" w:color="000000"/>
              <w:bottom w:val="single" w:sz="4" w:space="0" w:color="000000"/>
              <w:right w:val="single" w:sz="4" w:space="0" w:color="000000"/>
            </w:tcBorders>
            <w:vAlign w:val="center"/>
            <w:hideMark/>
          </w:tcPr>
          <w:p w14:paraId="76361F95" w14:textId="604E149F" w:rsidR="00045FA6" w:rsidRPr="00E4525F" w:rsidRDefault="00045FA6" w:rsidP="00E4525F">
            <w:pPr>
              <w:spacing w:before="60" w:after="60"/>
              <w:jc w:val="center"/>
              <w:rPr>
                <w:lang w:val="en-US"/>
              </w:rPr>
            </w:pPr>
            <w:r w:rsidRPr="00E4525F">
              <w:rPr>
                <w:lang w:val="en-US"/>
              </w:rPr>
              <w:t>$88,978,931</w:t>
            </w:r>
          </w:p>
        </w:tc>
        <w:tc>
          <w:tcPr>
            <w:tcW w:w="1674" w:type="dxa"/>
            <w:tcBorders>
              <w:top w:val="single" w:sz="4" w:space="0" w:color="000000"/>
              <w:left w:val="single" w:sz="4" w:space="0" w:color="000000"/>
              <w:bottom w:val="single" w:sz="4" w:space="0" w:color="000000"/>
              <w:right w:val="single" w:sz="4" w:space="0" w:color="000000"/>
            </w:tcBorders>
            <w:vAlign w:val="center"/>
            <w:hideMark/>
          </w:tcPr>
          <w:p w14:paraId="15667F35" w14:textId="2D95918E" w:rsidR="00045FA6" w:rsidRPr="00E4525F" w:rsidRDefault="00045FA6" w:rsidP="00E4525F">
            <w:pPr>
              <w:spacing w:before="60" w:after="60"/>
              <w:jc w:val="center"/>
              <w:rPr>
                <w:lang w:val="en-US"/>
              </w:rPr>
            </w:pPr>
            <w:r w:rsidRPr="00E4525F">
              <w:rPr>
                <w:lang w:val="en-US"/>
              </w:rPr>
              <w:t>$81,643,776</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182AD345" w14:textId="5D63D5AA" w:rsidR="00045FA6" w:rsidRPr="00E4525F" w:rsidRDefault="00045FA6" w:rsidP="00E4525F">
            <w:pPr>
              <w:spacing w:before="60" w:after="60"/>
              <w:jc w:val="center"/>
              <w:rPr>
                <w:lang w:val="en-US"/>
              </w:rPr>
            </w:pPr>
            <w:r w:rsidRPr="00E4525F">
              <w:rPr>
                <w:lang w:val="en-US"/>
              </w:rPr>
              <w:t>$92,460,769</w:t>
            </w:r>
          </w:p>
        </w:tc>
        <w:tc>
          <w:tcPr>
            <w:tcW w:w="1361" w:type="dxa"/>
            <w:tcBorders>
              <w:top w:val="single" w:sz="4" w:space="0" w:color="000000"/>
              <w:left w:val="single" w:sz="4" w:space="0" w:color="000000"/>
              <w:bottom w:val="single" w:sz="4" w:space="0" w:color="000000"/>
              <w:right w:val="single" w:sz="4" w:space="0" w:color="000000"/>
            </w:tcBorders>
            <w:vAlign w:val="center"/>
            <w:hideMark/>
          </w:tcPr>
          <w:p w14:paraId="3DF7CEB1" w14:textId="6E5AAAE7" w:rsidR="00045FA6" w:rsidRPr="00E4525F" w:rsidRDefault="00045FA6" w:rsidP="00E4525F">
            <w:pPr>
              <w:spacing w:before="60" w:after="60"/>
              <w:jc w:val="center"/>
              <w:rPr>
                <w:lang w:val="en-US"/>
              </w:rPr>
            </w:pPr>
            <w:r w:rsidRPr="00E4525F">
              <w:rPr>
                <w:lang w:val="en-US"/>
              </w:rPr>
              <w:t>$84,315,019</w:t>
            </w:r>
          </w:p>
        </w:tc>
      </w:tr>
      <w:tr w:rsidR="00045FA6" w:rsidRPr="00215532" w14:paraId="0319096C" w14:textId="77777777" w:rsidTr="00A1289C">
        <w:trPr>
          <w:trHeight w:val="553"/>
        </w:trPr>
        <w:tc>
          <w:tcPr>
            <w:tcW w:w="568" w:type="dxa"/>
            <w:tcBorders>
              <w:top w:val="single" w:sz="4" w:space="0" w:color="000000"/>
              <w:left w:val="single" w:sz="4" w:space="0" w:color="000000"/>
              <w:bottom w:val="single" w:sz="4" w:space="0" w:color="000000"/>
              <w:right w:val="single" w:sz="4" w:space="0" w:color="000000"/>
            </w:tcBorders>
            <w:vAlign w:val="center"/>
          </w:tcPr>
          <w:p w14:paraId="6B3F2A30" w14:textId="77777777" w:rsidR="00045FA6" w:rsidRPr="00215532" w:rsidRDefault="00045FA6" w:rsidP="008A7390">
            <w:pPr>
              <w:spacing w:beforeLines="60" w:before="144" w:afterLines="60" w:after="144"/>
              <w:jc w:val="center"/>
              <w:rPr>
                <w:lang w:val="en-US"/>
              </w:rPr>
            </w:pPr>
            <w:r w:rsidRPr="00215532">
              <w:rPr>
                <w:lang w:val="en-US"/>
              </w:rPr>
              <w:t>C</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14270B7" w14:textId="77777777" w:rsidR="00045FA6" w:rsidRPr="00215532" w:rsidRDefault="00045FA6" w:rsidP="00116E24">
            <w:pPr>
              <w:spacing w:beforeLines="60" w:before="144" w:afterLines="60" w:after="144"/>
              <w:jc w:val="center"/>
              <w:rPr>
                <w:b/>
                <w:lang w:val="en-US"/>
              </w:rPr>
            </w:pPr>
            <w:r w:rsidRPr="00215532">
              <w:rPr>
                <w:b/>
                <w:lang w:val="en-US"/>
              </w:rPr>
              <w:t>Sum of row A and row B</w:t>
            </w:r>
          </w:p>
          <w:p w14:paraId="1CEB114C" w14:textId="77777777" w:rsidR="00045FA6" w:rsidRPr="00215532" w:rsidRDefault="00045FA6" w:rsidP="00116E24">
            <w:pPr>
              <w:spacing w:beforeLines="60" w:before="144" w:afterLines="60" w:after="144"/>
              <w:jc w:val="center"/>
              <w:rPr>
                <w:b/>
                <w:lang w:val="en-US"/>
              </w:rPr>
            </w:pPr>
            <w:r w:rsidRPr="00215532">
              <w:rPr>
                <w:b/>
                <w:lang w:val="en-US"/>
              </w:rPr>
              <w:t>[Total Estimated Expenditure]</w:t>
            </w:r>
          </w:p>
        </w:tc>
        <w:tc>
          <w:tcPr>
            <w:tcW w:w="1360" w:type="dxa"/>
            <w:tcBorders>
              <w:top w:val="single" w:sz="4" w:space="0" w:color="000000"/>
              <w:left w:val="single" w:sz="4" w:space="0" w:color="000000"/>
              <w:bottom w:val="single" w:sz="4" w:space="0" w:color="000000"/>
              <w:right w:val="single" w:sz="4" w:space="0" w:color="000000"/>
            </w:tcBorders>
            <w:vAlign w:val="center"/>
          </w:tcPr>
          <w:p w14:paraId="766045C3" w14:textId="77777777" w:rsidR="00045FA6" w:rsidRPr="00215532" w:rsidRDefault="00045FA6" w:rsidP="00E4525F">
            <w:pPr>
              <w:spacing w:before="60" w:after="60"/>
              <w:jc w:val="center"/>
              <w:rPr>
                <w:lang w:val="en-US"/>
              </w:rPr>
            </w:pPr>
            <w:r w:rsidRPr="00215532">
              <w:rPr>
                <w:lang w:val="en-US"/>
              </w:rPr>
              <w:t>$218,875,328</w:t>
            </w:r>
          </w:p>
        </w:tc>
        <w:tc>
          <w:tcPr>
            <w:tcW w:w="1361" w:type="dxa"/>
            <w:tcBorders>
              <w:top w:val="single" w:sz="4" w:space="0" w:color="000000"/>
              <w:left w:val="single" w:sz="4" w:space="0" w:color="000000"/>
              <w:bottom w:val="single" w:sz="4" w:space="0" w:color="000000"/>
              <w:right w:val="single" w:sz="4" w:space="0" w:color="000000"/>
            </w:tcBorders>
            <w:vAlign w:val="center"/>
          </w:tcPr>
          <w:p w14:paraId="3DFD9E4C" w14:textId="77777777" w:rsidR="00045FA6" w:rsidRPr="00215532" w:rsidRDefault="00045FA6" w:rsidP="00E4525F">
            <w:pPr>
              <w:spacing w:before="60" w:after="60"/>
              <w:jc w:val="center"/>
              <w:rPr>
                <w:lang w:val="en-US"/>
              </w:rPr>
            </w:pPr>
            <w:r w:rsidRPr="00215532">
              <w:rPr>
                <w:lang w:val="en-US"/>
              </w:rPr>
              <w:t>$166,492,568</w:t>
            </w:r>
          </w:p>
        </w:tc>
        <w:tc>
          <w:tcPr>
            <w:tcW w:w="1361" w:type="dxa"/>
            <w:tcBorders>
              <w:top w:val="single" w:sz="4" w:space="0" w:color="000000"/>
              <w:left w:val="single" w:sz="4" w:space="0" w:color="000000"/>
              <w:bottom w:val="single" w:sz="4" w:space="0" w:color="000000"/>
              <w:right w:val="single" w:sz="4" w:space="0" w:color="000000"/>
            </w:tcBorders>
            <w:vAlign w:val="center"/>
          </w:tcPr>
          <w:p w14:paraId="59B84DD1" w14:textId="77777777" w:rsidR="00045FA6" w:rsidRPr="00215532" w:rsidRDefault="00045FA6" w:rsidP="00E4525F">
            <w:pPr>
              <w:spacing w:before="60" w:after="60"/>
              <w:jc w:val="center"/>
              <w:rPr>
                <w:lang w:val="en-US"/>
              </w:rPr>
            </w:pPr>
            <w:r w:rsidRPr="00215532">
              <w:rPr>
                <w:lang w:val="en-US"/>
              </w:rPr>
              <w:t>$201,952,340</w:t>
            </w:r>
          </w:p>
        </w:tc>
        <w:tc>
          <w:tcPr>
            <w:tcW w:w="1361" w:type="dxa"/>
            <w:tcBorders>
              <w:top w:val="single" w:sz="4" w:space="0" w:color="000000"/>
              <w:left w:val="single" w:sz="4" w:space="0" w:color="000000"/>
              <w:bottom w:val="single" w:sz="4" w:space="0" w:color="000000"/>
              <w:right w:val="single" w:sz="4" w:space="0" w:color="000000"/>
            </w:tcBorders>
            <w:vAlign w:val="center"/>
          </w:tcPr>
          <w:p w14:paraId="7F3C1854" w14:textId="77777777" w:rsidR="00045FA6" w:rsidRPr="00215532" w:rsidRDefault="00045FA6" w:rsidP="00E4525F">
            <w:pPr>
              <w:spacing w:before="60" w:after="60"/>
              <w:jc w:val="center"/>
              <w:rPr>
                <w:lang w:val="en-US"/>
              </w:rPr>
            </w:pPr>
            <w:r w:rsidRPr="00215532">
              <w:rPr>
                <w:lang w:val="en-US"/>
              </w:rPr>
              <w:t>$189,111,419</w:t>
            </w:r>
          </w:p>
        </w:tc>
        <w:tc>
          <w:tcPr>
            <w:tcW w:w="1361" w:type="dxa"/>
            <w:tcBorders>
              <w:top w:val="single" w:sz="4" w:space="0" w:color="000000"/>
              <w:left w:val="single" w:sz="4" w:space="0" w:color="000000"/>
              <w:bottom w:val="single" w:sz="4" w:space="0" w:color="000000"/>
              <w:right w:val="single" w:sz="4" w:space="0" w:color="000000"/>
            </w:tcBorders>
            <w:vAlign w:val="center"/>
          </w:tcPr>
          <w:p w14:paraId="6923773F" w14:textId="16FF41CF" w:rsidR="00045FA6" w:rsidRPr="00E4525F" w:rsidRDefault="00045FA6" w:rsidP="00E4525F">
            <w:pPr>
              <w:spacing w:before="60" w:after="60"/>
              <w:jc w:val="center"/>
              <w:rPr>
                <w:lang w:val="en-US"/>
              </w:rPr>
            </w:pPr>
            <w:r w:rsidRPr="00E4525F">
              <w:rPr>
                <w:lang w:val="en-US"/>
              </w:rPr>
              <w:t>$220,605,368</w:t>
            </w:r>
          </w:p>
        </w:tc>
        <w:tc>
          <w:tcPr>
            <w:tcW w:w="1360" w:type="dxa"/>
            <w:tcBorders>
              <w:top w:val="single" w:sz="4" w:space="0" w:color="000000"/>
              <w:left w:val="single" w:sz="4" w:space="0" w:color="000000"/>
              <w:bottom w:val="single" w:sz="4" w:space="0" w:color="000000"/>
              <w:right w:val="single" w:sz="4" w:space="0" w:color="000000"/>
            </w:tcBorders>
            <w:vAlign w:val="center"/>
          </w:tcPr>
          <w:p w14:paraId="46781C2A" w14:textId="40342DB6" w:rsidR="00045FA6" w:rsidRPr="00E4525F" w:rsidRDefault="00045FA6" w:rsidP="00E4525F">
            <w:pPr>
              <w:spacing w:before="60" w:after="60"/>
              <w:jc w:val="center"/>
              <w:rPr>
                <w:lang w:val="en-US"/>
              </w:rPr>
            </w:pPr>
            <w:r w:rsidRPr="00E4525F">
              <w:rPr>
                <w:lang w:val="en-US"/>
              </w:rPr>
              <w:t>$202,751,915</w:t>
            </w:r>
          </w:p>
        </w:tc>
        <w:tc>
          <w:tcPr>
            <w:tcW w:w="1361" w:type="dxa"/>
            <w:tcBorders>
              <w:top w:val="single" w:sz="4" w:space="0" w:color="000000"/>
              <w:left w:val="single" w:sz="4" w:space="0" w:color="000000"/>
              <w:bottom w:val="single" w:sz="4" w:space="0" w:color="000000"/>
              <w:right w:val="single" w:sz="4" w:space="0" w:color="000000"/>
            </w:tcBorders>
            <w:vAlign w:val="center"/>
          </w:tcPr>
          <w:p w14:paraId="2D23E1C4" w14:textId="212798D8" w:rsidR="00045FA6" w:rsidRPr="00E4525F" w:rsidRDefault="00045FA6" w:rsidP="00E4525F">
            <w:pPr>
              <w:spacing w:before="60" w:after="60"/>
              <w:jc w:val="center"/>
              <w:rPr>
                <w:lang w:val="en-US"/>
              </w:rPr>
            </w:pPr>
            <w:r w:rsidRPr="00E4525F">
              <w:rPr>
                <w:lang w:val="en-US"/>
              </w:rPr>
              <w:t>$232,702,263</w:t>
            </w:r>
          </w:p>
        </w:tc>
        <w:tc>
          <w:tcPr>
            <w:tcW w:w="1674" w:type="dxa"/>
            <w:tcBorders>
              <w:top w:val="single" w:sz="4" w:space="0" w:color="000000"/>
              <w:left w:val="single" w:sz="4" w:space="0" w:color="000000"/>
              <w:bottom w:val="single" w:sz="4" w:space="0" w:color="000000"/>
              <w:right w:val="single" w:sz="4" w:space="0" w:color="000000"/>
            </w:tcBorders>
            <w:vAlign w:val="center"/>
          </w:tcPr>
          <w:p w14:paraId="0738A2CE" w14:textId="19E8B1C6" w:rsidR="00045FA6" w:rsidRPr="00E4525F" w:rsidRDefault="00045FA6" w:rsidP="00E4525F">
            <w:pPr>
              <w:spacing w:before="60" w:after="60"/>
              <w:jc w:val="center"/>
              <w:rPr>
                <w:lang w:val="en-US"/>
              </w:rPr>
            </w:pPr>
            <w:r w:rsidRPr="00E4525F">
              <w:rPr>
                <w:lang w:val="en-US"/>
              </w:rPr>
              <w:t>$212,939,822</w:t>
            </w:r>
          </w:p>
        </w:tc>
        <w:tc>
          <w:tcPr>
            <w:tcW w:w="1048" w:type="dxa"/>
            <w:tcBorders>
              <w:top w:val="single" w:sz="4" w:space="0" w:color="000000"/>
              <w:left w:val="single" w:sz="4" w:space="0" w:color="000000"/>
              <w:bottom w:val="single" w:sz="4" w:space="0" w:color="000000"/>
              <w:right w:val="single" w:sz="4" w:space="0" w:color="000000"/>
            </w:tcBorders>
            <w:vAlign w:val="center"/>
          </w:tcPr>
          <w:p w14:paraId="4D6A4B0D" w14:textId="066150EC" w:rsidR="00045FA6" w:rsidRPr="00E4525F" w:rsidRDefault="00045FA6" w:rsidP="00E4525F">
            <w:pPr>
              <w:spacing w:before="60" w:after="60"/>
              <w:jc w:val="center"/>
              <w:rPr>
                <w:lang w:val="en-US"/>
              </w:rPr>
            </w:pPr>
            <w:r w:rsidRPr="00E4525F">
              <w:rPr>
                <w:lang w:val="en-US"/>
              </w:rPr>
              <w:t>$244,338,483</w:t>
            </w:r>
          </w:p>
        </w:tc>
        <w:tc>
          <w:tcPr>
            <w:tcW w:w="1361" w:type="dxa"/>
            <w:tcBorders>
              <w:top w:val="single" w:sz="4" w:space="0" w:color="000000"/>
              <w:left w:val="single" w:sz="4" w:space="0" w:color="000000"/>
              <w:bottom w:val="single" w:sz="4" w:space="0" w:color="000000"/>
              <w:right w:val="single" w:sz="4" w:space="0" w:color="000000"/>
            </w:tcBorders>
            <w:vAlign w:val="center"/>
          </w:tcPr>
          <w:p w14:paraId="56B89AD7" w14:textId="4BB1E267" w:rsidR="00045FA6" w:rsidRPr="00E4525F" w:rsidRDefault="00045FA6" w:rsidP="00E4525F">
            <w:pPr>
              <w:spacing w:before="60" w:after="60"/>
              <w:jc w:val="center"/>
              <w:rPr>
                <w:lang w:val="en-US"/>
              </w:rPr>
            </w:pPr>
            <w:r w:rsidRPr="00E4525F">
              <w:rPr>
                <w:lang w:val="en-US"/>
              </w:rPr>
              <w:t>$222,578,244</w:t>
            </w:r>
          </w:p>
        </w:tc>
      </w:tr>
    </w:tbl>
    <w:p w14:paraId="728B1A25" w14:textId="39DBC1AE" w:rsidR="00045FA6" w:rsidRDefault="00045FA6" w:rsidP="006953E0">
      <w:pPr>
        <w:ind w:left="-851"/>
        <w:rPr>
          <w:lang w:val="en-US"/>
        </w:rPr>
      </w:pPr>
      <w:r w:rsidRPr="00215532">
        <w:rPr>
          <w:vertAlign w:val="superscript"/>
          <w:lang w:val="en-US"/>
        </w:rPr>
        <w:t>#</w:t>
      </w:r>
      <w:r w:rsidRPr="00215532">
        <w:rPr>
          <w:lang w:val="en-US"/>
        </w:rPr>
        <w:t xml:space="preserve"> For clarity, these estimates for Assessment Periods (defined in section </w:t>
      </w:r>
      <w:r w:rsidR="00DF68AB" w:rsidRPr="00DF68AB">
        <w:rPr>
          <w:lang w:val="en-US"/>
        </w:rPr>
        <w:t>4</w:t>
      </w:r>
      <w:r w:rsidR="001D7D52">
        <w:rPr>
          <w:lang w:val="en-US"/>
        </w:rPr>
        <w:t>.2</w:t>
      </w:r>
      <w:r w:rsidRPr="00215532">
        <w:rPr>
          <w:lang w:val="en-US"/>
        </w:rPr>
        <w:t xml:space="preserve"> as ‘C1PN’ and ‘C2PN’) will be revised under section </w:t>
      </w:r>
      <w:r w:rsidR="00DF68AB" w:rsidRPr="00DF68AB">
        <w:rPr>
          <w:lang w:val="en-US"/>
        </w:rPr>
        <w:t>4.3,</w:t>
      </w:r>
      <w:r w:rsidRPr="00215532">
        <w:rPr>
          <w:lang w:val="en-US"/>
        </w:rPr>
        <w:t xml:space="preserve"> and the revised estimates (defined in section</w:t>
      </w:r>
      <w:r w:rsidR="00960708">
        <w:rPr>
          <w:lang w:val="en-US"/>
        </w:rPr>
        <w:t>s</w:t>
      </w:r>
      <w:r w:rsidRPr="00215532">
        <w:rPr>
          <w:lang w:val="en-US"/>
        </w:rPr>
        <w:t xml:space="preserve"> </w:t>
      </w:r>
      <w:r w:rsidR="00DF68AB" w:rsidRPr="00DF68AB">
        <w:rPr>
          <w:lang w:val="en-US"/>
        </w:rPr>
        <w:t>4</w:t>
      </w:r>
      <w:r w:rsidR="00960708">
        <w:rPr>
          <w:lang w:val="en-US"/>
        </w:rPr>
        <w:t>.2 and 4.3</w:t>
      </w:r>
      <w:r w:rsidRPr="00215532">
        <w:rPr>
          <w:lang w:val="en-US"/>
        </w:rPr>
        <w:t xml:space="preserve"> as ‘RC1PN’ and ‘RC2PN’) will apply for the purposes</w:t>
      </w:r>
      <w:r w:rsidR="00F7762F">
        <w:rPr>
          <w:lang w:val="en-US"/>
        </w:rPr>
        <w:t xml:space="preserve"> of</w:t>
      </w:r>
      <w:r w:rsidRPr="00215532">
        <w:rPr>
          <w:lang w:val="en-US"/>
        </w:rPr>
        <w:t xml:space="preserve"> determining ‘CO’ under section </w:t>
      </w:r>
      <w:r w:rsidR="00DF68AB" w:rsidRPr="00DF68AB">
        <w:rPr>
          <w:lang w:val="en-US"/>
        </w:rPr>
        <w:t>4</w:t>
      </w:r>
      <w:r w:rsidR="00960708">
        <w:rPr>
          <w:lang w:val="en-US"/>
        </w:rPr>
        <w:t>.4</w:t>
      </w:r>
      <w:r w:rsidR="00DF68AB" w:rsidRPr="00DF68AB">
        <w:rPr>
          <w:lang w:val="en-US"/>
        </w:rPr>
        <w:t>.</w:t>
      </w:r>
    </w:p>
    <w:p w14:paraId="672A59B9" w14:textId="6C91FFAB" w:rsidR="00EE6D5B" w:rsidRPr="00215532" w:rsidRDefault="00D7565E" w:rsidP="006953E0">
      <w:pPr>
        <w:ind w:left="-851"/>
        <w:rPr>
          <w:lang w:val="en-US"/>
        </w:rPr>
      </w:pPr>
      <w:r w:rsidRPr="00B216C2">
        <w:rPr>
          <w:vertAlign w:val="superscript"/>
          <w:lang w:val="en-US"/>
        </w:rPr>
        <w:t xml:space="preserve">## </w:t>
      </w:r>
      <w:r w:rsidR="00BC28BC">
        <w:rPr>
          <w:lang w:val="en-US"/>
        </w:rPr>
        <w:t>The e</w:t>
      </w:r>
      <w:r>
        <w:rPr>
          <w:lang w:val="en-US"/>
        </w:rPr>
        <w:t xml:space="preserve">stimates for the Fifth and </w:t>
      </w:r>
      <w:r w:rsidR="003D5D87">
        <w:rPr>
          <w:lang w:val="en-US"/>
        </w:rPr>
        <w:t xml:space="preserve">all </w:t>
      </w:r>
      <w:r w:rsidR="00B216C2">
        <w:rPr>
          <w:lang w:val="en-US"/>
        </w:rPr>
        <w:t>subsequent</w:t>
      </w:r>
      <w:r>
        <w:rPr>
          <w:lang w:val="en-US"/>
        </w:rPr>
        <w:t xml:space="preserve"> </w:t>
      </w:r>
      <w:r w:rsidR="00B216C2">
        <w:rPr>
          <w:lang w:val="en-US"/>
        </w:rPr>
        <w:t>Assessment</w:t>
      </w:r>
      <w:r>
        <w:rPr>
          <w:lang w:val="en-US"/>
        </w:rPr>
        <w:t xml:space="preserve"> Periods</w:t>
      </w:r>
      <w:r w:rsidR="0031375D">
        <w:rPr>
          <w:lang w:val="en-US"/>
        </w:rPr>
        <w:t xml:space="preserve"> </w:t>
      </w:r>
      <w:r w:rsidR="00B216C2">
        <w:rPr>
          <w:lang w:val="en-US"/>
        </w:rPr>
        <w:t>include an</w:t>
      </w:r>
      <w:r w:rsidR="00B966DC">
        <w:rPr>
          <w:lang w:val="en-US"/>
        </w:rPr>
        <w:t xml:space="preserve"> amount to</w:t>
      </w:r>
      <w:r w:rsidR="0000177A">
        <w:rPr>
          <w:lang w:val="en-US"/>
        </w:rPr>
        <w:t xml:space="preserve"> </w:t>
      </w:r>
      <w:r w:rsidR="0000177A" w:rsidRPr="002E2F3D">
        <w:rPr>
          <w:lang w:val="en-US"/>
        </w:rPr>
        <w:t>account for the</w:t>
      </w:r>
      <w:r w:rsidR="00BC28BC" w:rsidRPr="002E2F3D">
        <w:rPr>
          <w:lang w:val="en-US"/>
        </w:rPr>
        <w:t xml:space="preserve"> </w:t>
      </w:r>
      <w:r w:rsidR="0000177A" w:rsidRPr="002E2F3D">
        <w:t>add</w:t>
      </w:r>
      <w:r w:rsidR="001F4FE2" w:rsidRPr="002E2F3D">
        <w:t>ition of</w:t>
      </w:r>
      <w:r w:rsidR="0000177A" w:rsidRPr="002E2F3D">
        <w:t xml:space="preserve"> $1,592,06</w:t>
      </w:r>
      <w:r w:rsidR="002C17FF" w:rsidRPr="002E2F3D">
        <w:t>2</w:t>
      </w:r>
      <w:r w:rsidR="0000177A" w:rsidRPr="002E2F3D">
        <w:t xml:space="preserve"> to Component 1 payments and $481,535 to Component 2 payments</w:t>
      </w:r>
      <w:r w:rsidR="002C17FF" w:rsidRPr="002E2F3D">
        <w:t xml:space="preserve">, in respect of </w:t>
      </w:r>
      <w:r w:rsidR="00726B8A">
        <w:t xml:space="preserve">offsetting the impact of WMU changes </w:t>
      </w:r>
      <w:r w:rsidR="009F47F7">
        <w:t>from 1 July 2026</w:t>
      </w:r>
      <w:r w:rsidR="008F35D7">
        <w:t>,</w:t>
      </w:r>
      <w:r w:rsidR="009F47F7">
        <w:t xml:space="preserve"> </w:t>
      </w:r>
      <w:r w:rsidR="00726B8A">
        <w:t>on the remuneration of Approved Pharmacists</w:t>
      </w:r>
      <w:r w:rsidR="0000177A" w:rsidRPr="002E2F3D">
        <w:t>.</w:t>
      </w:r>
      <w:r w:rsidR="00B216C2">
        <w:rPr>
          <w:lang w:val="en-US"/>
        </w:rPr>
        <w:t xml:space="preserve"> </w:t>
      </w:r>
    </w:p>
    <w:p w14:paraId="7D58CE11" w14:textId="77777777" w:rsidR="00045FA6" w:rsidRDefault="00045FA6">
      <w:pPr>
        <w:spacing w:after="160" w:line="259" w:lineRule="auto"/>
        <w:sectPr w:rsidR="00045FA6" w:rsidSect="00B754C4">
          <w:footnotePr>
            <w:numStart w:val="4"/>
          </w:footnotePr>
          <w:pgSz w:w="16838" w:h="11906" w:orient="landscape"/>
          <w:pgMar w:top="1440" w:right="1440" w:bottom="1440" w:left="1440" w:header="708" w:footer="708" w:gutter="0"/>
          <w:cols w:space="708"/>
          <w:titlePg/>
          <w:docGrid w:linePitch="360"/>
        </w:sectPr>
      </w:pPr>
    </w:p>
    <w:p w14:paraId="56F93448" w14:textId="77777777" w:rsidR="00303245" w:rsidRPr="00A1289C" w:rsidRDefault="00303245" w:rsidP="00A1289C">
      <w:pPr>
        <w:pStyle w:val="mainTitle"/>
      </w:pPr>
      <w:bookmarkStart w:id="5" w:name="_Toc159314741"/>
      <w:bookmarkStart w:id="6" w:name="_Toc167120880"/>
      <w:r>
        <w:t>Signing page</w:t>
      </w:r>
      <w:bookmarkEnd w:id="5"/>
      <w:bookmarkEnd w:id="6"/>
    </w:p>
    <w:p w14:paraId="31578081" w14:textId="77777777" w:rsidR="00303245" w:rsidRDefault="00303245" w:rsidP="00303245"/>
    <w:tbl>
      <w:tblPr>
        <w:tblStyle w:val="TableGridLight"/>
        <w:tblW w:w="9408" w:type="dxa"/>
        <w:tblLayout w:type="fixed"/>
        <w:tblLook w:val="0000" w:firstRow="0" w:lastRow="0" w:firstColumn="0" w:lastColumn="0" w:noHBand="0" w:noVBand="0"/>
      </w:tblPr>
      <w:tblGrid>
        <w:gridCol w:w="4873"/>
        <w:gridCol w:w="4535"/>
      </w:tblGrid>
      <w:tr w:rsidR="00303245" w:rsidRPr="009D3B53" w14:paraId="192108BC" w14:textId="77777777" w:rsidTr="00A1289C">
        <w:tc>
          <w:tcPr>
            <w:tcW w:w="4873" w:type="dxa"/>
          </w:tcPr>
          <w:p w14:paraId="39A3FD83" w14:textId="33387063" w:rsidR="00303245" w:rsidRPr="009D3B53" w:rsidRDefault="00303245" w:rsidP="00F72D03">
            <w:pPr>
              <w:keepNext/>
              <w:keepLines/>
            </w:pPr>
            <w:r w:rsidRPr="009D3B53">
              <w:rPr>
                <w:b/>
              </w:rPr>
              <w:t xml:space="preserve">Signed </w:t>
            </w:r>
            <w:r w:rsidRPr="009D3B53">
              <w:t xml:space="preserve">by </w:t>
            </w:r>
            <w:r w:rsidRPr="009D3B53">
              <w:rPr>
                <w:b/>
              </w:rPr>
              <w:t xml:space="preserve">The Hon </w:t>
            </w:r>
            <w:r>
              <w:rPr>
                <w:b/>
              </w:rPr>
              <w:t>Mark Butler</w:t>
            </w:r>
            <w:r w:rsidRPr="009D3B53">
              <w:rPr>
                <w:b/>
              </w:rPr>
              <w:t xml:space="preserve"> MP, Minister </w:t>
            </w:r>
            <w:r>
              <w:rPr>
                <w:b/>
              </w:rPr>
              <w:t>f</w:t>
            </w:r>
            <w:r w:rsidRPr="009D3B53">
              <w:rPr>
                <w:b/>
              </w:rPr>
              <w:t>or Health</w:t>
            </w:r>
            <w:r>
              <w:rPr>
                <w:b/>
              </w:rPr>
              <w:t xml:space="preserve"> and Age</w:t>
            </w:r>
            <w:r w:rsidR="003B058D">
              <w:rPr>
                <w:b/>
              </w:rPr>
              <w:t>ing</w:t>
            </w:r>
            <w:r w:rsidR="00546AEB">
              <w:rPr>
                <w:b/>
              </w:rPr>
              <w:t xml:space="preserve"> and Minister</w:t>
            </w:r>
            <w:r w:rsidR="00D94B06">
              <w:rPr>
                <w:b/>
              </w:rPr>
              <w:t xml:space="preserve"> </w:t>
            </w:r>
            <w:r w:rsidR="00546AEB">
              <w:rPr>
                <w:b/>
              </w:rPr>
              <w:t xml:space="preserve">for </w:t>
            </w:r>
            <w:r w:rsidR="00D94B06">
              <w:rPr>
                <w:b/>
              </w:rPr>
              <w:t xml:space="preserve">Disability </w:t>
            </w:r>
            <w:r w:rsidR="00546AEB">
              <w:rPr>
                <w:b/>
              </w:rPr>
              <w:t>and the Nation</w:t>
            </w:r>
            <w:r w:rsidR="00D94B06">
              <w:rPr>
                <w:b/>
              </w:rPr>
              <w:t>al Disability</w:t>
            </w:r>
            <w:r w:rsidR="00546AEB">
              <w:rPr>
                <w:b/>
              </w:rPr>
              <w:t xml:space="preserve"> Insurance Sch</w:t>
            </w:r>
            <w:r w:rsidR="00D94B06">
              <w:rPr>
                <w:b/>
              </w:rPr>
              <w:t>eme</w:t>
            </w:r>
            <w:r w:rsidRPr="009D3B53">
              <w:rPr>
                <w:spacing w:val="-3"/>
              </w:rPr>
              <w:t xml:space="preserve"> </w:t>
            </w:r>
            <w:r w:rsidRPr="009D3B53">
              <w:t xml:space="preserve">on behalf of the </w:t>
            </w:r>
            <w:r w:rsidRPr="009D3B53">
              <w:rPr>
                <w:b/>
              </w:rPr>
              <w:t>Commonwealth of Australia</w:t>
            </w:r>
            <w:r w:rsidRPr="009D3B53">
              <w:t xml:space="preserve"> </w:t>
            </w:r>
          </w:p>
          <w:p w14:paraId="5BBFC3C6" w14:textId="77777777" w:rsidR="00303245" w:rsidRPr="009D3B53" w:rsidRDefault="00303245" w:rsidP="00F72D03">
            <w:pPr>
              <w:keepNext/>
              <w:keepLines/>
            </w:pPr>
            <w:r w:rsidRPr="009D3B53">
              <w:t>in the presence of:</w:t>
            </w:r>
          </w:p>
        </w:tc>
        <w:tc>
          <w:tcPr>
            <w:tcW w:w="4535" w:type="dxa"/>
          </w:tcPr>
          <w:p w14:paraId="668F0E36" w14:textId="20C80AA1" w:rsidR="00303245" w:rsidRPr="009D3B53" w:rsidRDefault="00303245" w:rsidP="00F72D03">
            <w:pPr>
              <w:keepNext/>
              <w:keepLines/>
              <w:tabs>
                <w:tab w:val="left" w:leader="dot" w:pos="4536"/>
              </w:tabs>
              <w:rPr>
                <w:rFonts w:ascii="CG Times (W1)" w:hAnsi="CG Times (W1)"/>
                <w:spacing w:val="-3"/>
              </w:rPr>
            </w:pPr>
          </w:p>
        </w:tc>
      </w:tr>
    </w:tbl>
    <w:p w14:paraId="7B261C54" w14:textId="77777777" w:rsidR="00303245" w:rsidRPr="00A1289C" w:rsidRDefault="00303245" w:rsidP="00A1289C">
      <w:pPr>
        <w:keepNext/>
        <w:keepLines/>
        <w:tabs>
          <w:tab w:val="left" w:leader="dot" w:pos="4536"/>
        </w:tabs>
        <w:spacing w:before="240" w:after="240"/>
        <w:rPr>
          <w:rStyle w:val="PlaceholderText"/>
        </w:rPr>
      </w:pPr>
      <w:r w:rsidRPr="00A1289C">
        <w:rPr>
          <w:rStyle w:val="PlaceholderText"/>
        </w:rPr>
        <w:tab/>
      </w:r>
    </w:p>
    <w:p w14:paraId="0019C57F" w14:textId="77777777" w:rsidR="00303245" w:rsidRPr="00A1289C" w:rsidRDefault="00303245" w:rsidP="00A1289C">
      <w:pPr>
        <w:keepLines/>
        <w:spacing w:before="240" w:after="240"/>
        <w:rPr>
          <w:rStyle w:val="PlaceholderText"/>
        </w:rPr>
      </w:pPr>
      <w:r w:rsidRPr="00A1289C">
        <w:rPr>
          <w:rStyle w:val="PlaceholderText"/>
        </w:rPr>
        <w:t>Witness</w:t>
      </w:r>
    </w:p>
    <w:p w14:paraId="0E7D6E7D" w14:textId="77777777" w:rsidR="00303245" w:rsidRPr="00A1289C" w:rsidRDefault="00303245" w:rsidP="00A1289C">
      <w:pPr>
        <w:keepNext/>
        <w:keepLines/>
        <w:tabs>
          <w:tab w:val="left" w:leader="dot" w:pos="4536"/>
        </w:tabs>
        <w:spacing w:before="240" w:after="240"/>
        <w:rPr>
          <w:rStyle w:val="PlaceholderText"/>
        </w:rPr>
      </w:pPr>
      <w:r w:rsidRPr="00A1289C">
        <w:rPr>
          <w:rStyle w:val="PlaceholderText"/>
        </w:rPr>
        <w:tab/>
      </w:r>
    </w:p>
    <w:p w14:paraId="7D0457C5" w14:textId="77777777" w:rsidR="00303245" w:rsidRPr="00A1289C" w:rsidRDefault="00303245" w:rsidP="00A1289C">
      <w:pPr>
        <w:keepLines/>
        <w:spacing w:before="240" w:after="240"/>
        <w:rPr>
          <w:rStyle w:val="PlaceholderText"/>
        </w:rPr>
      </w:pPr>
      <w:r w:rsidRPr="00A1289C">
        <w:rPr>
          <w:rStyle w:val="PlaceholderText"/>
        </w:rPr>
        <w:t>Name of witness</w:t>
      </w:r>
    </w:p>
    <w:p w14:paraId="4005986C" w14:textId="20A25F8E" w:rsidR="00303245" w:rsidRPr="00A1289C" w:rsidRDefault="00303245" w:rsidP="00A1289C">
      <w:pPr>
        <w:keepNext/>
        <w:keepLines/>
        <w:tabs>
          <w:tab w:val="left" w:leader="dot" w:pos="4536"/>
        </w:tabs>
        <w:spacing w:before="240" w:after="240"/>
        <w:rPr>
          <w:rStyle w:val="PlaceholderText"/>
        </w:rPr>
      </w:pPr>
      <w:r w:rsidRPr="00A1289C">
        <w:rPr>
          <w:rStyle w:val="PlaceholderText"/>
        </w:rPr>
        <w:tab/>
      </w:r>
    </w:p>
    <w:p w14:paraId="31B53157" w14:textId="77777777" w:rsidR="00303245" w:rsidRPr="009D3B53" w:rsidRDefault="00303245" w:rsidP="00303245">
      <w:pPr>
        <w:keepLines/>
      </w:pPr>
      <w:r>
        <w:t>Date</w:t>
      </w:r>
    </w:p>
    <w:tbl>
      <w:tblPr>
        <w:tblStyle w:val="TableGridLight"/>
        <w:tblW w:w="9746" w:type="dxa"/>
        <w:tblLayout w:type="fixed"/>
        <w:tblLook w:val="0000" w:firstRow="0" w:lastRow="0" w:firstColumn="0" w:lastColumn="0" w:noHBand="0" w:noVBand="0"/>
      </w:tblPr>
      <w:tblGrid>
        <w:gridCol w:w="4873"/>
        <w:gridCol w:w="4873"/>
      </w:tblGrid>
      <w:tr w:rsidR="00303245" w:rsidRPr="009D3B53" w14:paraId="5CE90157" w14:textId="77777777" w:rsidTr="00A1289C">
        <w:tc>
          <w:tcPr>
            <w:tcW w:w="4873" w:type="dxa"/>
          </w:tcPr>
          <w:p w14:paraId="27FA453E" w14:textId="77777777" w:rsidR="00303245" w:rsidRPr="009D3B53" w:rsidRDefault="00303245" w:rsidP="00F72D03">
            <w:pPr>
              <w:keepNext/>
              <w:keepLines/>
            </w:pPr>
            <w:r w:rsidRPr="009D3B53">
              <w:rPr>
                <w:b/>
              </w:rPr>
              <w:t>The Common Seal</w:t>
            </w:r>
            <w:r w:rsidRPr="009D3B53">
              <w:t xml:space="preserve"> of </w:t>
            </w:r>
            <w:r w:rsidRPr="009D3B53">
              <w:rPr>
                <w:b/>
                <w:spacing w:val="-3"/>
              </w:rPr>
              <w:t xml:space="preserve">The Pharmacy Guild of Australia </w:t>
            </w:r>
            <w:r w:rsidRPr="009D3B53">
              <w:t>was affixed pursuant to a resolution of its National Council in the presence of:</w:t>
            </w:r>
          </w:p>
        </w:tc>
        <w:tc>
          <w:tcPr>
            <w:tcW w:w="4873" w:type="dxa"/>
          </w:tcPr>
          <w:p w14:paraId="473F32AA" w14:textId="77777777" w:rsidR="00303245" w:rsidRPr="009D3B53" w:rsidRDefault="00303245" w:rsidP="00F72D03">
            <w:pPr>
              <w:keepNext/>
              <w:keepLines/>
            </w:pPr>
            <w:r w:rsidRPr="009D3B53">
              <w:t>)</w:t>
            </w:r>
          </w:p>
          <w:p w14:paraId="5E87871C" w14:textId="77777777" w:rsidR="00303245" w:rsidRPr="009D3B53" w:rsidRDefault="00303245" w:rsidP="00F72D03">
            <w:pPr>
              <w:keepNext/>
              <w:keepLines/>
            </w:pPr>
            <w:r w:rsidRPr="009D3B53">
              <w:t>)</w:t>
            </w:r>
          </w:p>
          <w:p w14:paraId="105737D5" w14:textId="77777777" w:rsidR="00303245" w:rsidRPr="009D3B53" w:rsidRDefault="00303245" w:rsidP="00F72D03">
            <w:pPr>
              <w:keepNext/>
              <w:keepLines/>
            </w:pPr>
            <w:r w:rsidRPr="009D3B53">
              <w:t>)</w:t>
            </w:r>
          </w:p>
          <w:p w14:paraId="7D05A71D" w14:textId="76E26B3E" w:rsidR="00303245" w:rsidRPr="009D3B53" w:rsidRDefault="00303245" w:rsidP="00F72D03">
            <w:pPr>
              <w:keepNext/>
              <w:keepLines/>
            </w:pPr>
          </w:p>
        </w:tc>
      </w:tr>
    </w:tbl>
    <w:p w14:paraId="272959D8" w14:textId="71109779" w:rsidR="00303245" w:rsidRPr="00A1289C" w:rsidRDefault="00303245" w:rsidP="00A1289C">
      <w:pPr>
        <w:keepNext/>
        <w:keepLines/>
        <w:tabs>
          <w:tab w:val="left" w:leader="dot" w:pos="4253"/>
          <w:tab w:val="left" w:pos="4536"/>
          <w:tab w:val="left" w:leader="dot" w:pos="8789"/>
        </w:tabs>
        <w:spacing w:before="240"/>
        <w:rPr>
          <w:rStyle w:val="PlaceholderText"/>
        </w:rPr>
      </w:pPr>
      <w:r w:rsidRPr="00A1289C">
        <w:rPr>
          <w:rStyle w:val="PlaceholderText"/>
        </w:rPr>
        <w:tab/>
      </w:r>
      <w:r w:rsidRPr="00A1289C">
        <w:rPr>
          <w:rStyle w:val="PlaceholderText"/>
        </w:rPr>
        <w:tab/>
      </w:r>
      <w:r w:rsidRPr="00A1289C">
        <w:rPr>
          <w:rStyle w:val="PlaceholderText"/>
        </w:rPr>
        <w:tab/>
      </w:r>
    </w:p>
    <w:p w14:paraId="78688B22" w14:textId="77777777" w:rsidR="00303245" w:rsidRPr="00A1289C" w:rsidRDefault="00303245" w:rsidP="00A1289C">
      <w:pPr>
        <w:keepNext/>
        <w:keepLines/>
        <w:tabs>
          <w:tab w:val="left" w:pos="4510"/>
        </w:tabs>
        <w:spacing w:before="240"/>
        <w:rPr>
          <w:rStyle w:val="PlaceholderText"/>
        </w:rPr>
      </w:pPr>
      <w:r w:rsidRPr="00A1289C">
        <w:rPr>
          <w:rStyle w:val="PlaceholderText"/>
        </w:rPr>
        <w:t>National President</w:t>
      </w:r>
      <w:r w:rsidRPr="00A1289C">
        <w:rPr>
          <w:rStyle w:val="PlaceholderText"/>
        </w:rPr>
        <w:tab/>
        <w:t>Executive Director</w:t>
      </w:r>
    </w:p>
    <w:p w14:paraId="69869CB2" w14:textId="77777777" w:rsidR="00303245" w:rsidRPr="00A1289C" w:rsidRDefault="00303245" w:rsidP="00A1289C">
      <w:pPr>
        <w:keepNext/>
        <w:keepLines/>
        <w:tabs>
          <w:tab w:val="left" w:leader="dot" w:pos="4253"/>
          <w:tab w:val="left" w:pos="4536"/>
          <w:tab w:val="left" w:leader="dot" w:pos="8789"/>
        </w:tabs>
        <w:spacing w:before="240"/>
        <w:rPr>
          <w:rStyle w:val="PlaceholderText"/>
        </w:rPr>
      </w:pPr>
      <w:r w:rsidRPr="00A1289C">
        <w:rPr>
          <w:rStyle w:val="PlaceholderText"/>
        </w:rPr>
        <w:tab/>
      </w:r>
      <w:r w:rsidRPr="00A1289C">
        <w:rPr>
          <w:rStyle w:val="PlaceholderText"/>
        </w:rPr>
        <w:tab/>
      </w:r>
      <w:r w:rsidRPr="00A1289C">
        <w:rPr>
          <w:rStyle w:val="PlaceholderText"/>
        </w:rPr>
        <w:tab/>
      </w:r>
    </w:p>
    <w:p w14:paraId="6C363DBD" w14:textId="77777777" w:rsidR="00303245" w:rsidRPr="00A1289C" w:rsidRDefault="00303245" w:rsidP="00A1289C">
      <w:pPr>
        <w:keepNext/>
        <w:keepLines/>
        <w:tabs>
          <w:tab w:val="left" w:pos="4510"/>
        </w:tabs>
        <w:spacing w:before="240"/>
        <w:rPr>
          <w:rStyle w:val="PlaceholderText"/>
        </w:rPr>
      </w:pPr>
      <w:r w:rsidRPr="00A1289C">
        <w:rPr>
          <w:rStyle w:val="PlaceholderText"/>
        </w:rPr>
        <w:t>Full name</w:t>
      </w:r>
      <w:r w:rsidRPr="00A1289C">
        <w:rPr>
          <w:rStyle w:val="PlaceholderText"/>
        </w:rPr>
        <w:tab/>
        <w:t>Full name</w:t>
      </w:r>
    </w:p>
    <w:p w14:paraId="65BAFE9C" w14:textId="77777777" w:rsidR="00303245" w:rsidRPr="00A1289C" w:rsidRDefault="00303245" w:rsidP="00A1289C">
      <w:pPr>
        <w:keepNext/>
        <w:keepLines/>
        <w:tabs>
          <w:tab w:val="left" w:leader="dot" w:pos="4253"/>
          <w:tab w:val="left" w:pos="4536"/>
          <w:tab w:val="left" w:leader="dot" w:pos="8789"/>
        </w:tabs>
        <w:spacing w:before="240"/>
        <w:rPr>
          <w:rStyle w:val="PlaceholderText"/>
        </w:rPr>
      </w:pPr>
      <w:r w:rsidRPr="00A1289C">
        <w:rPr>
          <w:rStyle w:val="PlaceholderText"/>
        </w:rPr>
        <w:tab/>
      </w:r>
      <w:r w:rsidRPr="00A1289C">
        <w:rPr>
          <w:rStyle w:val="PlaceholderText"/>
        </w:rPr>
        <w:tab/>
      </w:r>
      <w:r w:rsidRPr="00A1289C">
        <w:rPr>
          <w:rStyle w:val="PlaceholderText"/>
        </w:rPr>
        <w:tab/>
      </w:r>
    </w:p>
    <w:p w14:paraId="51C6823C" w14:textId="61657EF1" w:rsidR="00303245" w:rsidRPr="00A1289C" w:rsidRDefault="00303245" w:rsidP="00A1289C">
      <w:pPr>
        <w:keepNext/>
        <w:keepLines/>
        <w:tabs>
          <w:tab w:val="left" w:pos="4510"/>
        </w:tabs>
        <w:spacing w:before="240"/>
        <w:rPr>
          <w:rStyle w:val="PlaceholderText"/>
        </w:rPr>
      </w:pPr>
      <w:r w:rsidRPr="00A1289C">
        <w:rPr>
          <w:rStyle w:val="PlaceholderText"/>
        </w:rPr>
        <w:t>Date</w:t>
      </w:r>
      <w:r w:rsidRPr="00A1289C">
        <w:rPr>
          <w:rStyle w:val="PlaceholderText"/>
        </w:rPr>
        <w:tab/>
      </w:r>
      <w:proofErr w:type="spellStart"/>
      <w:r w:rsidRPr="00A1289C">
        <w:rPr>
          <w:rStyle w:val="PlaceholderText"/>
        </w:rPr>
        <w:t>Date</w:t>
      </w:r>
      <w:proofErr w:type="spellEnd"/>
    </w:p>
    <w:sectPr w:rsidR="00303245" w:rsidRPr="00A1289C" w:rsidSect="00045FA6">
      <w:footnotePr>
        <w:numStart w:val="4"/>
      </w:foot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E21CF" w14:textId="77777777" w:rsidR="00C632B6" w:rsidRDefault="00C632B6" w:rsidP="007F3CCD">
      <w:r>
        <w:separator/>
      </w:r>
    </w:p>
  </w:endnote>
  <w:endnote w:type="continuationSeparator" w:id="0">
    <w:p w14:paraId="3BDD4DDC" w14:textId="77777777" w:rsidR="00C632B6" w:rsidRDefault="00C632B6" w:rsidP="007F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8289" w14:textId="39941422" w:rsidR="00E06045" w:rsidRDefault="006F2C53">
    <w:pPr>
      <w:pStyle w:val="Footer"/>
    </w:pPr>
    <w:r>
      <w:rPr>
        <w:noProof/>
        <w14:ligatures w14:val="standardContextual"/>
      </w:rPr>
      <mc:AlternateContent>
        <mc:Choice Requires="wps">
          <w:drawing>
            <wp:anchor distT="0" distB="0" distL="0" distR="0" simplePos="0" relativeHeight="251668487" behindDoc="0" locked="0" layoutInCell="1" allowOverlap="1" wp14:anchorId="00D53538" wp14:editId="6E02E14C">
              <wp:simplePos x="635" y="635"/>
              <wp:positionH relativeFrom="page">
                <wp:align>center</wp:align>
              </wp:positionH>
              <wp:positionV relativeFrom="page">
                <wp:align>bottom</wp:align>
              </wp:positionV>
              <wp:extent cx="622300" cy="376555"/>
              <wp:effectExtent l="0" t="0" r="6350" b="0"/>
              <wp:wrapNone/>
              <wp:docPr id="1431101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8308B6C" w14:textId="3961900E" w:rsidR="006F2C53" w:rsidRPr="006F2C53" w:rsidRDefault="006F2C53" w:rsidP="006F2C53">
                          <w:pPr>
                            <w:rPr>
                              <w:rFonts w:ascii="Aptos" w:eastAsia="Aptos" w:hAnsi="Aptos" w:cs="Aptos"/>
                              <w:noProof/>
                              <w:color w:val="FF0000"/>
                              <w:sz w:val="24"/>
                              <w:szCs w:val="24"/>
                            </w:rPr>
                          </w:pPr>
                          <w:r w:rsidRPr="006F2C5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D53538"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84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38308B6C" w14:textId="3961900E" w:rsidR="006F2C53" w:rsidRPr="006F2C53" w:rsidRDefault="006F2C53" w:rsidP="006F2C53">
                    <w:pPr>
                      <w:rPr>
                        <w:rFonts w:ascii="Aptos" w:eastAsia="Aptos" w:hAnsi="Aptos" w:cs="Aptos"/>
                        <w:noProof/>
                        <w:color w:val="FF0000"/>
                        <w:sz w:val="24"/>
                        <w:szCs w:val="24"/>
                      </w:rPr>
                    </w:pPr>
                    <w:r w:rsidRPr="006F2C5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3C06" w14:textId="6DCB9B5B" w:rsidR="0020250F" w:rsidRDefault="0020250F">
    <w:pPr>
      <w:pStyle w:val="Footer"/>
      <w:jc w:val="right"/>
    </w:pPr>
    <w:r>
      <w:t xml:space="preserve">page </w:t>
    </w:r>
    <w:sdt>
      <w:sdtPr>
        <w:id w:val="1304966436"/>
        <w:docPartObj>
          <w:docPartGallery w:val="Page Numbers (Bottom of Page)"/>
          <w:docPartUnique/>
        </w:docPartObj>
      </w:sdtPr>
      <w:sdtContent>
        <w:r>
          <w:fldChar w:fldCharType="begin"/>
        </w:r>
        <w:r>
          <w:instrText>PAGE   \* MERGEFORMAT</w:instrText>
        </w:r>
        <w:r>
          <w:fldChar w:fldCharType="separate"/>
        </w:r>
        <w:r>
          <w:rPr>
            <w:lang w:val="en-GB"/>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6A64" w14:textId="7FAC4C7D" w:rsidR="0079695E" w:rsidRDefault="00441F26" w:rsidP="00441F26">
    <w:pPr>
      <w:pStyle w:val="Footer"/>
      <w:jc w:val="right"/>
    </w:pPr>
    <w:r>
      <w:t xml:space="preserve">page </w:t>
    </w:r>
    <w:sdt>
      <w:sdtPr>
        <w:id w:val="-2050749336"/>
        <w:docPartObj>
          <w:docPartGallery w:val="Page Numbers (Bottom of Page)"/>
          <w:docPartUnique/>
        </w:docPartObj>
      </w:sdtPr>
      <w:sdtContent>
        <w:r>
          <w:fldChar w:fldCharType="begin"/>
        </w:r>
        <w:r>
          <w:instrText>PAGE   \* MERGEFORMAT</w:instrText>
        </w:r>
        <w:r>
          <w:fldChar w:fldCharType="separate"/>
        </w:r>
        <w:r>
          <w:t>6</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22E6" w14:textId="77777777" w:rsidR="00C632B6" w:rsidRDefault="00C632B6" w:rsidP="007F3CCD">
      <w:r>
        <w:separator/>
      </w:r>
    </w:p>
  </w:footnote>
  <w:footnote w:type="continuationSeparator" w:id="0">
    <w:p w14:paraId="6209A46F" w14:textId="77777777" w:rsidR="00C632B6" w:rsidRDefault="00C632B6" w:rsidP="007F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7E81" w14:textId="01A8B62C" w:rsidR="00E06045" w:rsidRDefault="006F2C53">
    <w:pPr>
      <w:pStyle w:val="Header"/>
    </w:pPr>
    <w:r>
      <w:rPr>
        <w:noProof/>
        <w14:ligatures w14:val="standardContextual"/>
      </w:rPr>
      <mc:AlternateContent>
        <mc:Choice Requires="wps">
          <w:drawing>
            <wp:anchor distT="0" distB="0" distL="0" distR="0" simplePos="0" relativeHeight="251665415" behindDoc="0" locked="0" layoutInCell="1" allowOverlap="1" wp14:anchorId="40616F88" wp14:editId="7596BBB8">
              <wp:simplePos x="635" y="635"/>
              <wp:positionH relativeFrom="page">
                <wp:align>center</wp:align>
              </wp:positionH>
              <wp:positionV relativeFrom="page">
                <wp:align>top</wp:align>
              </wp:positionV>
              <wp:extent cx="622300" cy="376555"/>
              <wp:effectExtent l="0" t="0" r="6350" b="4445"/>
              <wp:wrapNone/>
              <wp:docPr id="21121320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397A79E" w14:textId="5C063010" w:rsidR="006F2C53" w:rsidRPr="006F2C53" w:rsidRDefault="006F2C53" w:rsidP="006F2C53">
                          <w:pPr>
                            <w:rPr>
                              <w:rFonts w:ascii="Aptos" w:eastAsia="Aptos" w:hAnsi="Aptos" w:cs="Aptos"/>
                              <w:noProof/>
                              <w:color w:val="FF0000"/>
                              <w:sz w:val="24"/>
                              <w:szCs w:val="24"/>
                            </w:rPr>
                          </w:pPr>
                          <w:r w:rsidRPr="006F2C5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616F8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54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3397A79E" w14:textId="5C063010" w:rsidR="006F2C53" w:rsidRPr="006F2C53" w:rsidRDefault="006F2C53" w:rsidP="006F2C53">
                    <w:pPr>
                      <w:rPr>
                        <w:rFonts w:ascii="Aptos" w:eastAsia="Aptos" w:hAnsi="Aptos" w:cs="Aptos"/>
                        <w:noProof/>
                        <w:color w:val="FF0000"/>
                        <w:sz w:val="24"/>
                        <w:szCs w:val="24"/>
                      </w:rPr>
                    </w:pPr>
                    <w:r w:rsidRPr="006F2C5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C34E" w14:textId="2C080226" w:rsidR="006F2C53" w:rsidRDefault="006F2C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CD87" w14:textId="2DD3012B" w:rsidR="006F2C53" w:rsidRDefault="006F2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0FA80"/>
    <w:name w:val="MaddHeadnum"/>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1701" w:hanging="850"/>
      </w:pPr>
      <w:rPr>
        <w:rFonts w:ascii="Arial" w:hAnsi="Arial" w:hint="default"/>
        <w:b w:val="0"/>
        <w:i w:val="0"/>
        <w:sz w:val="20"/>
        <w:szCs w:val="20"/>
      </w:rPr>
    </w:lvl>
    <w:lvl w:ilvl="3">
      <w:start w:val="1"/>
      <w:numFmt w:val="lowerLetter"/>
      <w:pStyle w:val="Heading4"/>
      <w:lvlText w:val="(%4)"/>
      <w:lvlJc w:val="left"/>
      <w:pPr>
        <w:ind w:left="2268"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2"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3" w15:restartNumberingAfterBreak="0">
    <w:nsid w:val="047934ED"/>
    <w:multiLevelType w:val="hybridMultilevel"/>
    <w:tmpl w:val="6C0EC6AC"/>
    <w:lvl w:ilvl="0" w:tplc="325EA7B4">
      <w:start w:val="1"/>
      <w:numFmt w:val="bullet"/>
      <w:lvlText w:val=""/>
      <w:lvlJc w:val="left"/>
      <w:pPr>
        <w:ind w:left="720" w:hanging="360"/>
      </w:pPr>
      <w:rPr>
        <w:rFonts w:ascii="Symbol" w:hAnsi="Symbol"/>
      </w:rPr>
    </w:lvl>
    <w:lvl w:ilvl="1" w:tplc="51D0F544">
      <w:start w:val="1"/>
      <w:numFmt w:val="bullet"/>
      <w:lvlText w:val=""/>
      <w:lvlJc w:val="left"/>
      <w:pPr>
        <w:ind w:left="720" w:hanging="360"/>
      </w:pPr>
      <w:rPr>
        <w:rFonts w:ascii="Symbol" w:hAnsi="Symbol"/>
      </w:rPr>
    </w:lvl>
    <w:lvl w:ilvl="2" w:tplc="F71A2C94">
      <w:start w:val="1"/>
      <w:numFmt w:val="bullet"/>
      <w:lvlText w:val=""/>
      <w:lvlJc w:val="left"/>
      <w:pPr>
        <w:ind w:left="720" w:hanging="360"/>
      </w:pPr>
      <w:rPr>
        <w:rFonts w:ascii="Symbol" w:hAnsi="Symbol"/>
      </w:rPr>
    </w:lvl>
    <w:lvl w:ilvl="3" w:tplc="840E742E">
      <w:start w:val="1"/>
      <w:numFmt w:val="bullet"/>
      <w:lvlText w:val=""/>
      <w:lvlJc w:val="left"/>
      <w:pPr>
        <w:ind w:left="720" w:hanging="360"/>
      </w:pPr>
      <w:rPr>
        <w:rFonts w:ascii="Symbol" w:hAnsi="Symbol"/>
      </w:rPr>
    </w:lvl>
    <w:lvl w:ilvl="4" w:tplc="748A6CEE">
      <w:start w:val="1"/>
      <w:numFmt w:val="bullet"/>
      <w:lvlText w:val=""/>
      <w:lvlJc w:val="left"/>
      <w:pPr>
        <w:ind w:left="720" w:hanging="360"/>
      </w:pPr>
      <w:rPr>
        <w:rFonts w:ascii="Symbol" w:hAnsi="Symbol"/>
      </w:rPr>
    </w:lvl>
    <w:lvl w:ilvl="5" w:tplc="3D62536E">
      <w:start w:val="1"/>
      <w:numFmt w:val="bullet"/>
      <w:lvlText w:val=""/>
      <w:lvlJc w:val="left"/>
      <w:pPr>
        <w:ind w:left="720" w:hanging="360"/>
      </w:pPr>
      <w:rPr>
        <w:rFonts w:ascii="Symbol" w:hAnsi="Symbol"/>
      </w:rPr>
    </w:lvl>
    <w:lvl w:ilvl="6" w:tplc="0BBA62B6">
      <w:start w:val="1"/>
      <w:numFmt w:val="bullet"/>
      <w:lvlText w:val=""/>
      <w:lvlJc w:val="left"/>
      <w:pPr>
        <w:ind w:left="720" w:hanging="360"/>
      </w:pPr>
      <w:rPr>
        <w:rFonts w:ascii="Symbol" w:hAnsi="Symbol"/>
      </w:rPr>
    </w:lvl>
    <w:lvl w:ilvl="7" w:tplc="650E3982">
      <w:start w:val="1"/>
      <w:numFmt w:val="bullet"/>
      <w:lvlText w:val=""/>
      <w:lvlJc w:val="left"/>
      <w:pPr>
        <w:ind w:left="720" w:hanging="360"/>
      </w:pPr>
      <w:rPr>
        <w:rFonts w:ascii="Symbol" w:hAnsi="Symbol"/>
      </w:rPr>
    </w:lvl>
    <w:lvl w:ilvl="8" w:tplc="7DB29EF6">
      <w:start w:val="1"/>
      <w:numFmt w:val="bullet"/>
      <w:lvlText w:val=""/>
      <w:lvlJc w:val="left"/>
      <w:pPr>
        <w:ind w:left="720" w:hanging="360"/>
      </w:pPr>
      <w:rPr>
        <w:rFonts w:ascii="Symbol" w:hAnsi="Symbol"/>
      </w:rPr>
    </w:lvl>
  </w:abstractNum>
  <w:abstractNum w:abstractNumId="4"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310F9A"/>
    <w:multiLevelType w:val="multilevel"/>
    <w:tmpl w:val="37342B86"/>
    <w:lvl w:ilvl="0">
      <w:start w:val="1"/>
      <w:numFmt w:val="bullet"/>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F1C5F0A"/>
    <w:multiLevelType w:val="hybridMultilevel"/>
    <w:tmpl w:val="91F63670"/>
    <w:lvl w:ilvl="0" w:tplc="E1FADF12">
      <w:start w:val="1"/>
      <w:numFmt w:val="bullet"/>
      <w:lvlText w:val=""/>
      <w:lvlJc w:val="left"/>
      <w:pPr>
        <w:ind w:left="1020" w:hanging="360"/>
      </w:pPr>
      <w:rPr>
        <w:rFonts w:ascii="Symbol" w:hAnsi="Symbol"/>
      </w:rPr>
    </w:lvl>
    <w:lvl w:ilvl="1" w:tplc="46C69DC2">
      <w:start w:val="1"/>
      <w:numFmt w:val="bullet"/>
      <w:lvlText w:val=""/>
      <w:lvlJc w:val="left"/>
      <w:pPr>
        <w:ind w:left="1020" w:hanging="360"/>
      </w:pPr>
      <w:rPr>
        <w:rFonts w:ascii="Symbol" w:hAnsi="Symbol"/>
      </w:rPr>
    </w:lvl>
    <w:lvl w:ilvl="2" w:tplc="BB6225A8">
      <w:start w:val="1"/>
      <w:numFmt w:val="bullet"/>
      <w:lvlText w:val=""/>
      <w:lvlJc w:val="left"/>
      <w:pPr>
        <w:ind w:left="1020" w:hanging="360"/>
      </w:pPr>
      <w:rPr>
        <w:rFonts w:ascii="Symbol" w:hAnsi="Symbol"/>
      </w:rPr>
    </w:lvl>
    <w:lvl w:ilvl="3" w:tplc="21C859FC">
      <w:start w:val="1"/>
      <w:numFmt w:val="bullet"/>
      <w:lvlText w:val=""/>
      <w:lvlJc w:val="left"/>
      <w:pPr>
        <w:ind w:left="1020" w:hanging="360"/>
      </w:pPr>
      <w:rPr>
        <w:rFonts w:ascii="Symbol" w:hAnsi="Symbol"/>
      </w:rPr>
    </w:lvl>
    <w:lvl w:ilvl="4" w:tplc="9DB254E4">
      <w:start w:val="1"/>
      <w:numFmt w:val="bullet"/>
      <w:lvlText w:val=""/>
      <w:lvlJc w:val="left"/>
      <w:pPr>
        <w:ind w:left="1020" w:hanging="360"/>
      </w:pPr>
      <w:rPr>
        <w:rFonts w:ascii="Symbol" w:hAnsi="Symbol"/>
      </w:rPr>
    </w:lvl>
    <w:lvl w:ilvl="5" w:tplc="0B786A74">
      <w:start w:val="1"/>
      <w:numFmt w:val="bullet"/>
      <w:lvlText w:val=""/>
      <w:lvlJc w:val="left"/>
      <w:pPr>
        <w:ind w:left="1020" w:hanging="360"/>
      </w:pPr>
      <w:rPr>
        <w:rFonts w:ascii="Symbol" w:hAnsi="Symbol"/>
      </w:rPr>
    </w:lvl>
    <w:lvl w:ilvl="6" w:tplc="488CA892">
      <w:start w:val="1"/>
      <w:numFmt w:val="bullet"/>
      <w:lvlText w:val=""/>
      <w:lvlJc w:val="left"/>
      <w:pPr>
        <w:ind w:left="1020" w:hanging="360"/>
      </w:pPr>
      <w:rPr>
        <w:rFonts w:ascii="Symbol" w:hAnsi="Symbol"/>
      </w:rPr>
    </w:lvl>
    <w:lvl w:ilvl="7" w:tplc="7CF08E7A">
      <w:start w:val="1"/>
      <w:numFmt w:val="bullet"/>
      <w:lvlText w:val=""/>
      <w:lvlJc w:val="left"/>
      <w:pPr>
        <w:ind w:left="1020" w:hanging="360"/>
      </w:pPr>
      <w:rPr>
        <w:rFonts w:ascii="Symbol" w:hAnsi="Symbol"/>
      </w:rPr>
    </w:lvl>
    <w:lvl w:ilvl="8" w:tplc="8928451C">
      <w:start w:val="1"/>
      <w:numFmt w:val="bullet"/>
      <w:lvlText w:val=""/>
      <w:lvlJc w:val="left"/>
      <w:pPr>
        <w:ind w:left="1020" w:hanging="360"/>
      </w:pPr>
      <w:rPr>
        <w:rFonts w:ascii="Symbol" w:hAnsi="Symbol"/>
      </w:rPr>
    </w:lvl>
  </w:abstractNum>
  <w:abstractNum w:abstractNumId="8"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9" w15:restartNumberingAfterBreak="0">
    <w:nsid w:val="14A6588E"/>
    <w:multiLevelType w:val="hybridMultilevel"/>
    <w:tmpl w:val="4808B3DA"/>
    <w:lvl w:ilvl="0" w:tplc="4FEEAF3C">
      <w:start w:val="1"/>
      <w:numFmt w:val="decimal"/>
      <w:lvlText w:val="%1."/>
      <w:lvlJc w:val="left"/>
      <w:pPr>
        <w:ind w:left="360" w:hanging="360"/>
      </w:pPr>
      <w:rPr>
        <w:rFonts w:hint="default"/>
        <w:b/>
        <w:bCs/>
      </w:rPr>
    </w:lvl>
    <w:lvl w:ilvl="1" w:tplc="3E48A8EA">
      <w:start w:val="1"/>
      <w:numFmt w:val="lowerLetter"/>
      <w:lvlText w:val="%2."/>
      <w:lvlJc w:val="left"/>
      <w:pPr>
        <w:ind w:left="1080" w:hanging="360"/>
      </w:pPr>
    </w:lvl>
    <w:lvl w:ilvl="2" w:tplc="C400C78A" w:tentative="1">
      <w:start w:val="1"/>
      <w:numFmt w:val="lowerRoman"/>
      <w:lvlText w:val="%3."/>
      <w:lvlJc w:val="right"/>
      <w:pPr>
        <w:ind w:left="1800" w:hanging="180"/>
      </w:pPr>
    </w:lvl>
    <w:lvl w:ilvl="3" w:tplc="A5AC6412" w:tentative="1">
      <w:start w:val="1"/>
      <w:numFmt w:val="decimal"/>
      <w:lvlText w:val="%4."/>
      <w:lvlJc w:val="left"/>
      <w:pPr>
        <w:ind w:left="2520" w:hanging="360"/>
      </w:pPr>
    </w:lvl>
    <w:lvl w:ilvl="4" w:tplc="88162162" w:tentative="1">
      <w:start w:val="1"/>
      <w:numFmt w:val="lowerLetter"/>
      <w:lvlText w:val="%5."/>
      <w:lvlJc w:val="left"/>
      <w:pPr>
        <w:ind w:left="3240" w:hanging="360"/>
      </w:pPr>
    </w:lvl>
    <w:lvl w:ilvl="5" w:tplc="FA46E2A2" w:tentative="1">
      <w:start w:val="1"/>
      <w:numFmt w:val="lowerRoman"/>
      <w:lvlText w:val="%6."/>
      <w:lvlJc w:val="right"/>
      <w:pPr>
        <w:ind w:left="3960" w:hanging="180"/>
      </w:pPr>
    </w:lvl>
    <w:lvl w:ilvl="6" w:tplc="223CB79C" w:tentative="1">
      <w:start w:val="1"/>
      <w:numFmt w:val="decimal"/>
      <w:lvlText w:val="%7."/>
      <w:lvlJc w:val="left"/>
      <w:pPr>
        <w:ind w:left="4680" w:hanging="360"/>
      </w:pPr>
    </w:lvl>
    <w:lvl w:ilvl="7" w:tplc="554E0156" w:tentative="1">
      <w:start w:val="1"/>
      <w:numFmt w:val="lowerLetter"/>
      <w:lvlText w:val="%8."/>
      <w:lvlJc w:val="left"/>
      <w:pPr>
        <w:ind w:left="5400" w:hanging="360"/>
      </w:pPr>
    </w:lvl>
    <w:lvl w:ilvl="8" w:tplc="844AB00C" w:tentative="1">
      <w:start w:val="1"/>
      <w:numFmt w:val="lowerRoman"/>
      <w:lvlText w:val="%9."/>
      <w:lvlJc w:val="right"/>
      <w:pPr>
        <w:ind w:left="6120" w:hanging="180"/>
      </w:pPr>
    </w:lvl>
  </w:abstractNum>
  <w:abstractNum w:abstractNumId="10"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B983CAE"/>
    <w:multiLevelType w:val="hybridMultilevel"/>
    <w:tmpl w:val="1FE86DAE"/>
    <w:lvl w:ilvl="0" w:tplc="218E9E22">
      <w:start w:val="1"/>
      <w:numFmt w:val="bullet"/>
      <w:lvlText w:val=""/>
      <w:lvlJc w:val="left"/>
      <w:pPr>
        <w:ind w:left="720" w:hanging="360"/>
      </w:pPr>
      <w:rPr>
        <w:rFonts w:ascii="Symbol" w:hAnsi="Symbol"/>
      </w:rPr>
    </w:lvl>
    <w:lvl w:ilvl="1" w:tplc="1E9470F8">
      <w:start w:val="1"/>
      <w:numFmt w:val="bullet"/>
      <w:lvlText w:val=""/>
      <w:lvlJc w:val="left"/>
      <w:pPr>
        <w:ind w:left="720" w:hanging="360"/>
      </w:pPr>
      <w:rPr>
        <w:rFonts w:ascii="Symbol" w:hAnsi="Symbol"/>
      </w:rPr>
    </w:lvl>
    <w:lvl w:ilvl="2" w:tplc="61BAA300">
      <w:start w:val="1"/>
      <w:numFmt w:val="bullet"/>
      <w:lvlText w:val=""/>
      <w:lvlJc w:val="left"/>
      <w:pPr>
        <w:ind w:left="720" w:hanging="360"/>
      </w:pPr>
      <w:rPr>
        <w:rFonts w:ascii="Symbol" w:hAnsi="Symbol"/>
      </w:rPr>
    </w:lvl>
    <w:lvl w:ilvl="3" w:tplc="D242C626">
      <w:start w:val="1"/>
      <w:numFmt w:val="bullet"/>
      <w:lvlText w:val=""/>
      <w:lvlJc w:val="left"/>
      <w:pPr>
        <w:ind w:left="720" w:hanging="360"/>
      </w:pPr>
      <w:rPr>
        <w:rFonts w:ascii="Symbol" w:hAnsi="Symbol"/>
      </w:rPr>
    </w:lvl>
    <w:lvl w:ilvl="4" w:tplc="20444B88">
      <w:start w:val="1"/>
      <w:numFmt w:val="bullet"/>
      <w:lvlText w:val=""/>
      <w:lvlJc w:val="left"/>
      <w:pPr>
        <w:ind w:left="720" w:hanging="360"/>
      </w:pPr>
      <w:rPr>
        <w:rFonts w:ascii="Symbol" w:hAnsi="Symbol"/>
      </w:rPr>
    </w:lvl>
    <w:lvl w:ilvl="5" w:tplc="0032C514">
      <w:start w:val="1"/>
      <w:numFmt w:val="bullet"/>
      <w:lvlText w:val=""/>
      <w:lvlJc w:val="left"/>
      <w:pPr>
        <w:ind w:left="720" w:hanging="360"/>
      </w:pPr>
      <w:rPr>
        <w:rFonts w:ascii="Symbol" w:hAnsi="Symbol"/>
      </w:rPr>
    </w:lvl>
    <w:lvl w:ilvl="6" w:tplc="3F16861A">
      <w:start w:val="1"/>
      <w:numFmt w:val="bullet"/>
      <w:lvlText w:val=""/>
      <w:lvlJc w:val="left"/>
      <w:pPr>
        <w:ind w:left="720" w:hanging="360"/>
      </w:pPr>
      <w:rPr>
        <w:rFonts w:ascii="Symbol" w:hAnsi="Symbol"/>
      </w:rPr>
    </w:lvl>
    <w:lvl w:ilvl="7" w:tplc="0A4A24C6">
      <w:start w:val="1"/>
      <w:numFmt w:val="bullet"/>
      <w:lvlText w:val=""/>
      <w:lvlJc w:val="left"/>
      <w:pPr>
        <w:ind w:left="720" w:hanging="360"/>
      </w:pPr>
      <w:rPr>
        <w:rFonts w:ascii="Symbol" w:hAnsi="Symbol"/>
      </w:rPr>
    </w:lvl>
    <w:lvl w:ilvl="8" w:tplc="48DA4E1C">
      <w:start w:val="1"/>
      <w:numFmt w:val="bullet"/>
      <w:lvlText w:val=""/>
      <w:lvlJc w:val="left"/>
      <w:pPr>
        <w:ind w:left="720" w:hanging="360"/>
      </w:pPr>
      <w:rPr>
        <w:rFonts w:ascii="Symbol" w:hAnsi="Symbol"/>
      </w:rPr>
    </w:lvl>
  </w:abstractNum>
  <w:abstractNum w:abstractNumId="12" w15:restartNumberingAfterBreak="0">
    <w:nsid w:val="1DAF7A20"/>
    <w:multiLevelType w:val="hybridMultilevel"/>
    <w:tmpl w:val="EEE0C008"/>
    <w:lvl w:ilvl="0" w:tplc="8DC2C9F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394434D3"/>
    <w:multiLevelType w:val="hybridMultilevel"/>
    <w:tmpl w:val="76BC6792"/>
    <w:lvl w:ilvl="0" w:tplc="C70A6DDA">
      <w:start w:val="1"/>
      <w:numFmt w:val="bullet"/>
      <w:lvlText w:val=""/>
      <w:lvlJc w:val="left"/>
      <w:pPr>
        <w:ind w:left="720" w:hanging="360"/>
      </w:pPr>
      <w:rPr>
        <w:rFonts w:ascii="Symbol" w:hAnsi="Symbol"/>
      </w:rPr>
    </w:lvl>
    <w:lvl w:ilvl="1" w:tplc="B254F354">
      <w:start w:val="1"/>
      <w:numFmt w:val="bullet"/>
      <w:lvlText w:val=""/>
      <w:lvlJc w:val="left"/>
      <w:pPr>
        <w:ind w:left="720" w:hanging="360"/>
      </w:pPr>
      <w:rPr>
        <w:rFonts w:ascii="Symbol" w:hAnsi="Symbol"/>
      </w:rPr>
    </w:lvl>
    <w:lvl w:ilvl="2" w:tplc="A112CE8C">
      <w:start w:val="1"/>
      <w:numFmt w:val="bullet"/>
      <w:lvlText w:val=""/>
      <w:lvlJc w:val="left"/>
      <w:pPr>
        <w:ind w:left="720" w:hanging="360"/>
      </w:pPr>
      <w:rPr>
        <w:rFonts w:ascii="Symbol" w:hAnsi="Symbol"/>
      </w:rPr>
    </w:lvl>
    <w:lvl w:ilvl="3" w:tplc="543CEE50">
      <w:start w:val="1"/>
      <w:numFmt w:val="bullet"/>
      <w:lvlText w:val=""/>
      <w:lvlJc w:val="left"/>
      <w:pPr>
        <w:ind w:left="720" w:hanging="360"/>
      </w:pPr>
      <w:rPr>
        <w:rFonts w:ascii="Symbol" w:hAnsi="Symbol"/>
      </w:rPr>
    </w:lvl>
    <w:lvl w:ilvl="4" w:tplc="2B20BE06">
      <w:start w:val="1"/>
      <w:numFmt w:val="bullet"/>
      <w:lvlText w:val=""/>
      <w:lvlJc w:val="left"/>
      <w:pPr>
        <w:ind w:left="720" w:hanging="360"/>
      </w:pPr>
      <w:rPr>
        <w:rFonts w:ascii="Symbol" w:hAnsi="Symbol"/>
      </w:rPr>
    </w:lvl>
    <w:lvl w:ilvl="5" w:tplc="6712805C">
      <w:start w:val="1"/>
      <w:numFmt w:val="bullet"/>
      <w:lvlText w:val=""/>
      <w:lvlJc w:val="left"/>
      <w:pPr>
        <w:ind w:left="720" w:hanging="360"/>
      </w:pPr>
      <w:rPr>
        <w:rFonts w:ascii="Symbol" w:hAnsi="Symbol"/>
      </w:rPr>
    </w:lvl>
    <w:lvl w:ilvl="6" w:tplc="C032D8D2">
      <w:start w:val="1"/>
      <w:numFmt w:val="bullet"/>
      <w:lvlText w:val=""/>
      <w:lvlJc w:val="left"/>
      <w:pPr>
        <w:ind w:left="720" w:hanging="360"/>
      </w:pPr>
      <w:rPr>
        <w:rFonts w:ascii="Symbol" w:hAnsi="Symbol"/>
      </w:rPr>
    </w:lvl>
    <w:lvl w:ilvl="7" w:tplc="6E3C86CA">
      <w:start w:val="1"/>
      <w:numFmt w:val="bullet"/>
      <w:lvlText w:val=""/>
      <w:lvlJc w:val="left"/>
      <w:pPr>
        <w:ind w:left="720" w:hanging="360"/>
      </w:pPr>
      <w:rPr>
        <w:rFonts w:ascii="Symbol" w:hAnsi="Symbol"/>
      </w:rPr>
    </w:lvl>
    <w:lvl w:ilvl="8" w:tplc="9490E44E">
      <w:start w:val="1"/>
      <w:numFmt w:val="bullet"/>
      <w:lvlText w:val=""/>
      <w:lvlJc w:val="left"/>
      <w:pPr>
        <w:ind w:left="720" w:hanging="360"/>
      </w:pPr>
      <w:rPr>
        <w:rFonts w:ascii="Symbol" w:hAnsi="Symbol"/>
      </w:rPr>
    </w:lvl>
  </w:abstractNum>
  <w:abstractNum w:abstractNumId="14" w15:restartNumberingAfterBreak="0">
    <w:nsid w:val="3E1A37B3"/>
    <w:multiLevelType w:val="hybridMultilevel"/>
    <w:tmpl w:val="F50E9D28"/>
    <w:lvl w:ilvl="0" w:tplc="F64096A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441306A"/>
    <w:multiLevelType w:val="hybridMultilevel"/>
    <w:tmpl w:val="FDA0AB2A"/>
    <w:lvl w:ilvl="0" w:tplc="F566DEBC">
      <w:start w:val="1"/>
      <w:numFmt w:val="bullet"/>
      <w:lvlText w:val=""/>
      <w:lvlJc w:val="left"/>
      <w:pPr>
        <w:ind w:left="720" w:hanging="360"/>
      </w:pPr>
      <w:rPr>
        <w:rFonts w:ascii="Symbol" w:hAnsi="Symbol"/>
      </w:rPr>
    </w:lvl>
    <w:lvl w:ilvl="1" w:tplc="5720C84E">
      <w:start w:val="1"/>
      <w:numFmt w:val="bullet"/>
      <w:lvlText w:val=""/>
      <w:lvlJc w:val="left"/>
      <w:pPr>
        <w:ind w:left="720" w:hanging="360"/>
      </w:pPr>
      <w:rPr>
        <w:rFonts w:ascii="Symbol" w:hAnsi="Symbol"/>
      </w:rPr>
    </w:lvl>
    <w:lvl w:ilvl="2" w:tplc="F078EC36">
      <w:start w:val="1"/>
      <w:numFmt w:val="bullet"/>
      <w:lvlText w:val=""/>
      <w:lvlJc w:val="left"/>
      <w:pPr>
        <w:ind w:left="720" w:hanging="360"/>
      </w:pPr>
      <w:rPr>
        <w:rFonts w:ascii="Symbol" w:hAnsi="Symbol"/>
      </w:rPr>
    </w:lvl>
    <w:lvl w:ilvl="3" w:tplc="6FF22682">
      <w:start w:val="1"/>
      <w:numFmt w:val="bullet"/>
      <w:lvlText w:val=""/>
      <w:lvlJc w:val="left"/>
      <w:pPr>
        <w:ind w:left="720" w:hanging="360"/>
      </w:pPr>
      <w:rPr>
        <w:rFonts w:ascii="Symbol" w:hAnsi="Symbol"/>
      </w:rPr>
    </w:lvl>
    <w:lvl w:ilvl="4" w:tplc="8EC46402">
      <w:start w:val="1"/>
      <w:numFmt w:val="bullet"/>
      <w:lvlText w:val=""/>
      <w:lvlJc w:val="left"/>
      <w:pPr>
        <w:ind w:left="720" w:hanging="360"/>
      </w:pPr>
      <w:rPr>
        <w:rFonts w:ascii="Symbol" w:hAnsi="Symbol"/>
      </w:rPr>
    </w:lvl>
    <w:lvl w:ilvl="5" w:tplc="2EB427A0">
      <w:start w:val="1"/>
      <w:numFmt w:val="bullet"/>
      <w:lvlText w:val=""/>
      <w:lvlJc w:val="left"/>
      <w:pPr>
        <w:ind w:left="720" w:hanging="360"/>
      </w:pPr>
      <w:rPr>
        <w:rFonts w:ascii="Symbol" w:hAnsi="Symbol"/>
      </w:rPr>
    </w:lvl>
    <w:lvl w:ilvl="6" w:tplc="6EC61AFC">
      <w:start w:val="1"/>
      <w:numFmt w:val="bullet"/>
      <w:lvlText w:val=""/>
      <w:lvlJc w:val="left"/>
      <w:pPr>
        <w:ind w:left="720" w:hanging="360"/>
      </w:pPr>
      <w:rPr>
        <w:rFonts w:ascii="Symbol" w:hAnsi="Symbol"/>
      </w:rPr>
    </w:lvl>
    <w:lvl w:ilvl="7" w:tplc="952E80C0">
      <w:start w:val="1"/>
      <w:numFmt w:val="bullet"/>
      <w:lvlText w:val=""/>
      <w:lvlJc w:val="left"/>
      <w:pPr>
        <w:ind w:left="720" w:hanging="360"/>
      </w:pPr>
      <w:rPr>
        <w:rFonts w:ascii="Symbol" w:hAnsi="Symbol"/>
      </w:rPr>
    </w:lvl>
    <w:lvl w:ilvl="8" w:tplc="DF44B234">
      <w:start w:val="1"/>
      <w:numFmt w:val="bullet"/>
      <w:lvlText w:val=""/>
      <w:lvlJc w:val="left"/>
      <w:pPr>
        <w:ind w:left="720" w:hanging="360"/>
      </w:pPr>
      <w:rPr>
        <w:rFonts w:ascii="Symbol" w:hAnsi="Symbol"/>
      </w:rPr>
    </w:lvl>
  </w:abstractNum>
  <w:abstractNum w:abstractNumId="16" w15:restartNumberingAfterBreak="0">
    <w:nsid w:val="483B3C4E"/>
    <w:multiLevelType w:val="multilevel"/>
    <w:tmpl w:val="5E38DD72"/>
    <w:lvl w:ilvl="0">
      <w:start w:val="4"/>
      <w:numFmt w:val="decimal"/>
      <w:lvlText w:val="%1"/>
      <w:lvlJc w:val="left"/>
      <w:pPr>
        <w:ind w:left="420" w:hanging="420"/>
      </w:pPr>
      <w:rPr>
        <w:rFonts w:hint="default"/>
      </w:rPr>
    </w:lvl>
    <w:lvl w:ilvl="1">
      <w:start w:val="6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952410"/>
    <w:multiLevelType w:val="hybridMultilevel"/>
    <w:tmpl w:val="785267DC"/>
    <w:lvl w:ilvl="0" w:tplc="4DCC10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7E5CF3"/>
    <w:multiLevelType w:val="multilevel"/>
    <w:tmpl w:val="4A4E08F2"/>
    <w:lvl w:ilvl="0">
      <w:start w:val="1"/>
      <w:numFmt w:val="decimal"/>
      <w:lvlText w:val="%1."/>
      <w:lvlJc w:val="left"/>
      <w:pPr>
        <w:ind w:left="990" w:hanging="853"/>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990" w:hanging="853"/>
      </w:pPr>
      <w:rPr>
        <w:rFonts w:hint="default"/>
        <w:spacing w:val="-1"/>
        <w:w w:val="99"/>
        <w:lang w:val="en-US" w:eastAsia="en-US" w:bidi="ar-SA"/>
      </w:rPr>
    </w:lvl>
    <w:lvl w:ilvl="2">
      <w:start w:val="1"/>
      <w:numFmt w:val="decimal"/>
      <w:lvlText w:val="%1.%2.%3"/>
      <w:lvlJc w:val="left"/>
      <w:pPr>
        <w:ind w:left="1839" w:hanging="853"/>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2200" w:hanging="361"/>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056" w:hanging="361"/>
      </w:pPr>
      <w:rPr>
        <w:rFonts w:hint="default"/>
        <w:lang w:val="en-US" w:eastAsia="en-US" w:bidi="ar-SA"/>
      </w:rPr>
    </w:lvl>
    <w:lvl w:ilvl="5">
      <w:numFmt w:val="bullet"/>
      <w:lvlText w:val="•"/>
      <w:lvlJc w:val="left"/>
      <w:pPr>
        <w:ind w:left="4984" w:hanging="361"/>
      </w:pPr>
      <w:rPr>
        <w:rFonts w:hint="default"/>
        <w:lang w:val="en-US" w:eastAsia="en-US" w:bidi="ar-SA"/>
      </w:rPr>
    </w:lvl>
    <w:lvl w:ilvl="6">
      <w:numFmt w:val="bullet"/>
      <w:lvlText w:val="•"/>
      <w:lvlJc w:val="left"/>
      <w:pPr>
        <w:ind w:left="5913" w:hanging="361"/>
      </w:pPr>
      <w:rPr>
        <w:rFonts w:hint="default"/>
        <w:lang w:val="en-US" w:eastAsia="en-US" w:bidi="ar-SA"/>
      </w:rPr>
    </w:lvl>
    <w:lvl w:ilvl="7">
      <w:numFmt w:val="bullet"/>
      <w:lvlText w:val="•"/>
      <w:lvlJc w:val="left"/>
      <w:pPr>
        <w:ind w:left="6841" w:hanging="361"/>
      </w:pPr>
      <w:rPr>
        <w:rFonts w:hint="default"/>
        <w:lang w:val="en-US" w:eastAsia="en-US" w:bidi="ar-SA"/>
      </w:rPr>
    </w:lvl>
    <w:lvl w:ilvl="8">
      <w:numFmt w:val="bullet"/>
      <w:lvlText w:val="•"/>
      <w:lvlJc w:val="left"/>
      <w:pPr>
        <w:ind w:left="7769" w:hanging="361"/>
      </w:pPr>
      <w:rPr>
        <w:rFonts w:hint="default"/>
        <w:lang w:val="en-US" w:eastAsia="en-US" w:bidi="ar-SA"/>
      </w:rPr>
    </w:lvl>
  </w:abstractNum>
  <w:abstractNum w:abstractNumId="19" w15:restartNumberingAfterBreak="0">
    <w:nsid w:val="5F7D19F5"/>
    <w:multiLevelType w:val="hybridMultilevel"/>
    <w:tmpl w:val="EEE0C00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61276C08"/>
    <w:multiLevelType w:val="hybridMultilevel"/>
    <w:tmpl w:val="7CC2C2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1A53B62"/>
    <w:multiLevelType w:val="hybridMultilevel"/>
    <w:tmpl w:val="E3A82B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6D6568"/>
    <w:multiLevelType w:val="multilevel"/>
    <w:tmpl w:val="1DFCD470"/>
    <w:lvl w:ilvl="0">
      <w:start w:val="1"/>
      <w:numFmt w:val="bullet"/>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5"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FB7EBC"/>
    <w:multiLevelType w:val="hybridMultilevel"/>
    <w:tmpl w:val="AE28D734"/>
    <w:lvl w:ilvl="0" w:tplc="8FC4C9A0">
      <w:start w:val="1"/>
      <w:numFmt w:val="bullet"/>
      <w:lvlText w:val=""/>
      <w:lvlJc w:val="left"/>
      <w:pPr>
        <w:ind w:left="720" w:hanging="360"/>
      </w:pPr>
      <w:rPr>
        <w:rFonts w:ascii="Symbol" w:hAnsi="Symbol"/>
      </w:rPr>
    </w:lvl>
    <w:lvl w:ilvl="1" w:tplc="94B0A080">
      <w:start w:val="1"/>
      <w:numFmt w:val="bullet"/>
      <w:lvlText w:val=""/>
      <w:lvlJc w:val="left"/>
      <w:pPr>
        <w:ind w:left="720" w:hanging="360"/>
      </w:pPr>
      <w:rPr>
        <w:rFonts w:ascii="Symbol" w:hAnsi="Symbol"/>
      </w:rPr>
    </w:lvl>
    <w:lvl w:ilvl="2" w:tplc="E1E21EE4">
      <w:start w:val="1"/>
      <w:numFmt w:val="bullet"/>
      <w:lvlText w:val=""/>
      <w:lvlJc w:val="left"/>
      <w:pPr>
        <w:ind w:left="720" w:hanging="360"/>
      </w:pPr>
      <w:rPr>
        <w:rFonts w:ascii="Symbol" w:hAnsi="Symbol"/>
      </w:rPr>
    </w:lvl>
    <w:lvl w:ilvl="3" w:tplc="62409D22">
      <w:start w:val="1"/>
      <w:numFmt w:val="bullet"/>
      <w:lvlText w:val=""/>
      <w:lvlJc w:val="left"/>
      <w:pPr>
        <w:ind w:left="720" w:hanging="360"/>
      </w:pPr>
      <w:rPr>
        <w:rFonts w:ascii="Symbol" w:hAnsi="Symbol"/>
      </w:rPr>
    </w:lvl>
    <w:lvl w:ilvl="4" w:tplc="ABA2EFC0">
      <w:start w:val="1"/>
      <w:numFmt w:val="bullet"/>
      <w:lvlText w:val=""/>
      <w:lvlJc w:val="left"/>
      <w:pPr>
        <w:ind w:left="720" w:hanging="360"/>
      </w:pPr>
      <w:rPr>
        <w:rFonts w:ascii="Symbol" w:hAnsi="Symbol"/>
      </w:rPr>
    </w:lvl>
    <w:lvl w:ilvl="5" w:tplc="38940F00">
      <w:start w:val="1"/>
      <w:numFmt w:val="bullet"/>
      <w:lvlText w:val=""/>
      <w:lvlJc w:val="left"/>
      <w:pPr>
        <w:ind w:left="720" w:hanging="360"/>
      </w:pPr>
      <w:rPr>
        <w:rFonts w:ascii="Symbol" w:hAnsi="Symbol"/>
      </w:rPr>
    </w:lvl>
    <w:lvl w:ilvl="6" w:tplc="EA2E830C">
      <w:start w:val="1"/>
      <w:numFmt w:val="bullet"/>
      <w:lvlText w:val=""/>
      <w:lvlJc w:val="left"/>
      <w:pPr>
        <w:ind w:left="720" w:hanging="360"/>
      </w:pPr>
      <w:rPr>
        <w:rFonts w:ascii="Symbol" w:hAnsi="Symbol"/>
      </w:rPr>
    </w:lvl>
    <w:lvl w:ilvl="7" w:tplc="DE46A1AC">
      <w:start w:val="1"/>
      <w:numFmt w:val="bullet"/>
      <w:lvlText w:val=""/>
      <w:lvlJc w:val="left"/>
      <w:pPr>
        <w:ind w:left="720" w:hanging="360"/>
      </w:pPr>
      <w:rPr>
        <w:rFonts w:ascii="Symbol" w:hAnsi="Symbol"/>
      </w:rPr>
    </w:lvl>
    <w:lvl w:ilvl="8" w:tplc="D396ADB4">
      <w:start w:val="1"/>
      <w:numFmt w:val="bullet"/>
      <w:lvlText w:val=""/>
      <w:lvlJc w:val="left"/>
      <w:pPr>
        <w:ind w:left="720" w:hanging="360"/>
      </w:pPr>
      <w:rPr>
        <w:rFonts w:ascii="Symbol" w:hAnsi="Symbol"/>
      </w:rPr>
    </w:lvl>
  </w:abstractNum>
  <w:num w:numId="1" w16cid:durableId="460615604">
    <w:abstractNumId w:val="9"/>
  </w:num>
  <w:num w:numId="2" w16cid:durableId="206377405">
    <w:abstractNumId w:val="17"/>
  </w:num>
  <w:num w:numId="3" w16cid:durableId="1763987434">
    <w:abstractNumId w:val="14"/>
  </w:num>
  <w:num w:numId="4" w16cid:durableId="198055839">
    <w:abstractNumId w:val="21"/>
  </w:num>
  <w:num w:numId="5" w16cid:durableId="1580019105">
    <w:abstractNumId w:val="12"/>
  </w:num>
  <w:num w:numId="6" w16cid:durableId="2100635754">
    <w:abstractNumId w:val="19"/>
  </w:num>
  <w:num w:numId="7" w16cid:durableId="78062946">
    <w:abstractNumId w:val="20"/>
  </w:num>
  <w:num w:numId="8" w16cid:durableId="1640184615">
    <w:abstractNumId w:val="7"/>
  </w:num>
  <w:num w:numId="9" w16cid:durableId="1687750063">
    <w:abstractNumId w:val="3"/>
  </w:num>
  <w:num w:numId="10" w16cid:durableId="1942642856">
    <w:abstractNumId w:val="11"/>
  </w:num>
  <w:num w:numId="11" w16cid:durableId="583760217">
    <w:abstractNumId w:val="13"/>
  </w:num>
  <w:num w:numId="12" w16cid:durableId="527986784">
    <w:abstractNumId w:val="26"/>
  </w:num>
  <w:num w:numId="13" w16cid:durableId="2122142938">
    <w:abstractNumId w:val="15"/>
  </w:num>
  <w:num w:numId="14" w16cid:durableId="1595095227">
    <w:abstractNumId w:val="18"/>
  </w:num>
  <w:num w:numId="15" w16cid:durableId="1963918205">
    <w:abstractNumId w:val="16"/>
  </w:num>
  <w:num w:numId="16" w16cid:durableId="564143006">
    <w:abstractNumId w:val="23"/>
  </w:num>
  <w:num w:numId="17" w16cid:durableId="607003481">
    <w:abstractNumId w:val="5"/>
  </w:num>
  <w:num w:numId="18" w16cid:durableId="153685477">
    <w:abstractNumId w:val="25"/>
  </w:num>
  <w:num w:numId="19" w16cid:durableId="93601067">
    <w:abstractNumId w:val="4"/>
  </w:num>
  <w:num w:numId="20" w16cid:durableId="1769807824">
    <w:abstractNumId w:val="22"/>
  </w:num>
  <w:num w:numId="21" w16cid:durableId="90860117">
    <w:abstractNumId w:val="0"/>
  </w:num>
  <w:num w:numId="22" w16cid:durableId="1624657116">
    <w:abstractNumId w:val="6"/>
  </w:num>
  <w:num w:numId="23" w16cid:durableId="1623145778">
    <w:abstractNumId w:val="24"/>
  </w:num>
  <w:num w:numId="24" w16cid:durableId="2094203425">
    <w:abstractNumId w:val="8"/>
  </w:num>
  <w:num w:numId="25" w16cid:durableId="382871099">
    <w:abstractNumId w:val="10"/>
  </w:num>
  <w:num w:numId="26" w16cid:durableId="855655188">
    <w:abstractNumId w:val="1"/>
  </w:num>
  <w:num w:numId="27" w16cid:durableId="1918709723">
    <w:abstractNumId w:val="2"/>
  </w:num>
  <w:num w:numId="28" w16cid:durableId="1958825527">
    <w:abstractNumId w:val="8"/>
  </w:num>
  <w:num w:numId="29" w16cid:durableId="461532863">
    <w:abstractNumId w:val="8"/>
  </w:num>
  <w:num w:numId="30" w16cid:durableId="1143962518">
    <w:abstractNumId w:val="8"/>
  </w:num>
  <w:num w:numId="31" w16cid:durableId="897401115">
    <w:abstractNumId w:val="8"/>
  </w:num>
  <w:num w:numId="32" w16cid:durableId="1177382379">
    <w:abstractNumId w:val="8"/>
  </w:num>
  <w:num w:numId="33" w16cid:durableId="778841762">
    <w:abstractNumId w:val="8"/>
  </w:num>
  <w:num w:numId="34" w16cid:durableId="938677227">
    <w:abstractNumId w:val="8"/>
  </w:num>
  <w:num w:numId="35" w16cid:durableId="870847803">
    <w:abstractNumId w:val="8"/>
  </w:num>
  <w:num w:numId="36" w16cid:durableId="2115861224">
    <w:abstractNumId w:val="8"/>
  </w:num>
  <w:num w:numId="37" w16cid:durableId="1969508410">
    <w:abstractNumId w:val="8"/>
  </w:num>
  <w:num w:numId="38" w16cid:durableId="1237326892">
    <w:abstractNumId w:val="8"/>
  </w:num>
  <w:num w:numId="39" w16cid:durableId="1697074618">
    <w:abstractNumId w:val="0"/>
  </w:num>
  <w:num w:numId="40" w16cid:durableId="319120892">
    <w:abstractNumId w:val="0"/>
  </w:num>
  <w:num w:numId="41" w16cid:durableId="877815868">
    <w:abstractNumId w:val="0"/>
  </w:num>
  <w:num w:numId="42" w16cid:durableId="374240267">
    <w:abstractNumId w:val="0"/>
  </w:num>
  <w:num w:numId="43" w16cid:durableId="134184052">
    <w:abstractNumId w:val="0"/>
  </w:num>
  <w:num w:numId="44" w16cid:durableId="111948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numStart w:val="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74"/>
    <w:rsid w:val="00000167"/>
    <w:rsid w:val="0000177A"/>
    <w:rsid w:val="000035B4"/>
    <w:rsid w:val="000122C3"/>
    <w:rsid w:val="00013A68"/>
    <w:rsid w:val="0001762C"/>
    <w:rsid w:val="00017B90"/>
    <w:rsid w:val="000206D3"/>
    <w:rsid w:val="000219CD"/>
    <w:rsid w:val="00024F8F"/>
    <w:rsid w:val="00025C9E"/>
    <w:rsid w:val="0003328B"/>
    <w:rsid w:val="0003387A"/>
    <w:rsid w:val="0003474A"/>
    <w:rsid w:val="0003718D"/>
    <w:rsid w:val="000372DA"/>
    <w:rsid w:val="0004351F"/>
    <w:rsid w:val="00045F6F"/>
    <w:rsid w:val="00045FA6"/>
    <w:rsid w:val="00056110"/>
    <w:rsid w:val="00063AEB"/>
    <w:rsid w:val="00063F48"/>
    <w:rsid w:val="00065D2C"/>
    <w:rsid w:val="00066298"/>
    <w:rsid w:val="000669E2"/>
    <w:rsid w:val="000678C7"/>
    <w:rsid w:val="000734FC"/>
    <w:rsid w:val="00080B87"/>
    <w:rsid w:val="00081E9C"/>
    <w:rsid w:val="00093A84"/>
    <w:rsid w:val="000A474B"/>
    <w:rsid w:val="000A6448"/>
    <w:rsid w:val="000A6D03"/>
    <w:rsid w:val="000B10A6"/>
    <w:rsid w:val="000B453D"/>
    <w:rsid w:val="000C1294"/>
    <w:rsid w:val="000C25B3"/>
    <w:rsid w:val="000D5FB3"/>
    <w:rsid w:val="00104878"/>
    <w:rsid w:val="00105C0B"/>
    <w:rsid w:val="001062EA"/>
    <w:rsid w:val="00107E68"/>
    <w:rsid w:val="001105BE"/>
    <w:rsid w:val="00114B26"/>
    <w:rsid w:val="00114CDD"/>
    <w:rsid w:val="0011507D"/>
    <w:rsid w:val="0011563D"/>
    <w:rsid w:val="00116E24"/>
    <w:rsid w:val="00124E33"/>
    <w:rsid w:val="00126083"/>
    <w:rsid w:val="0013111F"/>
    <w:rsid w:val="00134438"/>
    <w:rsid w:val="00136E1A"/>
    <w:rsid w:val="0014189E"/>
    <w:rsid w:val="0014341D"/>
    <w:rsid w:val="001527C9"/>
    <w:rsid w:val="00160E62"/>
    <w:rsid w:val="00173D59"/>
    <w:rsid w:val="00174721"/>
    <w:rsid w:val="00181CF8"/>
    <w:rsid w:val="0019145C"/>
    <w:rsid w:val="001924ED"/>
    <w:rsid w:val="00192B04"/>
    <w:rsid w:val="00194310"/>
    <w:rsid w:val="001954F1"/>
    <w:rsid w:val="00196FE7"/>
    <w:rsid w:val="001A24A6"/>
    <w:rsid w:val="001A3E14"/>
    <w:rsid w:val="001A5068"/>
    <w:rsid w:val="001B4FA5"/>
    <w:rsid w:val="001C0241"/>
    <w:rsid w:val="001C3144"/>
    <w:rsid w:val="001C356D"/>
    <w:rsid w:val="001C4348"/>
    <w:rsid w:val="001C5DAA"/>
    <w:rsid w:val="001D199A"/>
    <w:rsid w:val="001D7D52"/>
    <w:rsid w:val="001E0BCE"/>
    <w:rsid w:val="001E2FA2"/>
    <w:rsid w:val="001F384B"/>
    <w:rsid w:val="001F4FE2"/>
    <w:rsid w:val="001F6AE2"/>
    <w:rsid w:val="0020250F"/>
    <w:rsid w:val="002206F8"/>
    <w:rsid w:val="00226819"/>
    <w:rsid w:val="002326C0"/>
    <w:rsid w:val="00242BF1"/>
    <w:rsid w:val="00244E7D"/>
    <w:rsid w:val="00245413"/>
    <w:rsid w:val="002463CD"/>
    <w:rsid w:val="002606B4"/>
    <w:rsid w:val="00263947"/>
    <w:rsid w:val="00264E5D"/>
    <w:rsid w:val="00265893"/>
    <w:rsid w:val="002732AB"/>
    <w:rsid w:val="00280050"/>
    <w:rsid w:val="002934E6"/>
    <w:rsid w:val="0029743B"/>
    <w:rsid w:val="002A1639"/>
    <w:rsid w:val="002A173C"/>
    <w:rsid w:val="002A3A33"/>
    <w:rsid w:val="002B4785"/>
    <w:rsid w:val="002C17FF"/>
    <w:rsid w:val="002C2782"/>
    <w:rsid w:val="002C4AF3"/>
    <w:rsid w:val="002C4DA1"/>
    <w:rsid w:val="002C7045"/>
    <w:rsid w:val="002D18BF"/>
    <w:rsid w:val="002D1A86"/>
    <w:rsid w:val="002E0043"/>
    <w:rsid w:val="002E0808"/>
    <w:rsid w:val="002E12EC"/>
    <w:rsid w:val="002E2F3D"/>
    <w:rsid w:val="002F52B2"/>
    <w:rsid w:val="002F5E50"/>
    <w:rsid w:val="00300000"/>
    <w:rsid w:val="00303245"/>
    <w:rsid w:val="003051B5"/>
    <w:rsid w:val="0030550B"/>
    <w:rsid w:val="00310C0A"/>
    <w:rsid w:val="00311A29"/>
    <w:rsid w:val="0031375D"/>
    <w:rsid w:val="003476B6"/>
    <w:rsid w:val="003611D6"/>
    <w:rsid w:val="0036123A"/>
    <w:rsid w:val="00362D81"/>
    <w:rsid w:val="00363023"/>
    <w:rsid w:val="003637C8"/>
    <w:rsid w:val="0037087A"/>
    <w:rsid w:val="003874F6"/>
    <w:rsid w:val="003927E3"/>
    <w:rsid w:val="00392A30"/>
    <w:rsid w:val="00396819"/>
    <w:rsid w:val="003A508C"/>
    <w:rsid w:val="003A677B"/>
    <w:rsid w:val="003A748C"/>
    <w:rsid w:val="003B058D"/>
    <w:rsid w:val="003B09FD"/>
    <w:rsid w:val="003B2C61"/>
    <w:rsid w:val="003C1BD1"/>
    <w:rsid w:val="003C6A8C"/>
    <w:rsid w:val="003C7A09"/>
    <w:rsid w:val="003D2534"/>
    <w:rsid w:val="003D39DA"/>
    <w:rsid w:val="003D5D87"/>
    <w:rsid w:val="003D6BC0"/>
    <w:rsid w:val="003F55AB"/>
    <w:rsid w:val="003F7471"/>
    <w:rsid w:val="0043795C"/>
    <w:rsid w:val="00441F26"/>
    <w:rsid w:val="0045403B"/>
    <w:rsid w:val="004553AB"/>
    <w:rsid w:val="004565F1"/>
    <w:rsid w:val="004578A8"/>
    <w:rsid w:val="00457C8C"/>
    <w:rsid w:val="00457E79"/>
    <w:rsid w:val="0046031D"/>
    <w:rsid w:val="004665D9"/>
    <w:rsid w:val="0047362C"/>
    <w:rsid w:val="00475CF3"/>
    <w:rsid w:val="0048663D"/>
    <w:rsid w:val="004906CF"/>
    <w:rsid w:val="004B3778"/>
    <w:rsid w:val="004B75D9"/>
    <w:rsid w:val="004E0F7F"/>
    <w:rsid w:val="004F2CB3"/>
    <w:rsid w:val="004F5049"/>
    <w:rsid w:val="004F75FF"/>
    <w:rsid w:val="00505A6E"/>
    <w:rsid w:val="005065B3"/>
    <w:rsid w:val="005102BA"/>
    <w:rsid w:val="00510CFB"/>
    <w:rsid w:val="00512512"/>
    <w:rsid w:val="00512AF6"/>
    <w:rsid w:val="00514DB9"/>
    <w:rsid w:val="00521750"/>
    <w:rsid w:val="0052532D"/>
    <w:rsid w:val="00526D3B"/>
    <w:rsid w:val="00531771"/>
    <w:rsid w:val="0053497A"/>
    <w:rsid w:val="0053740B"/>
    <w:rsid w:val="00546AEB"/>
    <w:rsid w:val="00553051"/>
    <w:rsid w:val="00555154"/>
    <w:rsid w:val="00555730"/>
    <w:rsid w:val="00577DA2"/>
    <w:rsid w:val="00580D9A"/>
    <w:rsid w:val="00581010"/>
    <w:rsid w:val="00582E79"/>
    <w:rsid w:val="005A51D2"/>
    <w:rsid w:val="005C2CBF"/>
    <w:rsid w:val="005C5878"/>
    <w:rsid w:val="005C5D22"/>
    <w:rsid w:val="005D5717"/>
    <w:rsid w:val="005E0710"/>
    <w:rsid w:val="005E2A2E"/>
    <w:rsid w:val="005E5F3A"/>
    <w:rsid w:val="005F0A3E"/>
    <w:rsid w:val="005F0B53"/>
    <w:rsid w:val="00603C50"/>
    <w:rsid w:val="006070F5"/>
    <w:rsid w:val="0060740C"/>
    <w:rsid w:val="0061222A"/>
    <w:rsid w:val="00622984"/>
    <w:rsid w:val="006231C2"/>
    <w:rsid w:val="00623C6A"/>
    <w:rsid w:val="00630BAB"/>
    <w:rsid w:val="00641151"/>
    <w:rsid w:val="00641CD3"/>
    <w:rsid w:val="00644AE6"/>
    <w:rsid w:val="00661C2F"/>
    <w:rsid w:val="0066790A"/>
    <w:rsid w:val="0067018F"/>
    <w:rsid w:val="00671D7E"/>
    <w:rsid w:val="006814AD"/>
    <w:rsid w:val="00684307"/>
    <w:rsid w:val="0068430A"/>
    <w:rsid w:val="00693A23"/>
    <w:rsid w:val="006953E0"/>
    <w:rsid w:val="00695A54"/>
    <w:rsid w:val="00696D70"/>
    <w:rsid w:val="006A4A85"/>
    <w:rsid w:val="006A6BF3"/>
    <w:rsid w:val="006A7465"/>
    <w:rsid w:val="006B6D87"/>
    <w:rsid w:val="006C0078"/>
    <w:rsid w:val="006C204A"/>
    <w:rsid w:val="006C2616"/>
    <w:rsid w:val="006C402B"/>
    <w:rsid w:val="006C6C4E"/>
    <w:rsid w:val="006D1797"/>
    <w:rsid w:val="006E1A7A"/>
    <w:rsid w:val="006E672C"/>
    <w:rsid w:val="006F0E8F"/>
    <w:rsid w:val="006F2C53"/>
    <w:rsid w:val="006F4D2C"/>
    <w:rsid w:val="007019F9"/>
    <w:rsid w:val="00701E6F"/>
    <w:rsid w:val="007132EB"/>
    <w:rsid w:val="00713798"/>
    <w:rsid w:val="00717B9A"/>
    <w:rsid w:val="00722518"/>
    <w:rsid w:val="00722D1F"/>
    <w:rsid w:val="00726B8A"/>
    <w:rsid w:val="00727410"/>
    <w:rsid w:val="007312A3"/>
    <w:rsid w:val="007341E1"/>
    <w:rsid w:val="00744771"/>
    <w:rsid w:val="00744FBE"/>
    <w:rsid w:val="00746B66"/>
    <w:rsid w:val="00752250"/>
    <w:rsid w:val="007525F0"/>
    <w:rsid w:val="00753841"/>
    <w:rsid w:val="0076173F"/>
    <w:rsid w:val="007773B7"/>
    <w:rsid w:val="007808F0"/>
    <w:rsid w:val="00785A80"/>
    <w:rsid w:val="00786CDC"/>
    <w:rsid w:val="00791FEC"/>
    <w:rsid w:val="0079695E"/>
    <w:rsid w:val="007A504F"/>
    <w:rsid w:val="007B0201"/>
    <w:rsid w:val="007B67BE"/>
    <w:rsid w:val="007C3AEE"/>
    <w:rsid w:val="007C3C74"/>
    <w:rsid w:val="007D5181"/>
    <w:rsid w:val="007D5DC2"/>
    <w:rsid w:val="007E0130"/>
    <w:rsid w:val="007E51BE"/>
    <w:rsid w:val="007E5890"/>
    <w:rsid w:val="007E7162"/>
    <w:rsid w:val="007F3CCD"/>
    <w:rsid w:val="00800A30"/>
    <w:rsid w:val="00803D47"/>
    <w:rsid w:val="008068B0"/>
    <w:rsid w:val="00830C19"/>
    <w:rsid w:val="00830F8E"/>
    <w:rsid w:val="00832348"/>
    <w:rsid w:val="00833F90"/>
    <w:rsid w:val="00834CD7"/>
    <w:rsid w:val="008361E8"/>
    <w:rsid w:val="00845A90"/>
    <w:rsid w:val="00847A62"/>
    <w:rsid w:val="0086278E"/>
    <w:rsid w:val="008723E0"/>
    <w:rsid w:val="008749EE"/>
    <w:rsid w:val="00874C83"/>
    <w:rsid w:val="0088141F"/>
    <w:rsid w:val="0088445F"/>
    <w:rsid w:val="00886A28"/>
    <w:rsid w:val="00893D9A"/>
    <w:rsid w:val="00897877"/>
    <w:rsid w:val="008A0FAA"/>
    <w:rsid w:val="008A33F7"/>
    <w:rsid w:val="008A5A41"/>
    <w:rsid w:val="008A6F10"/>
    <w:rsid w:val="008A7390"/>
    <w:rsid w:val="008B211F"/>
    <w:rsid w:val="008B50D5"/>
    <w:rsid w:val="008C355D"/>
    <w:rsid w:val="008C4341"/>
    <w:rsid w:val="008C4A81"/>
    <w:rsid w:val="008C5CF3"/>
    <w:rsid w:val="008C7128"/>
    <w:rsid w:val="008E1558"/>
    <w:rsid w:val="008F35D7"/>
    <w:rsid w:val="008F4ACC"/>
    <w:rsid w:val="00900C45"/>
    <w:rsid w:val="00902144"/>
    <w:rsid w:val="0090560A"/>
    <w:rsid w:val="00905754"/>
    <w:rsid w:val="0091179E"/>
    <w:rsid w:val="0091222B"/>
    <w:rsid w:val="0091576B"/>
    <w:rsid w:val="009200C8"/>
    <w:rsid w:val="00920E27"/>
    <w:rsid w:val="00921040"/>
    <w:rsid w:val="00921A1A"/>
    <w:rsid w:val="00922E27"/>
    <w:rsid w:val="009235E8"/>
    <w:rsid w:val="00942895"/>
    <w:rsid w:val="00957023"/>
    <w:rsid w:val="00960708"/>
    <w:rsid w:val="00967906"/>
    <w:rsid w:val="00971A1F"/>
    <w:rsid w:val="00973574"/>
    <w:rsid w:val="00980FCC"/>
    <w:rsid w:val="00991579"/>
    <w:rsid w:val="00995EB2"/>
    <w:rsid w:val="009C0355"/>
    <w:rsid w:val="009C3FF0"/>
    <w:rsid w:val="009C4CE3"/>
    <w:rsid w:val="009C5EBC"/>
    <w:rsid w:val="009D45FF"/>
    <w:rsid w:val="009E0ADA"/>
    <w:rsid w:val="009E2649"/>
    <w:rsid w:val="009E3AC9"/>
    <w:rsid w:val="009F47F7"/>
    <w:rsid w:val="009F5EF8"/>
    <w:rsid w:val="009F79F9"/>
    <w:rsid w:val="00A002AC"/>
    <w:rsid w:val="00A024AB"/>
    <w:rsid w:val="00A1289C"/>
    <w:rsid w:val="00A16D09"/>
    <w:rsid w:val="00A17A67"/>
    <w:rsid w:val="00A23D7D"/>
    <w:rsid w:val="00A240E6"/>
    <w:rsid w:val="00A328B2"/>
    <w:rsid w:val="00A33969"/>
    <w:rsid w:val="00A372C2"/>
    <w:rsid w:val="00A374CF"/>
    <w:rsid w:val="00A37611"/>
    <w:rsid w:val="00A47AE4"/>
    <w:rsid w:val="00A67117"/>
    <w:rsid w:val="00A76AA5"/>
    <w:rsid w:val="00A81E5D"/>
    <w:rsid w:val="00A83D34"/>
    <w:rsid w:val="00A859CC"/>
    <w:rsid w:val="00A952A8"/>
    <w:rsid w:val="00AA0CC6"/>
    <w:rsid w:val="00AA0D4B"/>
    <w:rsid w:val="00AA4BCC"/>
    <w:rsid w:val="00AA69B0"/>
    <w:rsid w:val="00AB181A"/>
    <w:rsid w:val="00AB4D92"/>
    <w:rsid w:val="00AB618A"/>
    <w:rsid w:val="00AC16EB"/>
    <w:rsid w:val="00AC296F"/>
    <w:rsid w:val="00AC7300"/>
    <w:rsid w:val="00AC7A65"/>
    <w:rsid w:val="00AD1B55"/>
    <w:rsid w:val="00AD4875"/>
    <w:rsid w:val="00AD7543"/>
    <w:rsid w:val="00AD7994"/>
    <w:rsid w:val="00AE5B8E"/>
    <w:rsid w:val="00B075EF"/>
    <w:rsid w:val="00B10E0D"/>
    <w:rsid w:val="00B1427F"/>
    <w:rsid w:val="00B216C2"/>
    <w:rsid w:val="00B261FF"/>
    <w:rsid w:val="00B30393"/>
    <w:rsid w:val="00B32049"/>
    <w:rsid w:val="00B33714"/>
    <w:rsid w:val="00B3467C"/>
    <w:rsid w:val="00B3585F"/>
    <w:rsid w:val="00B368EB"/>
    <w:rsid w:val="00B37712"/>
    <w:rsid w:val="00B377EE"/>
    <w:rsid w:val="00B51565"/>
    <w:rsid w:val="00B51EBB"/>
    <w:rsid w:val="00B53BB3"/>
    <w:rsid w:val="00B60161"/>
    <w:rsid w:val="00B60BAA"/>
    <w:rsid w:val="00B67621"/>
    <w:rsid w:val="00B6787B"/>
    <w:rsid w:val="00B67BCA"/>
    <w:rsid w:val="00B73150"/>
    <w:rsid w:val="00B73379"/>
    <w:rsid w:val="00B7515A"/>
    <w:rsid w:val="00B752D8"/>
    <w:rsid w:val="00B754C4"/>
    <w:rsid w:val="00B81A51"/>
    <w:rsid w:val="00B91622"/>
    <w:rsid w:val="00B9314D"/>
    <w:rsid w:val="00B95B92"/>
    <w:rsid w:val="00B966DC"/>
    <w:rsid w:val="00BA0B2D"/>
    <w:rsid w:val="00BA0ECB"/>
    <w:rsid w:val="00BA1DD1"/>
    <w:rsid w:val="00BA381A"/>
    <w:rsid w:val="00BB16C9"/>
    <w:rsid w:val="00BB1898"/>
    <w:rsid w:val="00BB3B3C"/>
    <w:rsid w:val="00BB4BE1"/>
    <w:rsid w:val="00BC28BC"/>
    <w:rsid w:val="00BC4ABC"/>
    <w:rsid w:val="00BC634A"/>
    <w:rsid w:val="00BD2771"/>
    <w:rsid w:val="00BD2CE1"/>
    <w:rsid w:val="00BD77AA"/>
    <w:rsid w:val="00BF6137"/>
    <w:rsid w:val="00C058A1"/>
    <w:rsid w:val="00C13D9C"/>
    <w:rsid w:val="00C216D4"/>
    <w:rsid w:val="00C2533F"/>
    <w:rsid w:val="00C2558D"/>
    <w:rsid w:val="00C263C3"/>
    <w:rsid w:val="00C2653D"/>
    <w:rsid w:val="00C342E1"/>
    <w:rsid w:val="00C40A19"/>
    <w:rsid w:val="00C41D40"/>
    <w:rsid w:val="00C43049"/>
    <w:rsid w:val="00C51692"/>
    <w:rsid w:val="00C632B6"/>
    <w:rsid w:val="00C76F45"/>
    <w:rsid w:val="00C7738D"/>
    <w:rsid w:val="00C83BD4"/>
    <w:rsid w:val="00C9343B"/>
    <w:rsid w:val="00C970D7"/>
    <w:rsid w:val="00CA1457"/>
    <w:rsid w:val="00CA22B5"/>
    <w:rsid w:val="00CA6A1C"/>
    <w:rsid w:val="00CB12D8"/>
    <w:rsid w:val="00CB4317"/>
    <w:rsid w:val="00CC3D3D"/>
    <w:rsid w:val="00CC6E9C"/>
    <w:rsid w:val="00CD3208"/>
    <w:rsid w:val="00CD5845"/>
    <w:rsid w:val="00CD67DE"/>
    <w:rsid w:val="00CD71EC"/>
    <w:rsid w:val="00CE0150"/>
    <w:rsid w:val="00CE2CA3"/>
    <w:rsid w:val="00CE576A"/>
    <w:rsid w:val="00CE7986"/>
    <w:rsid w:val="00CF3EE3"/>
    <w:rsid w:val="00CF426A"/>
    <w:rsid w:val="00CF47A8"/>
    <w:rsid w:val="00CF7B09"/>
    <w:rsid w:val="00D02C82"/>
    <w:rsid w:val="00D1062C"/>
    <w:rsid w:val="00D17EAE"/>
    <w:rsid w:val="00D275A1"/>
    <w:rsid w:val="00D305ED"/>
    <w:rsid w:val="00D31538"/>
    <w:rsid w:val="00D322D4"/>
    <w:rsid w:val="00D33DAA"/>
    <w:rsid w:val="00D35CC7"/>
    <w:rsid w:val="00D438F2"/>
    <w:rsid w:val="00D44CCB"/>
    <w:rsid w:val="00D55F38"/>
    <w:rsid w:val="00D71DD9"/>
    <w:rsid w:val="00D7565E"/>
    <w:rsid w:val="00D845E9"/>
    <w:rsid w:val="00D86E4C"/>
    <w:rsid w:val="00D93DA0"/>
    <w:rsid w:val="00D94B06"/>
    <w:rsid w:val="00D95A70"/>
    <w:rsid w:val="00DA10E3"/>
    <w:rsid w:val="00DA4024"/>
    <w:rsid w:val="00DB3D9C"/>
    <w:rsid w:val="00DB551A"/>
    <w:rsid w:val="00DB68F4"/>
    <w:rsid w:val="00DC3F2A"/>
    <w:rsid w:val="00DC506D"/>
    <w:rsid w:val="00DC722D"/>
    <w:rsid w:val="00DC7375"/>
    <w:rsid w:val="00DD0FBE"/>
    <w:rsid w:val="00DD7644"/>
    <w:rsid w:val="00DD7972"/>
    <w:rsid w:val="00DE2DEE"/>
    <w:rsid w:val="00DF15EA"/>
    <w:rsid w:val="00DF24C2"/>
    <w:rsid w:val="00DF4B82"/>
    <w:rsid w:val="00DF68AB"/>
    <w:rsid w:val="00E0005F"/>
    <w:rsid w:val="00E04C9F"/>
    <w:rsid w:val="00E06045"/>
    <w:rsid w:val="00E075EA"/>
    <w:rsid w:val="00E22F2E"/>
    <w:rsid w:val="00E23D7A"/>
    <w:rsid w:val="00E3094C"/>
    <w:rsid w:val="00E33D1D"/>
    <w:rsid w:val="00E355A6"/>
    <w:rsid w:val="00E40A80"/>
    <w:rsid w:val="00E4525F"/>
    <w:rsid w:val="00E45C81"/>
    <w:rsid w:val="00E51F95"/>
    <w:rsid w:val="00E53682"/>
    <w:rsid w:val="00E565B4"/>
    <w:rsid w:val="00E57203"/>
    <w:rsid w:val="00E6189F"/>
    <w:rsid w:val="00E6417F"/>
    <w:rsid w:val="00E64C98"/>
    <w:rsid w:val="00E65339"/>
    <w:rsid w:val="00E66436"/>
    <w:rsid w:val="00E67E05"/>
    <w:rsid w:val="00E77686"/>
    <w:rsid w:val="00E911BA"/>
    <w:rsid w:val="00E91E98"/>
    <w:rsid w:val="00E927E1"/>
    <w:rsid w:val="00EB1229"/>
    <w:rsid w:val="00EB5617"/>
    <w:rsid w:val="00EC1188"/>
    <w:rsid w:val="00ED5E70"/>
    <w:rsid w:val="00EE276B"/>
    <w:rsid w:val="00EE6D5B"/>
    <w:rsid w:val="00EF0841"/>
    <w:rsid w:val="00F013B9"/>
    <w:rsid w:val="00F0180D"/>
    <w:rsid w:val="00F1269E"/>
    <w:rsid w:val="00F142C4"/>
    <w:rsid w:val="00F14D6C"/>
    <w:rsid w:val="00F166DB"/>
    <w:rsid w:val="00F24271"/>
    <w:rsid w:val="00F31C94"/>
    <w:rsid w:val="00F32995"/>
    <w:rsid w:val="00F34247"/>
    <w:rsid w:val="00F34C04"/>
    <w:rsid w:val="00F40BC6"/>
    <w:rsid w:val="00F4228A"/>
    <w:rsid w:val="00F5146C"/>
    <w:rsid w:val="00F53193"/>
    <w:rsid w:val="00F57E7E"/>
    <w:rsid w:val="00F60D6E"/>
    <w:rsid w:val="00F61AE0"/>
    <w:rsid w:val="00F63BDA"/>
    <w:rsid w:val="00F66411"/>
    <w:rsid w:val="00F746C0"/>
    <w:rsid w:val="00F767FA"/>
    <w:rsid w:val="00F76FBB"/>
    <w:rsid w:val="00F7762F"/>
    <w:rsid w:val="00F85686"/>
    <w:rsid w:val="00F90CA7"/>
    <w:rsid w:val="00FA15DA"/>
    <w:rsid w:val="00FA644D"/>
    <w:rsid w:val="00FB4FAF"/>
    <w:rsid w:val="00FC0684"/>
    <w:rsid w:val="00FC151B"/>
    <w:rsid w:val="00FD0D95"/>
    <w:rsid w:val="00FD3B74"/>
    <w:rsid w:val="00FE700A"/>
    <w:rsid w:val="00FF38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FA117"/>
  <w15:chartTrackingRefBased/>
  <w15:docId w15:val="{BBCCA02B-CD96-4A1E-B8ED-B1726C94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9C"/>
    <w:pPr>
      <w:spacing w:before="120" w:after="120" w:line="276" w:lineRule="auto"/>
    </w:pPr>
    <w:rPr>
      <w:rFonts w:eastAsia="Times New Roman"/>
      <w:kern w:val="0"/>
      <w:szCs w:val="20"/>
      <w:lang w:eastAsia="en-AU"/>
      <w14:ligatures w14:val="none"/>
    </w:rPr>
  </w:style>
  <w:style w:type="paragraph" w:styleId="Heading1">
    <w:name w:val="heading 1"/>
    <w:basedOn w:val="Normal"/>
    <w:next w:val="BodyIndent1"/>
    <w:link w:val="Heading1Char"/>
    <w:rsid w:val="00897877"/>
    <w:pPr>
      <w:keepNext/>
      <w:numPr>
        <w:numId w:val="21"/>
      </w:numPr>
      <w:pBdr>
        <w:top w:val="single" w:sz="4" w:space="6" w:color="auto"/>
      </w:pBdr>
      <w:spacing w:before="480"/>
      <w:outlineLvl w:val="0"/>
    </w:pPr>
    <w:rPr>
      <w:b/>
      <w:kern w:val="28"/>
      <w:sz w:val="22"/>
    </w:rPr>
  </w:style>
  <w:style w:type="paragraph" w:styleId="Heading2">
    <w:name w:val="heading 2"/>
    <w:basedOn w:val="Normal"/>
    <w:next w:val="BodyIndent1"/>
    <w:link w:val="Heading2Char"/>
    <w:rsid w:val="00897877"/>
    <w:pPr>
      <w:keepNext/>
      <w:numPr>
        <w:ilvl w:val="1"/>
        <w:numId w:val="21"/>
      </w:numPr>
      <w:spacing w:before="240"/>
      <w:outlineLvl w:val="1"/>
    </w:pPr>
    <w:rPr>
      <w:b/>
    </w:rPr>
  </w:style>
  <w:style w:type="paragraph" w:styleId="Heading3">
    <w:name w:val="heading 3"/>
    <w:basedOn w:val="Normal"/>
    <w:link w:val="Heading3Char"/>
    <w:qFormat/>
    <w:rsid w:val="00897877"/>
    <w:pPr>
      <w:numPr>
        <w:ilvl w:val="2"/>
        <w:numId w:val="21"/>
      </w:numPr>
      <w:spacing w:before="240"/>
      <w:outlineLvl w:val="2"/>
    </w:pPr>
  </w:style>
  <w:style w:type="paragraph" w:styleId="Heading4">
    <w:name w:val="heading 4"/>
    <w:basedOn w:val="Normal"/>
    <w:link w:val="Heading4Char"/>
    <w:qFormat/>
    <w:rsid w:val="00897877"/>
    <w:pPr>
      <w:numPr>
        <w:ilvl w:val="3"/>
        <w:numId w:val="21"/>
      </w:numPr>
      <w:spacing w:before="240"/>
      <w:outlineLvl w:val="3"/>
    </w:pPr>
  </w:style>
  <w:style w:type="paragraph" w:styleId="Heading5">
    <w:name w:val="heading 5"/>
    <w:basedOn w:val="Normal"/>
    <w:link w:val="Heading5Char"/>
    <w:qFormat/>
    <w:rsid w:val="00897877"/>
    <w:pPr>
      <w:numPr>
        <w:ilvl w:val="4"/>
        <w:numId w:val="21"/>
      </w:numPr>
      <w:spacing w:before="240"/>
      <w:outlineLvl w:val="4"/>
    </w:pPr>
  </w:style>
  <w:style w:type="paragraph" w:styleId="Heading6">
    <w:name w:val="heading 6"/>
    <w:basedOn w:val="Normal"/>
    <w:next w:val="Normal"/>
    <w:link w:val="Heading6Char"/>
    <w:rsid w:val="00897877"/>
    <w:pPr>
      <w:outlineLvl w:val="5"/>
    </w:pPr>
  </w:style>
  <w:style w:type="paragraph" w:styleId="Heading7">
    <w:name w:val="heading 7"/>
    <w:basedOn w:val="Normal"/>
    <w:next w:val="Normal"/>
    <w:link w:val="Heading7Char"/>
    <w:rsid w:val="00897877"/>
    <w:pPr>
      <w:outlineLvl w:val="6"/>
    </w:pPr>
  </w:style>
  <w:style w:type="paragraph" w:styleId="Heading8">
    <w:name w:val="heading 8"/>
    <w:basedOn w:val="Normal"/>
    <w:next w:val="Normal"/>
    <w:link w:val="Heading8Char"/>
    <w:rsid w:val="00897877"/>
    <w:pPr>
      <w:outlineLvl w:val="7"/>
    </w:pPr>
  </w:style>
  <w:style w:type="paragraph" w:styleId="Heading9">
    <w:name w:val="heading 9"/>
    <w:basedOn w:val="Normal"/>
    <w:next w:val="Normal"/>
    <w:link w:val="Heading9Char"/>
    <w:rsid w:val="008978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7877"/>
    <w:rPr>
      <w:rFonts w:eastAsia="Times New Roman"/>
      <w:b/>
      <w:kern w:val="28"/>
      <w:sz w:val="22"/>
      <w:szCs w:val="20"/>
      <w:lang w:eastAsia="en-AU"/>
      <w14:ligatures w14:val="none"/>
    </w:rPr>
  </w:style>
  <w:style w:type="character" w:customStyle="1" w:styleId="Heading2Char">
    <w:name w:val="Heading 2 Char"/>
    <w:basedOn w:val="DefaultParagraphFont"/>
    <w:link w:val="Heading2"/>
    <w:rsid w:val="00897877"/>
    <w:rPr>
      <w:rFonts w:eastAsia="Times New Roman"/>
      <w:b/>
      <w:kern w:val="0"/>
      <w:szCs w:val="20"/>
      <w:lang w:eastAsia="en-AU"/>
      <w14:ligatures w14:val="none"/>
    </w:rPr>
  </w:style>
  <w:style w:type="character" w:customStyle="1" w:styleId="Heading3Char">
    <w:name w:val="Heading 3 Char"/>
    <w:basedOn w:val="DefaultParagraphFont"/>
    <w:link w:val="Heading3"/>
    <w:rsid w:val="00897877"/>
    <w:rPr>
      <w:rFonts w:eastAsia="Times New Roman"/>
      <w:kern w:val="0"/>
      <w:szCs w:val="20"/>
      <w:lang w:eastAsia="en-AU"/>
      <w14:ligatures w14:val="none"/>
    </w:rPr>
  </w:style>
  <w:style w:type="character" w:customStyle="1" w:styleId="Heading4Char">
    <w:name w:val="Heading 4 Char"/>
    <w:basedOn w:val="DefaultParagraphFont"/>
    <w:link w:val="Heading4"/>
    <w:rsid w:val="00897877"/>
    <w:rPr>
      <w:rFonts w:eastAsia="Times New Roman"/>
      <w:kern w:val="0"/>
      <w:szCs w:val="20"/>
      <w:lang w:eastAsia="en-AU"/>
      <w14:ligatures w14:val="none"/>
    </w:rPr>
  </w:style>
  <w:style w:type="character" w:customStyle="1" w:styleId="Heading5Char">
    <w:name w:val="Heading 5 Char"/>
    <w:basedOn w:val="DefaultParagraphFont"/>
    <w:link w:val="Heading5"/>
    <w:rsid w:val="00897877"/>
    <w:rPr>
      <w:rFonts w:eastAsia="Times New Roman"/>
      <w:kern w:val="0"/>
      <w:szCs w:val="20"/>
      <w:lang w:eastAsia="en-AU"/>
      <w14:ligatures w14:val="none"/>
    </w:rPr>
  </w:style>
  <w:style w:type="character" w:customStyle="1" w:styleId="Heading6Char">
    <w:name w:val="Heading 6 Char"/>
    <w:basedOn w:val="DefaultParagraphFont"/>
    <w:link w:val="Heading6"/>
    <w:rsid w:val="00897877"/>
    <w:rPr>
      <w:rFonts w:eastAsia="Times New Roman"/>
      <w:kern w:val="0"/>
      <w:szCs w:val="20"/>
      <w:lang w:eastAsia="en-AU"/>
      <w14:ligatures w14:val="none"/>
    </w:rPr>
  </w:style>
  <w:style w:type="character" w:customStyle="1" w:styleId="Heading7Char">
    <w:name w:val="Heading 7 Char"/>
    <w:basedOn w:val="DefaultParagraphFont"/>
    <w:link w:val="Heading7"/>
    <w:rsid w:val="00897877"/>
    <w:rPr>
      <w:rFonts w:eastAsia="Times New Roman"/>
      <w:kern w:val="0"/>
      <w:szCs w:val="20"/>
      <w:lang w:eastAsia="en-AU"/>
      <w14:ligatures w14:val="none"/>
    </w:rPr>
  </w:style>
  <w:style w:type="character" w:customStyle="1" w:styleId="Heading8Char">
    <w:name w:val="Heading 8 Char"/>
    <w:basedOn w:val="DefaultParagraphFont"/>
    <w:link w:val="Heading8"/>
    <w:rsid w:val="00897877"/>
    <w:rPr>
      <w:rFonts w:eastAsia="Times New Roman"/>
      <w:kern w:val="0"/>
      <w:szCs w:val="20"/>
      <w:lang w:eastAsia="en-AU"/>
      <w14:ligatures w14:val="none"/>
    </w:rPr>
  </w:style>
  <w:style w:type="character" w:customStyle="1" w:styleId="Heading9Char">
    <w:name w:val="Heading 9 Char"/>
    <w:basedOn w:val="DefaultParagraphFont"/>
    <w:link w:val="Heading9"/>
    <w:rsid w:val="00897877"/>
    <w:rPr>
      <w:rFonts w:eastAsia="Times New Roman"/>
      <w:kern w:val="0"/>
      <w:szCs w:val="20"/>
      <w:lang w:eastAsia="en-AU"/>
      <w14:ligatures w14:val="none"/>
    </w:rPr>
  </w:style>
  <w:style w:type="paragraph" w:styleId="Title">
    <w:name w:val="Title"/>
    <w:basedOn w:val="Normal"/>
    <w:next w:val="Normal"/>
    <w:link w:val="TitleChar"/>
    <w:uiPriority w:val="10"/>
    <w:qFormat/>
    <w:rsid w:val="00FD3B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B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B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3B74"/>
    <w:pPr>
      <w:spacing w:before="160"/>
      <w:jc w:val="center"/>
    </w:pPr>
    <w:rPr>
      <w:i/>
      <w:iCs/>
      <w:color w:val="404040" w:themeColor="text1" w:themeTint="BF"/>
    </w:rPr>
  </w:style>
  <w:style w:type="character" w:customStyle="1" w:styleId="QuoteChar">
    <w:name w:val="Quote Char"/>
    <w:basedOn w:val="DefaultParagraphFont"/>
    <w:link w:val="Quote"/>
    <w:uiPriority w:val="29"/>
    <w:rsid w:val="00FD3B74"/>
    <w:rPr>
      <w:i/>
      <w:iCs/>
      <w:color w:val="404040" w:themeColor="text1" w:themeTint="BF"/>
    </w:rPr>
  </w:style>
  <w:style w:type="paragraph" w:styleId="ListParagraph">
    <w:name w:val="List Paragraph"/>
    <w:basedOn w:val="Normal"/>
    <w:uiPriority w:val="1"/>
    <w:qFormat/>
    <w:rsid w:val="00FD3B74"/>
    <w:pPr>
      <w:ind w:left="720"/>
      <w:contextualSpacing/>
    </w:pPr>
  </w:style>
  <w:style w:type="character" w:styleId="IntenseEmphasis">
    <w:name w:val="Intense Emphasis"/>
    <w:basedOn w:val="DefaultParagraphFont"/>
    <w:uiPriority w:val="21"/>
    <w:qFormat/>
    <w:rsid w:val="00FD3B74"/>
    <w:rPr>
      <w:i/>
      <w:iCs/>
      <w:color w:val="0F4761" w:themeColor="accent1" w:themeShade="BF"/>
    </w:rPr>
  </w:style>
  <w:style w:type="paragraph" w:styleId="IntenseQuote">
    <w:name w:val="Intense Quote"/>
    <w:basedOn w:val="Normal"/>
    <w:next w:val="Normal"/>
    <w:link w:val="IntenseQuoteChar"/>
    <w:uiPriority w:val="30"/>
    <w:qFormat/>
    <w:rsid w:val="00FD3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B74"/>
    <w:rPr>
      <w:i/>
      <w:iCs/>
      <w:color w:val="0F4761" w:themeColor="accent1" w:themeShade="BF"/>
    </w:rPr>
  </w:style>
  <w:style w:type="character" w:styleId="IntenseReference">
    <w:name w:val="Intense Reference"/>
    <w:basedOn w:val="DefaultParagraphFont"/>
    <w:uiPriority w:val="32"/>
    <w:qFormat/>
    <w:rsid w:val="00FD3B74"/>
    <w:rPr>
      <w:b/>
      <w:bCs/>
      <w:smallCaps/>
      <w:color w:val="0F4761" w:themeColor="accent1" w:themeShade="BF"/>
      <w:spacing w:val="5"/>
    </w:rPr>
  </w:style>
  <w:style w:type="paragraph" w:styleId="FootnoteText">
    <w:name w:val="footnote text"/>
    <w:basedOn w:val="Normal"/>
    <w:link w:val="FootnoteTextChar"/>
    <w:uiPriority w:val="99"/>
    <w:semiHidden/>
    <w:rsid w:val="00897877"/>
    <w:rPr>
      <w:sz w:val="18"/>
    </w:rPr>
  </w:style>
  <w:style w:type="character" w:customStyle="1" w:styleId="FootnoteTextChar">
    <w:name w:val="Footnote Text Char"/>
    <w:basedOn w:val="DefaultParagraphFont"/>
    <w:link w:val="FootnoteText"/>
    <w:uiPriority w:val="99"/>
    <w:semiHidden/>
    <w:rsid w:val="00897877"/>
    <w:rPr>
      <w:rFonts w:eastAsia="Times New Roman"/>
      <w:kern w:val="0"/>
      <w:sz w:val="18"/>
      <w:szCs w:val="20"/>
      <w:lang w:eastAsia="en-AU"/>
      <w14:ligatures w14:val="none"/>
    </w:rPr>
  </w:style>
  <w:style w:type="character" w:styleId="FootnoteReference">
    <w:name w:val="footnote reference"/>
    <w:basedOn w:val="DefaultParagraphFont"/>
    <w:uiPriority w:val="99"/>
    <w:semiHidden/>
    <w:rsid w:val="00897877"/>
    <w:rPr>
      <w:vertAlign w:val="superscript"/>
    </w:rPr>
  </w:style>
  <w:style w:type="character" w:styleId="CommentReference">
    <w:name w:val="annotation reference"/>
    <w:basedOn w:val="DefaultParagraphFont"/>
    <w:uiPriority w:val="99"/>
    <w:semiHidden/>
    <w:unhideWhenUsed/>
    <w:rsid w:val="00E23D7A"/>
    <w:rPr>
      <w:sz w:val="16"/>
      <w:szCs w:val="16"/>
    </w:rPr>
  </w:style>
  <w:style w:type="paragraph" w:styleId="CommentText">
    <w:name w:val="annotation text"/>
    <w:basedOn w:val="Normal"/>
    <w:link w:val="CommentTextChar"/>
    <w:uiPriority w:val="99"/>
    <w:unhideWhenUsed/>
    <w:rsid w:val="00E23D7A"/>
  </w:style>
  <w:style w:type="character" w:customStyle="1" w:styleId="CommentTextChar">
    <w:name w:val="Comment Text Char"/>
    <w:basedOn w:val="DefaultParagraphFont"/>
    <w:link w:val="CommentText"/>
    <w:uiPriority w:val="99"/>
    <w:rsid w:val="00E23D7A"/>
    <w:rPr>
      <w:rFonts w:eastAsia="Calibri"/>
      <w:kern w:val="0"/>
      <w:szCs w:val="20"/>
      <w14:ligatures w14:val="none"/>
    </w:rPr>
  </w:style>
  <w:style w:type="paragraph" w:styleId="CommentSubject">
    <w:name w:val="annotation subject"/>
    <w:basedOn w:val="CommentText"/>
    <w:next w:val="CommentText"/>
    <w:link w:val="CommentSubjectChar"/>
    <w:uiPriority w:val="99"/>
    <w:semiHidden/>
    <w:unhideWhenUsed/>
    <w:rsid w:val="00E23D7A"/>
    <w:rPr>
      <w:b/>
      <w:bCs/>
    </w:rPr>
  </w:style>
  <w:style w:type="character" w:customStyle="1" w:styleId="CommentSubjectChar">
    <w:name w:val="Comment Subject Char"/>
    <w:basedOn w:val="CommentTextChar"/>
    <w:link w:val="CommentSubject"/>
    <w:uiPriority w:val="99"/>
    <w:semiHidden/>
    <w:rsid w:val="00E23D7A"/>
    <w:rPr>
      <w:rFonts w:eastAsia="Calibri"/>
      <w:b/>
      <w:bCs/>
      <w:kern w:val="0"/>
      <w:szCs w:val="20"/>
      <w14:ligatures w14:val="none"/>
    </w:rPr>
  </w:style>
  <w:style w:type="paragraph" w:styleId="Header">
    <w:name w:val="header"/>
    <w:basedOn w:val="Normal"/>
    <w:link w:val="HeaderChar"/>
    <w:uiPriority w:val="99"/>
    <w:unhideWhenUsed/>
    <w:rsid w:val="00E06045"/>
    <w:pPr>
      <w:tabs>
        <w:tab w:val="center" w:pos="4513"/>
        <w:tab w:val="right" w:pos="9026"/>
      </w:tabs>
    </w:pPr>
  </w:style>
  <w:style w:type="character" w:customStyle="1" w:styleId="HeaderChar">
    <w:name w:val="Header Char"/>
    <w:basedOn w:val="DefaultParagraphFont"/>
    <w:link w:val="Header"/>
    <w:uiPriority w:val="99"/>
    <w:rsid w:val="00E06045"/>
    <w:rPr>
      <w:rFonts w:eastAsia="Calibri"/>
      <w:kern w:val="0"/>
      <w:sz w:val="22"/>
      <w:szCs w:val="22"/>
      <w14:ligatures w14:val="none"/>
    </w:rPr>
  </w:style>
  <w:style w:type="paragraph" w:styleId="Footer">
    <w:name w:val="footer"/>
    <w:basedOn w:val="Normal"/>
    <w:link w:val="FooterChar"/>
    <w:uiPriority w:val="99"/>
    <w:rsid w:val="00897877"/>
    <w:pPr>
      <w:tabs>
        <w:tab w:val="center" w:pos="4513"/>
        <w:tab w:val="right" w:pos="9026"/>
      </w:tabs>
    </w:pPr>
  </w:style>
  <w:style w:type="character" w:customStyle="1" w:styleId="FooterChar">
    <w:name w:val="Footer Char"/>
    <w:basedOn w:val="DefaultParagraphFont"/>
    <w:link w:val="Footer"/>
    <w:uiPriority w:val="99"/>
    <w:rsid w:val="00897877"/>
    <w:rPr>
      <w:rFonts w:eastAsia="Times New Roman"/>
      <w:kern w:val="0"/>
      <w:szCs w:val="20"/>
      <w:lang w:eastAsia="en-AU"/>
      <w14:ligatures w14:val="none"/>
    </w:rPr>
  </w:style>
  <w:style w:type="paragraph" w:styleId="Revision">
    <w:name w:val="Revision"/>
    <w:hidden/>
    <w:uiPriority w:val="99"/>
    <w:semiHidden/>
    <w:rsid w:val="00833F90"/>
    <w:pPr>
      <w:spacing w:after="0" w:line="240" w:lineRule="auto"/>
    </w:pPr>
    <w:rPr>
      <w:rFonts w:eastAsia="Calibri"/>
      <w:kern w:val="0"/>
      <w:sz w:val="22"/>
      <w:szCs w:val="22"/>
      <w14:ligatures w14:val="none"/>
    </w:rPr>
  </w:style>
  <w:style w:type="character" w:styleId="Hyperlink">
    <w:name w:val="Hyperlink"/>
    <w:basedOn w:val="DefaultParagraphFont"/>
    <w:uiPriority w:val="99"/>
    <w:unhideWhenUsed/>
    <w:rsid w:val="00160E62"/>
    <w:rPr>
      <w:color w:val="467886" w:themeColor="hyperlink"/>
      <w:u w:val="single"/>
    </w:rPr>
  </w:style>
  <w:style w:type="character" w:styleId="UnresolvedMention">
    <w:name w:val="Unresolved Mention"/>
    <w:basedOn w:val="DefaultParagraphFont"/>
    <w:uiPriority w:val="99"/>
    <w:semiHidden/>
    <w:unhideWhenUsed/>
    <w:rsid w:val="00160E62"/>
    <w:rPr>
      <w:color w:val="605E5C"/>
      <w:shd w:val="clear" w:color="auto" w:fill="E1DFDD"/>
    </w:rPr>
  </w:style>
  <w:style w:type="character" w:styleId="FollowedHyperlink">
    <w:name w:val="FollowedHyperlink"/>
    <w:basedOn w:val="DefaultParagraphFont"/>
    <w:uiPriority w:val="99"/>
    <w:semiHidden/>
    <w:unhideWhenUsed/>
    <w:rsid w:val="00845A90"/>
    <w:rPr>
      <w:color w:val="96607D" w:themeColor="followedHyperlink"/>
      <w:u w:val="single"/>
    </w:rPr>
  </w:style>
  <w:style w:type="paragraph" w:styleId="BodyText">
    <w:name w:val="Body Text"/>
    <w:basedOn w:val="Normal"/>
    <w:link w:val="BodyTextChar"/>
    <w:uiPriority w:val="1"/>
    <w:qFormat/>
    <w:rsid w:val="00886A28"/>
    <w:pPr>
      <w:widowControl w:val="0"/>
      <w:autoSpaceDE w:val="0"/>
      <w:autoSpaceDN w:val="0"/>
    </w:pPr>
    <w:rPr>
      <w:rFonts w:eastAsia="Arial" w:cs="Arial"/>
      <w:lang w:val="en-US"/>
    </w:rPr>
  </w:style>
  <w:style w:type="character" w:customStyle="1" w:styleId="BodyTextChar">
    <w:name w:val="Body Text Char"/>
    <w:basedOn w:val="DefaultParagraphFont"/>
    <w:link w:val="BodyText"/>
    <w:uiPriority w:val="1"/>
    <w:rsid w:val="00886A28"/>
    <w:rPr>
      <w:rFonts w:eastAsia="Arial" w:cs="Arial"/>
      <w:kern w:val="0"/>
      <w:szCs w:val="20"/>
      <w:lang w:val="en-US"/>
      <w14:ligatures w14:val="none"/>
    </w:rPr>
  </w:style>
  <w:style w:type="paragraph" w:customStyle="1" w:styleId="TableParagraph">
    <w:name w:val="Table Paragraph"/>
    <w:basedOn w:val="Normal"/>
    <w:uiPriority w:val="1"/>
    <w:qFormat/>
    <w:rsid w:val="00024F8F"/>
    <w:pPr>
      <w:widowControl w:val="0"/>
      <w:autoSpaceDE w:val="0"/>
      <w:autoSpaceDN w:val="0"/>
    </w:pPr>
    <w:rPr>
      <w:rFonts w:eastAsia="Arial" w:cs="Arial"/>
      <w:lang w:val="en-US"/>
    </w:rPr>
  </w:style>
  <w:style w:type="paragraph" w:customStyle="1" w:styleId="covBodyText">
    <w:name w:val="covBodyText"/>
    <w:basedOn w:val="Normal"/>
    <w:qFormat/>
    <w:rsid w:val="00A1289C"/>
    <w:pPr>
      <w:spacing w:before="1080" w:after="1080"/>
      <w:ind w:left="397"/>
    </w:pPr>
    <w:rPr>
      <w:b/>
      <w:sz w:val="22"/>
    </w:rPr>
  </w:style>
  <w:style w:type="paragraph" w:customStyle="1" w:styleId="covSubTitle">
    <w:name w:val="covSubTitle"/>
    <w:basedOn w:val="Normal"/>
    <w:next w:val="covBodyText"/>
    <w:rsid w:val="00897877"/>
    <w:pPr>
      <w:ind w:left="397"/>
    </w:pPr>
    <w:rPr>
      <w:b/>
      <w:sz w:val="22"/>
    </w:rPr>
  </w:style>
  <w:style w:type="paragraph" w:customStyle="1" w:styleId="covTitle">
    <w:name w:val="covTitle"/>
    <w:basedOn w:val="Normal"/>
    <w:next w:val="covBodyText"/>
    <w:qFormat/>
    <w:rsid w:val="00A1289C"/>
    <w:pPr>
      <w:tabs>
        <w:tab w:val="left" w:pos="1134"/>
        <w:tab w:val="right" w:pos="9070"/>
      </w:tabs>
      <w:spacing w:before="2880"/>
    </w:pPr>
    <w:rPr>
      <w:b/>
      <w:sz w:val="34"/>
    </w:rPr>
  </w:style>
  <w:style w:type="paragraph" w:customStyle="1" w:styleId="legalAttachment">
    <w:name w:val="legalAttachment"/>
    <w:basedOn w:val="Normal"/>
    <w:next w:val="Normal"/>
    <w:qFormat/>
    <w:rsid w:val="00897877"/>
    <w:pPr>
      <w:pageBreakBefore/>
      <w:numPr>
        <w:numId w:val="22"/>
      </w:numPr>
      <w:pBdr>
        <w:top w:val="single" w:sz="4" w:space="1" w:color="auto"/>
      </w:pBdr>
    </w:pPr>
    <w:rPr>
      <w:b/>
      <w:sz w:val="34"/>
      <w:lang w:eastAsia="en-US"/>
    </w:rPr>
  </w:style>
  <w:style w:type="paragraph" w:customStyle="1" w:styleId="legalTitleDescription">
    <w:name w:val="legalTitleDescription"/>
    <w:basedOn w:val="Normal"/>
    <w:next w:val="Normal"/>
    <w:qFormat/>
    <w:rsid w:val="00897877"/>
    <w:pPr>
      <w:spacing w:before="240"/>
    </w:pPr>
    <w:rPr>
      <w:b/>
      <w:sz w:val="22"/>
    </w:rPr>
  </w:style>
  <w:style w:type="paragraph" w:customStyle="1" w:styleId="mainTitle">
    <w:name w:val="mainTitle"/>
    <w:basedOn w:val="Normal"/>
    <w:next w:val="Normal"/>
    <w:qFormat/>
    <w:rsid w:val="00A1289C"/>
    <w:pPr>
      <w:pBdr>
        <w:top w:val="single" w:sz="4" w:space="1" w:color="auto"/>
      </w:pBdr>
      <w:spacing w:after="1080"/>
    </w:pPr>
    <w:rPr>
      <w:b/>
      <w:sz w:val="34"/>
    </w:rPr>
  </w:style>
  <w:style w:type="paragraph" w:customStyle="1" w:styleId="legalRecital1">
    <w:name w:val="legalRecital1"/>
    <w:basedOn w:val="Normal"/>
    <w:qFormat/>
    <w:rsid w:val="00897877"/>
    <w:pPr>
      <w:numPr>
        <w:numId w:val="24"/>
      </w:numPr>
      <w:spacing w:before="240"/>
    </w:pPr>
  </w:style>
  <w:style w:type="paragraph" w:customStyle="1" w:styleId="BodyIndent1">
    <w:name w:val="Body Indent 1"/>
    <w:basedOn w:val="Normal"/>
    <w:qFormat/>
    <w:rsid w:val="00897877"/>
    <w:pPr>
      <w:spacing w:before="240"/>
      <w:ind w:left="851"/>
    </w:pPr>
    <w:rPr>
      <w:rFonts w:cs="Arial"/>
    </w:rPr>
  </w:style>
  <w:style w:type="paragraph" w:customStyle="1" w:styleId="pageNumber">
    <w:name w:val="pageNumber"/>
    <w:basedOn w:val="Normal"/>
    <w:qFormat/>
    <w:rsid w:val="00897877"/>
    <w:pPr>
      <w:tabs>
        <w:tab w:val="right" w:pos="9072"/>
      </w:tabs>
    </w:pPr>
    <w:rPr>
      <w:sz w:val="14"/>
      <w:szCs w:val="14"/>
    </w:rPr>
  </w:style>
  <w:style w:type="paragraph" w:customStyle="1" w:styleId="Headingpara2">
    <w:name w:val="Headingpara2"/>
    <w:basedOn w:val="Heading2"/>
    <w:qFormat/>
    <w:rsid w:val="00897877"/>
    <w:pPr>
      <w:keepNext w:val="0"/>
    </w:pPr>
    <w:rPr>
      <w:b w:val="0"/>
    </w:rPr>
  </w:style>
  <w:style w:type="paragraph" w:customStyle="1" w:styleId="legalSchedule">
    <w:name w:val="legalSchedule"/>
    <w:basedOn w:val="Normal"/>
    <w:next w:val="Normal"/>
    <w:qFormat/>
    <w:rsid w:val="00897877"/>
    <w:pPr>
      <w:pageBreakBefore/>
      <w:numPr>
        <w:numId w:val="25"/>
      </w:numPr>
      <w:pBdr>
        <w:top w:val="single" w:sz="4" w:space="1" w:color="auto"/>
      </w:pBdr>
    </w:pPr>
    <w:rPr>
      <w:b/>
      <w:sz w:val="34"/>
    </w:rPr>
  </w:style>
  <w:style w:type="paragraph" w:customStyle="1" w:styleId="Numpara1">
    <w:name w:val="Numpara1"/>
    <w:basedOn w:val="Normal"/>
    <w:qFormat/>
    <w:rsid w:val="00897877"/>
    <w:pPr>
      <w:numPr>
        <w:numId w:val="26"/>
      </w:numPr>
      <w:spacing w:before="240"/>
    </w:pPr>
    <w:rPr>
      <w:rFonts w:cs="Arial"/>
      <w:szCs w:val="22"/>
    </w:rPr>
  </w:style>
  <w:style w:type="paragraph" w:customStyle="1" w:styleId="Numpara2">
    <w:name w:val="Numpara2"/>
    <w:basedOn w:val="Normal"/>
    <w:qFormat/>
    <w:rsid w:val="00897877"/>
    <w:pPr>
      <w:numPr>
        <w:ilvl w:val="1"/>
        <w:numId w:val="26"/>
      </w:numPr>
      <w:spacing w:before="240"/>
    </w:pPr>
    <w:rPr>
      <w:rFonts w:cs="Arial"/>
      <w:szCs w:val="22"/>
    </w:rPr>
  </w:style>
  <w:style w:type="paragraph" w:customStyle="1" w:styleId="Numpara3">
    <w:name w:val="Numpara3"/>
    <w:basedOn w:val="Normal"/>
    <w:qFormat/>
    <w:rsid w:val="00897877"/>
    <w:pPr>
      <w:numPr>
        <w:ilvl w:val="2"/>
        <w:numId w:val="26"/>
      </w:numPr>
      <w:spacing w:before="240"/>
    </w:pPr>
    <w:rPr>
      <w:rFonts w:cs="Arial"/>
      <w:szCs w:val="22"/>
    </w:rPr>
  </w:style>
  <w:style w:type="paragraph" w:customStyle="1" w:styleId="Numpara4">
    <w:name w:val="Numpara4"/>
    <w:basedOn w:val="Normal"/>
    <w:qFormat/>
    <w:rsid w:val="00897877"/>
    <w:pPr>
      <w:numPr>
        <w:ilvl w:val="3"/>
        <w:numId w:val="26"/>
      </w:numPr>
      <w:spacing w:before="240"/>
    </w:pPr>
    <w:rPr>
      <w:rFonts w:cs="Arial"/>
      <w:szCs w:val="22"/>
    </w:rPr>
  </w:style>
  <w:style w:type="paragraph" w:styleId="TOC1">
    <w:name w:val="toc 1"/>
    <w:next w:val="Normal"/>
    <w:autoRedefine/>
    <w:rsid w:val="00897877"/>
    <w:pPr>
      <w:tabs>
        <w:tab w:val="left" w:pos="851"/>
        <w:tab w:val="right" w:leader="dot" w:pos="9072"/>
      </w:tabs>
      <w:spacing w:before="120" w:after="120" w:line="240" w:lineRule="auto"/>
      <w:ind w:left="851" w:hanging="851"/>
    </w:pPr>
    <w:rPr>
      <w:rFonts w:eastAsia="Times New Roman"/>
      <w:b/>
      <w:kern w:val="0"/>
      <w:szCs w:val="20"/>
      <w14:ligatures w14:val="none"/>
    </w:rPr>
  </w:style>
  <w:style w:type="paragraph" w:styleId="TOC2">
    <w:name w:val="toc 2"/>
    <w:next w:val="Normal"/>
    <w:autoRedefine/>
    <w:rsid w:val="00897877"/>
    <w:pPr>
      <w:tabs>
        <w:tab w:val="right" w:leader="dot" w:pos="9072"/>
      </w:tabs>
      <w:spacing w:after="0" w:line="240" w:lineRule="auto"/>
      <w:ind w:left="1702" w:hanging="851"/>
    </w:pPr>
    <w:rPr>
      <w:rFonts w:eastAsia="Times New Roman"/>
      <w:kern w:val="0"/>
      <w:szCs w:val="20"/>
      <w14:ligatures w14:val="none"/>
    </w:rPr>
  </w:style>
  <w:style w:type="paragraph" w:customStyle="1" w:styleId="legalScheduleDesc">
    <w:name w:val="legalScheduleDesc"/>
    <w:basedOn w:val="Normal"/>
    <w:next w:val="Normal"/>
    <w:qFormat/>
    <w:rsid w:val="00897877"/>
    <w:pPr>
      <w:keepNext/>
      <w:spacing w:before="240"/>
    </w:pPr>
    <w:rPr>
      <w:b/>
      <w:sz w:val="22"/>
    </w:rPr>
  </w:style>
  <w:style w:type="paragraph" w:customStyle="1" w:styleId="BodyIndent2">
    <w:name w:val="Body Indent 2"/>
    <w:basedOn w:val="Normal"/>
    <w:qFormat/>
    <w:rsid w:val="00897877"/>
    <w:pPr>
      <w:spacing w:before="240"/>
      <w:ind w:left="1701"/>
    </w:pPr>
    <w:rPr>
      <w:rFonts w:cs="Arial"/>
    </w:rPr>
  </w:style>
  <w:style w:type="paragraph" w:customStyle="1" w:styleId="Bullet1">
    <w:name w:val="Bullet1"/>
    <w:basedOn w:val="Normal"/>
    <w:qFormat/>
    <w:rsid w:val="00897877"/>
    <w:pPr>
      <w:numPr>
        <w:numId w:val="18"/>
      </w:numPr>
      <w:spacing w:before="240"/>
    </w:pPr>
    <w:rPr>
      <w:rFonts w:cs="Arial"/>
    </w:rPr>
  </w:style>
  <w:style w:type="paragraph" w:customStyle="1" w:styleId="Bullet2">
    <w:name w:val="Bullet2"/>
    <w:basedOn w:val="Normal"/>
    <w:qFormat/>
    <w:rsid w:val="00897877"/>
    <w:pPr>
      <w:numPr>
        <w:numId w:val="19"/>
      </w:numPr>
      <w:spacing w:before="240"/>
    </w:pPr>
  </w:style>
  <w:style w:type="paragraph" w:customStyle="1" w:styleId="correspQuote">
    <w:name w:val="correspQuote"/>
    <w:basedOn w:val="Normal"/>
    <w:qFormat/>
    <w:rsid w:val="00897877"/>
    <w:pPr>
      <w:spacing w:before="240"/>
      <w:ind w:left="851" w:right="851"/>
    </w:pPr>
    <w:rPr>
      <w:rFonts w:cs="Arial"/>
      <w:sz w:val="18"/>
    </w:rPr>
  </w:style>
  <w:style w:type="paragraph" w:styleId="TOC3">
    <w:name w:val="toc 3"/>
    <w:next w:val="Normal"/>
    <w:autoRedefine/>
    <w:uiPriority w:val="39"/>
    <w:unhideWhenUsed/>
    <w:rsid w:val="00897877"/>
    <w:pPr>
      <w:tabs>
        <w:tab w:val="left" w:pos="851"/>
        <w:tab w:val="right" w:leader="dot" w:pos="9060"/>
      </w:tabs>
      <w:spacing w:before="240" w:after="0" w:line="240" w:lineRule="auto"/>
    </w:pPr>
    <w:rPr>
      <w:rFonts w:eastAsia="Times New Roman"/>
      <w:b/>
      <w:color w:val="82002A"/>
      <w:kern w:val="0"/>
      <w:sz w:val="22"/>
      <w:szCs w:val="20"/>
      <w14:ligatures w14:val="none"/>
    </w:rPr>
  </w:style>
  <w:style w:type="paragraph" w:styleId="TOC4">
    <w:name w:val="toc 4"/>
    <w:basedOn w:val="Normal"/>
    <w:next w:val="Normal"/>
    <w:autoRedefine/>
    <w:semiHidden/>
    <w:rsid w:val="00897877"/>
    <w:pPr>
      <w:ind w:left="660"/>
    </w:pPr>
  </w:style>
  <w:style w:type="paragraph" w:styleId="TOC5">
    <w:name w:val="toc 5"/>
    <w:basedOn w:val="Normal"/>
    <w:next w:val="Normal"/>
    <w:autoRedefine/>
    <w:semiHidden/>
    <w:rsid w:val="00897877"/>
    <w:pPr>
      <w:ind w:left="880"/>
    </w:pPr>
  </w:style>
  <w:style w:type="paragraph" w:styleId="TOC6">
    <w:name w:val="toc 6"/>
    <w:basedOn w:val="Normal"/>
    <w:next w:val="Normal"/>
    <w:autoRedefine/>
    <w:semiHidden/>
    <w:rsid w:val="00897877"/>
    <w:pPr>
      <w:ind w:left="1100"/>
    </w:pPr>
  </w:style>
  <w:style w:type="paragraph" w:styleId="TOC7">
    <w:name w:val="toc 7"/>
    <w:basedOn w:val="Normal"/>
    <w:next w:val="Normal"/>
    <w:autoRedefine/>
    <w:semiHidden/>
    <w:rsid w:val="00897877"/>
    <w:pPr>
      <w:ind w:left="1320"/>
    </w:pPr>
  </w:style>
  <w:style w:type="paragraph" w:styleId="TOC8">
    <w:name w:val="toc 8"/>
    <w:basedOn w:val="Normal"/>
    <w:next w:val="Normal"/>
    <w:autoRedefine/>
    <w:semiHidden/>
    <w:rsid w:val="00897877"/>
    <w:pPr>
      <w:ind w:left="1540"/>
    </w:pPr>
  </w:style>
  <w:style w:type="paragraph" w:styleId="TOC9">
    <w:name w:val="toc 9"/>
    <w:basedOn w:val="Normal"/>
    <w:next w:val="Normal"/>
    <w:autoRedefine/>
    <w:semiHidden/>
    <w:rsid w:val="00897877"/>
    <w:pPr>
      <w:ind w:left="1760"/>
    </w:pPr>
  </w:style>
  <w:style w:type="paragraph" w:customStyle="1" w:styleId="BodyIndent3">
    <w:name w:val="Body Indent 3"/>
    <w:basedOn w:val="Normal"/>
    <w:qFormat/>
    <w:rsid w:val="00897877"/>
    <w:pPr>
      <w:spacing w:before="240"/>
      <w:ind w:left="2268"/>
    </w:pPr>
    <w:rPr>
      <w:rFonts w:cs="Arial"/>
    </w:rPr>
  </w:style>
  <w:style w:type="paragraph" w:customStyle="1" w:styleId="Bullet3">
    <w:name w:val="Bullet3"/>
    <w:basedOn w:val="Normal"/>
    <w:qFormat/>
    <w:rsid w:val="00897877"/>
    <w:pPr>
      <w:numPr>
        <w:numId w:val="20"/>
      </w:numPr>
      <w:spacing w:before="240"/>
    </w:pPr>
  </w:style>
  <w:style w:type="paragraph" w:customStyle="1" w:styleId="legalDefinition">
    <w:name w:val="legalDefinition"/>
    <w:basedOn w:val="Normal"/>
    <w:qFormat/>
    <w:rsid w:val="00897877"/>
    <w:pPr>
      <w:numPr>
        <w:numId w:val="23"/>
      </w:numPr>
      <w:spacing w:before="240"/>
    </w:pPr>
    <w:rPr>
      <w:lang w:eastAsia="en-US"/>
    </w:rPr>
  </w:style>
  <w:style w:type="table" w:customStyle="1" w:styleId="MadTabPlumGrid">
    <w:name w:val="MadTabPlumGrid"/>
    <w:basedOn w:val="TableNormal"/>
    <w:uiPriority w:val="99"/>
    <w:rsid w:val="00897877"/>
    <w:pPr>
      <w:spacing w:before="60" w:after="60" w:line="240" w:lineRule="auto"/>
    </w:pPr>
    <w:rPr>
      <w:rFonts w:eastAsia="Times New Roman"/>
      <w:kern w:val="0"/>
      <w:szCs w:val="20"/>
      <w:lang w:eastAsia="en-AU"/>
      <w14:ligatures w14:val="none"/>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897877"/>
    <w:pPr>
      <w:spacing w:before="60" w:after="60" w:line="240" w:lineRule="auto"/>
    </w:pPr>
    <w:rPr>
      <w:rFonts w:eastAsia="Times New Roman"/>
      <w:kern w:val="0"/>
      <w:szCs w:val="20"/>
      <w:lang w:eastAsia="en-AU"/>
      <w14:ligatures w14:val="none"/>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Part">
    <w:name w:val="legalPart"/>
    <w:basedOn w:val="Normal"/>
    <w:next w:val="Normal"/>
    <w:qFormat/>
    <w:rsid w:val="00897877"/>
    <w:pPr>
      <w:keepNext/>
      <w:numPr>
        <w:numId w:val="27"/>
      </w:numPr>
      <w:pBdr>
        <w:top w:val="single" w:sz="4" w:space="6" w:color="82002A"/>
      </w:pBdr>
      <w:spacing w:before="480" w:after="480"/>
    </w:pPr>
    <w:rPr>
      <w:b/>
      <w:color w:val="82002A"/>
      <w:sz w:val="22"/>
      <w:lang w:eastAsia="en-US"/>
    </w:rPr>
  </w:style>
  <w:style w:type="table" w:styleId="TableGrid">
    <w:name w:val="Table Grid"/>
    <w:basedOn w:val="TableNormal"/>
    <w:uiPriority w:val="59"/>
    <w:rsid w:val="00897877"/>
    <w:pPr>
      <w:spacing w:after="0" w:line="240" w:lineRule="auto"/>
    </w:pPr>
    <w:rPr>
      <w:rFonts w:eastAsia="Times New Roman"/>
      <w:kern w:val="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128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1289C"/>
    <w:rPr>
      <w:color w:val="666666"/>
    </w:rPr>
  </w:style>
  <w:style w:type="paragraph" w:styleId="Caption">
    <w:name w:val="caption"/>
    <w:basedOn w:val="Normal"/>
    <w:next w:val="Normal"/>
    <w:uiPriority w:val="35"/>
    <w:unhideWhenUsed/>
    <w:qFormat/>
    <w:rsid w:val="00A1289C"/>
    <w:pPr>
      <w:spacing w:before="0" w:after="200" w:line="240" w:lineRule="auto"/>
    </w:pPr>
    <w:rPr>
      <w:b/>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roperties xmlns="http://www.imanage.com/work/xmlschema">
  <documentid>MATTERS!53011729.2</documentid>
  <senderid>AWIL</senderid>
  <senderemail>ANTHONY.WILLIS@MADDOCKS.COM.AU</senderemail>
  <lastmodified>2026-04-30T18:09:00.0000000+10:00</lastmodified>
  <database>MATTERS</database>
</properties>
</file>

<file path=customXml/itemProps1.xml><?xml version="1.0" encoding="utf-8"?>
<ds:datastoreItem xmlns:ds="http://schemas.openxmlformats.org/officeDocument/2006/customXml" ds:itemID="{03BB749E-7793-4E98-BD55-5CD08DDDCA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57BDDD-80FA-423D-9099-BE26CCED3AC3}">
  <ds:schemaRefs>
    <ds:schemaRef ds:uri="http://schemas.microsoft.com/sharepoint/v3/contenttype/forms"/>
  </ds:schemaRefs>
</ds:datastoreItem>
</file>

<file path=customXml/itemProps3.xml><?xml version="1.0" encoding="utf-8"?>
<ds:datastoreItem xmlns:ds="http://schemas.openxmlformats.org/officeDocument/2006/customXml" ds:itemID="{FE44F452-6E13-407D-94BC-7B09726F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D09DE4-7F9F-4256-90EB-D8FE9D50CF9D}">
  <ds:schemaRefs>
    <ds:schemaRef ds:uri="http://schemas.openxmlformats.org/officeDocument/2006/bibliography"/>
  </ds:schemaRefs>
</ds:datastoreItem>
</file>

<file path=customXml/itemProps5.xml><?xml version="1.0" encoding="utf-8"?>
<ds:datastoreItem xmlns:ds="http://schemas.openxmlformats.org/officeDocument/2006/customXml" ds:itemID="{A513EFF1-C6D2-4822-999F-DF34189CF6E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Eighth Community Pharmacy Agreement (8CPA)</dc:title>
  <dc:subject>Medicines</dc:subject>
  <dc:creator>Australian Government Department of Health, Disability and Ageing</dc:creator>
  <cp:keywords>Medicines; Primary Care;Eighth Community Pharmacy Agreement (8CPA)</cp:keywords>
  <dc:description/>
  <cp:lastModifiedBy>MASCHKE, Elvia</cp:lastModifiedBy>
  <cp:revision>3</cp:revision>
  <dcterms:created xsi:type="dcterms:W3CDTF">2026-06-12T04:32:00Z</dcterms:created>
  <dcterms:modified xsi:type="dcterms:W3CDTF">2026-06-23T04:33:00Z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8703233,7de493de,2dc33d2a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599d09c9,887afe5,1d964024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2026-05-27T02:56:04Z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0f65a484-4f96-4875-8a66-c595e42f0147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