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8775" w14:textId="00298DE0" w:rsidR="00751A23" w:rsidRDefault="001F5ECB" w:rsidP="00072830">
      <w:pPr>
        <w:pStyle w:val="Title"/>
        <w:spacing w:line="259" w:lineRule="auto"/>
      </w:pPr>
      <w:r>
        <w:t xml:space="preserve">Surgical guides and </w:t>
      </w:r>
      <w:proofErr w:type="spellStart"/>
      <w:r>
        <w:t>biomodels</w:t>
      </w:r>
      <w:proofErr w:type="spellEnd"/>
      <w:r w:rsidR="00227BD3">
        <w:t xml:space="preserve"> post</w:t>
      </w:r>
      <w:r w:rsidR="009D091A">
        <w:t>-</w:t>
      </w:r>
      <w:r w:rsidR="00227BD3">
        <w:t>listing review</w:t>
      </w:r>
    </w:p>
    <w:p w14:paraId="624E5CB5" w14:textId="1C25EB75" w:rsidR="00751A23" w:rsidRDefault="005D0B21" w:rsidP="000A3D5C">
      <w:pPr>
        <w:pStyle w:val="Subtitle"/>
        <w:spacing w:line="276" w:lineRule="auto"/>
        <w:sectPr w:rsidR="00751A23"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t>Department</w:t>
      </w:r>
      <w:r w:rsidR="009B5707">
        <w:t xml:space="preserve"> report</w:t>
      </w:r>
      <w:r w:rsidR="004E0091">
        <w:t xml:space="preserve"> – DRAFT </w:t>
      </w:r>
      <w:r w:rsidR="004C76C5">
        <w:t>May</w:t>
      </w:r>
      <w:r w:rsidR="004E0091">
        <w:t xml:space="preserve"> 202</w:t>
      </w:r>
      <w:r w:rsidR="002200D0">
        <w:t>6</w:t>
      </w:r>
    </w:p>
    <w:p w14:paraId="65338340" w14:textId="77777777" w:rsidR="00DC7910" w:rsidRPr="008D48C9" w:rsidRDefault="00DC7910" w:rsidP="000A3D5C">
      <w:pPr>
        <w:pStyle w:val="Paragraphtext"/>
        <w:spacing w:line="276" w:lineRule="auto"/>
        <w:sectPr w:rsidR="00DC7910" w:rsidRPr="008D48C9" w:rsidSect="00751A23">
          <w:headerReference w:type="first" r:id="rId17"/>
          <w:footerReference w:type="first" r:id="rId18"/>
          <w:pgSz w:w="11906" w:h="16838"/>
          <w:pgMar w:top="1701" w:right="1418" w:bottom="1418" w:left="1418" w:header="850" w:footer="709" w:gutter="0"/>
          <w:cols w:space="708"/>
          <w:titlePg/>
          <w:docGrid w:linePitch="360"/>
        </w:sectPr>
      </w:pPr>
    </w:p>
    <w:bookmarkStart w:id="0" w:name="_Toc197684406" w:displacedByCustomXml="next"/>
    <w:bookmarkStart w:id="1" w:name="_Toc152330037" w:displacedByCustomXml="next"/>
    <w:sdt>
      <w:sdtPr>
        <w:rPr>
          <w:rFonts w:ascii="Arial" w:eastAsia="Times New Roman" w:hAnsi="Arial" w:cs="Arial"/>
          <w:color w:val="auto"/>
          <w:sz w:val="40"/>
          <w:szCs w:val="40"/>
          <w:lang w:val="en-GB"/>
        </w:rPr>
        <w:id w:val="-114835265"/>
        <w:docPartObj>
          <w:docPartGallery w:val="Table of Contents"/>
          <w:docPartUnique/>
        </w:docPartObj>
      </w:sdtPr>
      <w:sdtEndPr>
        <w:rPr>
          <w:rFonts w:cs="Times New Roman"/>
          <w:b/>
          <w:bCs/>
          <w:sz w:val="22"/>
          <w:szCs w:val="22"/>
        </w:rPr>
      </w:sdtEndPr>
      <w:sdtContent>
        <w:p w14:paraId="131330BA" w14:textId="00AF018E" w:rsidR="000F14FF" w:rsidRPr="007831A9" w:rsidRDefault="000F14FF" w:rsidP="007831A9">
          <w:pPr>
            <w:pStyle w:val="TOCHeading"/>
            <w:spacing w:after="240"/>
            <w:rPr>
              <w:rFonts w:ascii="Arial" w:hAnsi="Arial" w:cs="Arial"/>
              <w:b/>
              <w:bCs/>
              <w:sz w:val="44"/>
              <w:szCs w:val="44"/>
            </w:rPr>
          </w:pPr>
          <w:r w:rsidRPr="007831A9">
            <w:rPr>
              <w:rFonts w:ascii="Arial" w:hAnsi="Arial" w:cs="Arial"/>
              <w:b/>
              <w:bCs/>
              <w:sz w:val="44"/>
              <w:szCs w:val="44"/>
              <w:lang w:val="en-GB"/>
            </w:rPr>
            <w:t>Contents</w:t>
          </w:r>
        </w:p>
        <w:p w14:paraId="047AEE6B" w14:textId="11C6C6CC" w:rsidR="006258DE" w:rsidRDefault="000F14FF">
          <w:pPr>
            <w:pStyle w:val="TOC1"/>
            <w:rPr>
              <w:rFonts w:asciiTheme="minorHAnsi" w:eastAsiaTheme="minorEastAsia" w:hAnsiTheme="minorHAnsi" w:cstheme="minorBidi"/>
              <w:kern w:val="2"/>
              <w:sz w:val="24"/>
              <w:lang w:eastAsia="en-AU"/>
              <w14:ligatures w14:val="standardContextual"/>
            </w:rPr>
          </w:pPr>
          <w:r>
            <w:fldChar w:fldCharType="begin"/>
          </w:r>
          <w:r>
            <w:instrText xml:space="preserve"> TOC \o "1-3" \h \z \u </w:instrText>
          </w:r>
          <w:r>
            <w:fldChar w:fldCharType="separate"/>
          </w:r>
          <w:hyperlink w:anchor="_Toc227235487" w:history="1">
            <w:r w:rsidR="006258DE" w:rsidRPr="00A9280B">
              <w:rPr>
                <w:rStyle w:val="Hyperlink"/>
                <w:b/>
              </w:rPr>
              <w:t>Executive Summary</w:t>
            </w:r>
            <w:r w:rsidR="006258DE">
              <w:rPr>
                <w:webHidden/>
              </w:rPr>
              <w:tab/>
            </w:r>
            <w:r w:rsidR="006258DE">
              <w:rPr>
                <w:webHidden/>
              </w:rPr>
              <w:fldChar w:fldCharType="begin"/>
            </w:r>
            <w:r w:rsidR="006258DE">
              <w:rPr>
                <w:webHidden/>
              </w:rPr>
              <w:instrText xml:space="preserve"> PAGEREF _Toc227235487 \h </w:instrText>
            </w:r>
            <w:r w:rsidR="006258DE">
              <w:rPr>
                <w:webHidden/>
              </w:rPr>
            </w:r>
            <w:r w:rsidR="006258DE">
              <w:rPr>
                <w:webHidden/>
              </w:rPr>
              <w:fldChar w:fldCharType="separate"/>
            </w:r>
            <w:r w:rsidR="006258DE">
              <w:rPr>
                <w:webHidden/>
              </w:rPr>
              <w:t>3</w:t>
            </w:r>
            <w:r w:rsidR="006258DE">
              <w:rPr>
                <w:webHidden/>
              </w:rPr>
              <w:fldChar w:fldCharType="end"/>
            </w:r>
          </w:hyperlink>
        </w:p>
        <w:p w14:paraId="7B19350A" w14:textId="585587C4" w:rsidR="006258DE" w:rsidRDefault="006258DE">
          <w:pPr>
            <w:pStyle w:val="TOC1"/>
            <w:rPr>
              <w:rFonts w:asciiTheme="minorHAnsi" w:eastAsiaTheme="minorEastAsia" w:hAnsiTheme="minorHAnsi" w:cstheme="minorBidi"/>
              <w:kern w:val="2"/>
              <w:sz w:val="24"/>
              <w:lang w:eastAsia="en-AU"/>
              <w14:ligatures w14:val="standardContextual"/>
            </w:rPr>
          </w:pPr>
          <w:hyperlink w:anchor="_Toc227235488" w:history="1">
            <w:r w:rsidRPr="00A9280B">
              <w:rPr>
                <w:rStyle w:val="Hyperlink"/>
                <w:b/>
              </w:rPr>
              <w:t>Purpose</w:t>
            </w:r>
            <w:r>
              <w:rPr>
                <w:webHidden/>
              </w:rPr>
              <w:tab/>
            </w:r>
            <w:r>
              <w:rPr>
                <w:webHidden/>
              </w:rPr>
              <w:fldChar w:fldCharType="begin"/>
            </w:r>
            <w:r>
              <w:rPr>
                <w:webHidden/>
              </w:rPr>
              <w:instrText xml:space="preserve"> PAGEREF _Toc227235488 \h </w:instrText>
            </w:r>
            <w:r>
              <w:rPr>
                <w:webHidden/>
              </w:rPr>
            </w:r>
            <w:r>
              <w:rPr>
                <w:webHidden/>
              </w:rPr>
              <w:fldChar w:fldCharType="separate"/>
            </w:r>
            <w:r>
              <w:rPr>
                <w:webHidden/>
              </w:rPr>
              <w:t>4</w:t>
            </w:r>
            <w:r>
              <w:rPr>
                <w:webHidden/>
              </w:rPr>
              <w:fldChar w:fldCharType="end"/>
            </w:r>
          </w:hyperlink>
        </w:p>
        <w:p w14:paraId="1114CD5A" w14:textId="77B2BFE5" w:rsidR="006258DE" w:rsidRDefault="006258DE">
          <w:pPr>
            <w:pStyle w:val="TOC1"/>
            <w:rPr>
              <w:rFonts w:asciiTheme="minorHAnsi" w:eastAsiaTheme="minorEastAsia" w:hAnsiTheme="minorHAnsi" w:cstheme="minorBidi"/>
              <w:kern w:val="2"/>
              <w:sz w:val="24"/>
              <w:lang w:eastAsia="en-AU"/>
              <w14:ligatures w14:val="standardContextual"/>
            </w:rPr>
          </w:pPr>
          <w:hyperlink w:anchor="_Toc227235489" w:history="1">
            <w:r w:rsidRPr="00A9280B">
              <w:rPr>
                <w:rStyle w:val="Hyperlink"/>
                <w:b/>
              </w:rPr>
              <w:t>Background</w:t>
            </w:r>
            <w:r>
              <w:rPr>
                <w:webHidden/>
              </w:rPr>
              <w:tab/>
            </w:r>
            <w:r>
              <w:rPr>
                <w:webHidden/>
              </w:rPr>
              <w:fldChar w:fldCharType="begin"/>
            </w:r>
            <w:r>
              <w:rPr>
                <w:webHidden/>
              </w:rPr>
              <w:instrText xml:space="preserve"> PAGEREF _Toc227235489 \h </w:instrText>
            </w:r>
            <w:r>
              <w:rPr>
                <w:webHidden/>
              </w:rPr>
            </w:r>
            <w:r>
              <w:rPr>
                <w:webHidden/>
              </w:rPr>
              <w:fldChar w:fldCharType="separate"/>
            </w:r>
            <w:r>
              <w:rPr>
                <w:webHidden/>
              </w:rPr>
              <w:t>4</w:t>
            </w:r>
            <w:r>
              <w:rPr>
                <w:webHidden/>
              </w:rPr>
              <w:fldChar w:fldCharType="end"/>
            </w:r>
          </w:hyperlink>
        </w:p>
        <w:p w14:paraId="6616ADF7" w14:textId="75E6AA44" w:rsidR="006258DE" w:rsidRDefault="006258DE">
          <w:pPr>
            <w:pStyle w:val="TOC2"/>
            <w:tabs>
              <w:tab w:val="right" w:leader="dot" w:pos="9060"/>
            </w:tabs>
            <w:rPr>
              <w:rFonts w:asciiTheme="minorHAnsi" w:eastAsiaTheme="minorEastAsia" w:hAnsiTheme="minorHAnsi" w:cstheme="minorBidi"/>
              <w:noProof/>
              <w:kern w:val="2"/>
              <w:sz w:val="24"/>
              <w:lang w:eastAsia="en-AU"/>
              <w14:ligatures w14:val="standardContextual"/>
            </w:rPr>
          </w:pPr>
          <w:hyperlink w:anchor="_Toc227235490" w:history="1">
            <w:r w:rsidRPr="00A9280B">
              <w:rPr>
                <w:rStyle w:val="Hyperlink"/>
                <w:noProof/>
              </w:rPr>
              <w:t>Scope</w:t>
            </w:r>
            <w:r>
              <w:rPr>
                <w:noProof/>
                <w:webHidden/>
              </w:rPr>
              <w:tab/>
            </w:r>
            <w:r>
              <w:rPr>
                <w:noProof/>
                <w:webHidden/>
              </w:rPr>
              <w:fldChar w:fldCharType="begin"/>
            </w:r>
            <w:r>
              <w:rPr>
                <w:noProof/>
                <w:webHidden/>
              </w:rPr>
              <w:instrText xml:space="preserve"> PAGEREF _Toc227235490 \h </w:instrText>
            </w:r>
            <w:r>
              <w:rPr>
                <w:noProof/>
                <w:webHidden/>
              </w:rPr>
            </w:r>
            <w:r>
              <w:rPr>
                <w:noProof/>
                <w:webHidden/>
              </w:rPr>
              <w:fldChar w:fldCharType="separate"/>
            </w:r>
            <w:r>
              <w:rPr>
                <w:noProof/>
                <w:webHidden/>
              </w:rPr>
              <w:t>4</w:t>
            </w:r>
            <w:r>
              <w:rPr>
                <w:noProof/>
                <w:webHidden/>
              </w:rPr>
              <w:fldChar w:fldCharType="end"/>
            </w:r>
          </w:hyperlink>
        </w:p>
        <w:p w14:paraId="0F1CC662" w14:textId="1334CFD4" w:rsidR="006258DE" w:rsidRDefault="006258DE">
          <w:pPr>
            <w:pStyle w:val="TOC1"/>
            <w:rPr>
              <w:rFonts w:asciiTheme="minorHAnsi" w:eastAsiaTheme="minorEastAsia" w:hAnsiTheme="minorHAnsi" w:cstheme="minorBidi"/>
              <w:kern w:val="2"/>
              <w:sz w:val="24"/>
              <w:lang w:eastAsia="en-AU"/>
              <w14:ligatures w14:val="standardContextual"/>
            </w:rPr>
          </w:pPr>
          <w:hyperlink w:anchor="_Toc227235491" w:history="1">
            <w:r w:rsidRPr="00A9280B">
              <w:rPr>
                <w:rStyle w:val="Hyperlink"/>
                <w:b/>
              </w:rPr>
              <w:t>Process</w:t>
            </w:r>
            <w:r>
              <w:rPr>
                <w:webHidden/>
              </w:rPr>
              <w:tab/>
            </w:r>
            <w:r>
              <w:rPr>
                <w:webHidden/>
              </w:rPr>
              <w:fldChar w:fldCharType="begin"/>
            </w:r>
            <w:r>
              <w:rPr>
                <w:webHidden/>
              </w:rPr>
              <w:instrText xml:space="preserve"> PAGEREF _Toc227235491 \h </w:instrText>
            </w:r>
            <w:r>
              <w:rPr>
                <w:webHidden/>
              </w:rPr>
            </w:r>
            <w:r>
              <w:rPr>
                <w:webHidden/>
              </w:rPr>
              <w:fldChar w:fldCharType="separate"/>
            </w:r>
            <w:r>
              <w:rPr>
                <w:webHidden/>
              </w:rPr>
              <w:t>4</w:t>
            </w:r>
            <w:r>
              <w:rPr>
                <w:webHidden/>
              </w:rPr>
              <w:fldChar w:fldCharType="end"/>
            </w:r>
          </w:hyperlink>
        </w:p>
        <w:p w14:paraId="5DF3556C" w14:textId="16527318" w:rsidR="006258DE" w:rsidRDefault="006258DE">
          <w:pPr>
            <w:pStyle w:val="TOC2"/>
            <w:tabs>
              <w:tab w:val="right" w:leader="dot" w:pos="9060"/>
            </w:tabs>
            <w:rPr>
              <w:rFonts w:asciiTheme="minorHAnsi" w:eastAsiaTheme="minorEastAsia" w:hAnsiTheme="minorHAnsi" w:cstheme="minorBidi"/>
              <w:noProof/>
              <w:kern w:val="2"/>
              <w:sz w:val="24"/>
              <w:lang w:eastAsia="en-AU"/>
              <w14:ligatures w14:val="standardContextual"/>
            </w:rPr>
          </w:pPr>
          <w:hyperlink w:anchor="_Toc227235492" w:history="1">
            <w:r w:rsidRPr="00A9280B">
              <w:rPr>
                <w:rStyle w:val="Hyperlink"/>
                <w:noProof/>
              </w:rPr>
              <w:t>Sources of evidence</w:t>
            </w:r>
            <w:r>
              <w:rPr>
                <w:noProof/>
                <w:webHidden/>
              </w:rPr>
              <w:tab/>
            </w:r>
            <w:r>
              <w:rPr>
                <w:noProof/>
                <w:webHidden/>
              </w:rPr>
              <w:fldChar w:fldCharType="begin"/>
            </w:r>
            <w:r>
              <w:rPr>
                <w:noProof/>
                <w:webHidden/>
              </w:rPr>
              <w:instrText xml:space="preserve"> PAGEREF _Toc227235492 \h </w:instrText>
            </w:r>
            <w:r>
              <w:rPr>
                <w:noProof/>
                <w:webHidden/>
              </w:rPr>
            </w:r>
            <w:r>
              <w:rPr>
                <w:noProof/>
                <w:webHidden/>
              </w:rPr>
              <w:fldChar w:fldCharType="separate"/>
            </w:r>
            <w:r>
              <w:rPr>
                <w:noProof/>
                <w:webHidden/>
              </w:rPr>
              <w:t>5</w:t>
            </w:r>
            <w:r>
              <w:rPr>
                <w:noProof/>
                <w:webHidden/>
              </w:rPr>
              <w:fldChar w:fldCharType="end"/>
            </w:r>
          </w:hyperlink>
        </w:p>
        <w:p w14:paraId="5B20F66F" w14:textId="10F353EC" w:rsidR="006258DE" w:rsidRDefault="006258DE">
          <w:pPr>
            <w:pStyle w:val="TOC1"/>
            <w:rPr>
              <w:rFonts w:asciiTheme="minorHAnsi" w:eastAsiaTheme="minorEastAsia" w:hAnsiTheme="minorHAnsi" w:cstheme="minorBidi"/>
              <w:kern w:val="2"/>
              <w:sz w:val="24"/>
              <w:lang w:eastAsia="en-AU"/>
              <w14:ligatures w14:val="standardContextual"/>
            </w:rPr>
          </w:pPr>
          <w:hyperlink w:anchor="_Toc227235493" w:history="1">
            <w:r w:rsidRPr="00A9280B">
              <w:rPr>
                <w:rStyle w:val="Hyperlink"/>
                <w:b/>
              </w:rPr>
              <w:t>Findings of the review</w:t>
            </w:r>
            <w:r>
              <w:rPr>
                <w:webHidden/>
              </w:rPr>
              <w:tab/>
            </w:r>
            <w:r>
              <w:rPr>
                <w:webHidden/>
              </w:rPr>
              <w:fldChar w:fldCharType="begin"/>
            </w:r>
            <w:r>
              <w:rPr>
                <w:webHidden/>
              </w:rPr>
              <w:instrText xml:space="preserve"> PAGEREF _Toc227235493 \h </w:instrText>
            </w:r>
            <w:r>
              <w:rPr>
                <w:webHidden/>
              </w:rPr>
            </w:r>
            <w:r>
              <w:rPr>
                <w:webHidden/>
              </w:rPr>
              <w:fldChar w:fldCharType="separate"/>
            </w:r>
            <w:r>
              <w:rPr>
                <w:webHidden/>
              </w:rPr>
              <w:t>6</w:t>
            </w:r>
            <w:r>
              <w:rPr>
                <w:webHidden/>
              </w:rPr>
              <w:fldChar w:fldCharType="end"/>
            </w:r>
          </w:hyperlink>
        </w:p>
        <w:p w14:paraId="1A9AF73D" w14:textId="7E4D4252" w:rsidR="006258DE" w:rsidRDefault="006258DE">
          <w:pPr>
            <w:pStyle w:val="TOC2"/>
            <w:tabs>
              <w:tab w:val="right" w:leader="dot" w:pos="9060"/>
            </w:tabs>
            <w:rPr>
              <w:rFonts w:asciiTheme="minorHAnsi" w:eastAsiaTheme="minorEastAsia" w:hAnsiTheme="minorHAnsi" w:cstheme="minorBidi"/>
              <w:noProof/>
              <w:kern w:val="2"/>
              <w:sz w:val="24"/>
              <w:lang w:eastAsia="en-AU"/>
              <w14:ligatures w14:val="standardContextual"/>
            </w:rPr>
          </w:pPr>
          <w:hyperlink w:anchor="_Toc227235494" w:history="1">
            <w:r w:rsidRPr="00A9280B">
              <w:rPr>
                <w:rStyle w:val="Hyperlink"/>
                <w:noProof/>
              </w:rPr>
              <w:t>Stage 1: clinical review and PL eligibility</w:t>
            </w:r>
            <w:r>
              <w:rPr>
                <w:noProof/>
                <w:webHidden/>
              </w:rPr>
              <w:tab/>
            </w:r>
            <w:r>
              <w:rPr>
                <w:noProof/>
                <w:webHidden/>
              </w:rPr>
              <w:fldChar w:fldCharType="begin"/>
            </w:r>
            <w:r>
              <w:rPr>
                <w:noProof/>
                <w:webHidden/>
              </w:rPr>
              <w:instrText xml:space="preserve"> PAGEREF _Toc227235494 \h </w:instrText>
            </w:r>
            <w:r>
              <w:rPr>
                <w:noProof/>
                <w:webHidden/>
              </w:rPr>
            </w:r>
            <w:r>
              <w:rPr>
                <w:noProof/>
                <w:webHidden/>
              </w:rPr>
              <w:fldChar w:fldCharType="separate"/>
            </w:r>
            <w:r>
              <w:rPr>
                <w:noProof/>
                <w:webHidden/>
              </w:rPr>
              <w:t>6</w:t>
            </w:r>
            <w:r>
              <w:rPr>
                <w:noProof/>
                <w:webHidden/>
              </w:rPr>
              <w:fldChar w:fldCharType="end"/>
            </w:r>
          </w:hyperlink>
        </w:p>
        <w:p w14:paraId="460B9CC0" w14:textId="25BB031C" w:rsidR="006258DE" w:rsidRDefault="006258DE">
          <w:pPr>
            <w:pStyle w:val="TOC2"/>
            <w:tabs>
              <w:tab w:val="right" w:leader="dot" w:pos="9060"/>
            </w:tabs>
            <w:rPr>
              <w:rFonts w:asciiTheme="minorHAnsi" w:eastAsiaTheme="minorEastAsia" w:hAnsiTheme="minorHAnsi" w:cstheme="minorBidi"/>
              <w:noProof/>
              <w:kern w:val="2"/>
              <w:sz w:val="24"/>
              <w:lang w:eastAsia="en-AU"/>
              <w14:ligatures w14:val="standardContextual"/>
            </w:rPr>
          </w:pPr>
          <w:hyperlink w:anchor="_Toc227235495" w:history="1">
            <w:r w:rsidRPr="00A9280B">
              <w:rPr>
                <w:rStyle w:val="Hyperlink"/>
                <w:noProof/>
              </w:rPr>
              <w:t>Monitoring the condition</w:t>
            </w:r>
            <w:r>
              <w:rPr>
                <w:noProof/>
                <w:webHidden/>
              </w:rPr>
              <w:tab/>
            </w:r>
            <w:r>
              <w:rPr>
                <w:noProof/>
                <w:webHidden/>
              </w:rPr>
              <w:fldChar w:fldCharType="begin"/>
            </w:r>
            <w:r>
              <w:rPr>
                <w:noProof/>
                <w:webHidden/>
              </w:rPr>
              <w:instrText xml:space="preserve"> PAGEREF _Toc227235495 \h </w:instrText>
            </w:r>
            <w:r>
              <w:rPr>
                <w:noProof/>
                <w:webHidden/>
              </w:rPr>
            </w:r>
            <w:r>
              <w:rPr>
                <w:noProof/>
                <w:webHidden/>
              </w:rPr>
              <w:fldChar w:fldCharType="separate"/>
            </w:r>
            <w:r>
              <w:rPr>
                <w:noProof/>
                <w:webHidden/>
              </w:rPr>
              <w:t>8</w:t>
            </w:r>
            <w:r>
              <w:rPr>
                <w:noProof/>
                <w:webHidden/>
              </w:rPr>
              <w:fldChar w:fldCharType="end"/>
            </w:r>
          </w:hyperlink>
        </w:p>
        <w:p w14:paraId="4689576D" w14:textId="637DD981" w:rsidR="006258DE" w:rsidRDefault="006258DE">
          <w:pPr>
            <w:pStyle w:val="TOC2"/>
            <w:tabs>
              <w:tab w:val="right" w:leader="dot" w:pos="9060"/>
            </w:tabs>
            <w:rPr>
              <w:rFonts w:asciiTheme="minorHAnsi" w:eastAsiaTheme="minorEastAsia" w:hAnsiTheme="minorHAnsi" w:cstheme="minorBidi"/>
              <w:noProof/>
              <w:kern w:val="2"/>
              <w:sz w:val="24"/>
              <w:lang w:eastAsia="en-AU"/>
              <w14:ligatures w14:val="standardContextual"/>
            </w:rPr>
          </w:pPr>
          <w:hyperlink w:anchor="_Toc227235496" w:history="1">
            <w:r w:rsidRPr="00A9280B">
              <w:rPr>
                <w:rStyle w:val="Hyperlink"/>
                <w:noProof/>
              </w:rPr>
              <w:t>Stage 2: review of benefits</w:t>
            </w:r>
            <w:r>
              <w:rPr>
                <w:noProof/>
                <w:webHidden/>
              </w:rPr>
              <w:tab/>
            </w:r>
            <w:r>
              <w:rPr>
                <w:noProof/>
                <w:webHidden/>
              </w:rPr>
              <w:fldChar w:fldCharType="begin"/>
            </w:r>
            <w:r>
              <w:rPr>
                <w:noProof/>
                <w:webHidden/>
              </w:rPr>
              <w:instrText xml:space="preserve"> PAGEREF _Toc227235496 \h </w:instrText>
            </w:r>
            <w:r>
              <w:rPr>
                <w:noProof/>
                <w:webHidden/>
              </w:rPr>
            </w:r>
            <w:r>
              <w:rPr>
                <w:noProof/>
                <w:webHidden/>
              </w:rPr>
              <w:fldChar w:fldCharType="separate"/>
            </w:r>
            <w:r>
              <w:rPr>
                <w:noProof/>
                <w:webHidden/>
              </w:rPr>
              <w:t>11</w:t>
            </w:r>
            <w:r>
              <w:rPr>
                <w:noProof/>
                <w:webHidden/>
              </w:rPr>
              <w:fldChar w:fldCharType="end"/>
            </w:r>
          </w:hyperlink>
        </w:p>
        <w:p w14:paraId="1DEBDD19" w14:textId="2EB03406" w:rsidR="006258DE" w:rsidRDefault="006258DE">
          <w:pPr>
            <w:pStyle w:val="TOC1"/>
            <w:rPr>
              <w:rFonts w:asciiTheme="minorHAnsi" w:eastAsiaTheme="minorEastAsia" w:hAnsiTheme="minorHAnsi" w:cstheme="minorBidi"/>
              <w:kern w:val="2"/>
              <w:sz w:val="24"/>
              <w:lang w:eastAsia="en-AU"/>
              <w14:ligatures w14:val="standardContextual"/>
            </w:rPr>
          </w:pPr>
          <w:hyperlink w:anchor="_Toc227235497" w:history="1">
            <w:r w:rsidRPr="00A9280B">
              <w:rPr>
                <w:rStyle w:val="Hyperlink"/>
                <w:b/>
              </w:rPr>
              <w:t>Proposed outcomes</w:t>
            </w:r>
            <w:r>
              <w:rPr>
                <w:webHidden/>
              </w:rPr>
              <w:tab/>
            </w:r>
            <w:r>
              <w:rPr>
                <w:webHidden/>
              </w:rPr>
              <w:fldChar w:fldCharType="begin"/>
            </w:r>
            <w:r>
              <w:rPr>
                <w:webHidden/>
              </w:rPr>
              <w:instrText xml:space="preserve"> PAGEREF _Toc227235497 \h </w:instrText>
            </w:r>
            <w:r>
              <w:rPr>
                <w:webHidden/>
              </w:rPr>
            </w:r>
            <w:r>
              <w:rPr>
                <w:webHidden/>
              </w:rPr>
              <w:fldChar w:fldCharType="separate"/>
            </w:r>
            <w:r>
              <w:rPr>
                <w:webHidden/>
              </w:rPr>
              <w:t>14</w:t>
            </w:r>
            <w:r>
              <w:rPr>
                <w:webHidden/>
              </w:rPr>
              <w:fldChar w:fldCharType="end"/>
            </w:r>
          </w:hyperlink>
        </w:p>
        <w:p w14:paraId="4CE43E9D" w14:textId="7C8DBC27" w:rsidR="00AE6E76" w:rsidRDefault="000F14FF">
          <w:r>
            <w:rPr>
              <w:b/>
              <w:bCs/>
              <w:lang w:val="en-GB"/>
            </w:rPr>
            <w:fldChar w:fldCharType="end"/>
          </w:r>
        </w:p>
      </w:sdtContent>
    </w:sdt>
    <w:p w14:paraId="73D39A8B" w14:textId="77777777" w:rsidR="007831A9" w:rsidRDefault="007831A9">
      <w:pPr>
        <w:rPr>
          <w:rFonts w:cs="Arial"/>
          <w:b/>
          <w:bCs/>
          <w:color w:val="3F4A75"/>
          <w:kern w:val="28"/>
          <w:sz w:val="44"/>
          <w:szCs w:val="36"/>
        </w:rPr>
      </w:pPr>
      <w:bookmarkStart w:id="2" w:name="_Toc224302047"/>
      <w:r>
        <w:rPr>
          <w:b/>
          <w:sz w:val="44"/>
        </w:rPr>
        <w:br w:type="page"/>
      </w:r>
    </w:p>
    <w:p w14:paraId="54E04608" w14:textId="66193A11" w:rsidR="00B14804" w:rsidRDefault="00254F44" w:rsidP="000A3D5C">
      <w:pPr>
        <w:pStyle w:val="Heading1"/>
        <w:spacing w:line="276" w:lineRule="auto"/>
        <w:rPr>
          <w:b/>
          <w:sz w:val="44"/>
        </w:rPr>
      </w:pPr>
      <w:bookmarkStart w:id="3" w:name="_Toc227235487"/>
      <w:r>
        <w:rPr>
          <w:b/>
          <w:sz w:val="44"/>
        </w:rPr>
        <w:lastRenderedPageBreak/>
        <w:t>Executive Summary</w:t>
      </w:r>
      <w:bookmarkEnd w:id="3"/>
    </w:p>
    <w:p w14:paraId="5832F3C1" w14:textId="477259A4" w:rsidR="00F07BBE" w:rsidRDefault="00F07BBE" w:rsidP="00F07BBE">
      <w:r>
        <w:t>The Department conducted a post</w:t>
      </w:r>
      <w:r>
        <w:rPr>
          <w:rFonts w:ascii="Cambria Math" w:hAnsi="Cambria Math" w:cs="Cambria Math"/>
        </w:rPr>
        <w:t>‑</w:t>
      </w:r>
      <w:r>
        <w:t xml:space="preserve">listing review of surgical guides and </w:t>
      </w:r>
      <w:proofErr w:type="spellStart"/>
      <w:r>
        <w:t>biomodels</w:t>
      </w:r>
      <w:proofErr w:type="spellEnd"/>
      <w:r>
        <w:t xml:space="preserve"> (SGB) to assess their ongoing eligibility for inclusion on the Prescribed List (PL), their </w:t>
      </w:r>
      <w:r w:rsidR="00FD030F">
        <w:t xml:space="preserve">comparative </w:t>
      </w:r>
      <w:r>
        <w:t>clinical and cost</w:t>
      </w:r>
      <w:r>
        <w:rPr>
          <w:rFonts w:ascii="Cambria Math" w:hAnsi="Cambria Math" w:cs="Cambria Math"/>
        </w:rPr>
        <w:t>‑</w:t>
      </w:r>
      <w:r>
        <w:t xml:space="preserve">effectiveness and </w:t>
      </w:r>
      <w:r w:rsidRPr="00AB217E">
        <w:rPr>
          <w:color w:val="000000" w:themeColor="text1"/>
        </w:rPr>
        <w:t>determine the appropriate benefit settings</w:t>
      </w:r>
      <w:r>
        <w:t xml:space="preserve">. </w:t>
      </w:r>
    </w:p>
    <w:p w14:paraId="7E12E852" w14:textId="6F1C613F" w:rsidR="003C33B2" w:rsidRDefault="00F07BBE" w:rsidP="003C33B2">
      <w:pPr>
        <w:spacing w:before="120" w:after="120" w:line="276" w:lineRule="auto"/>
      </w:pPr>
      <w:r w:rsidRPr="00AB217E">
        <w:rPr>
          <w:color w:val="000000" w:themeColor="text1"/>
        </w:rPr>
        <w:t xml:space="preserve">SGB are non-implantable, single-use devices used in surgical planning and decision making both pre- and intra-operatively. </w:t>
      </w:r>
      <w:r>
        <w:t>Since listing on the PL in 2013</w:t>
      </w:r>
      <w:r>
        <w:rPr>
          <w:rFonts w:cs="Arial"/>
        </w:rPr>
        <w:t>–</w:t>
      </w:r>
      <w:r>
        <w:t xml:space="preserve">14, utilisation </w:t>
      </w:r>
      <w:r w:rsidR="00BE48A3" w:rsidRPr="00A911D3">
        <w:rPr>
          <w:color w:val="000000" w:themeColor="text1"/>
        </w:rPr>
        <w:t>has grown rapidly</w:t>
      </w:r>
      <w:r>
        <w:t xml:space="preserve">. </w:t>
      </w:r>
      <w:r w:rsidR="003C33B2">
        <w:t xml:space="preserve">Concerns regarding growth in claims, variation in clinical use and uncertainty about appropriate PL eligibility resulted in SGB being selected as </w:t>
      </w:r>
      <w:r w:rsidR="003123A5">
        <w:t>1</w:t>
      </w:r>
      <w:r w:rsidR="003C33B2">
        <w:t xml:space="preserve"> of </w:t>
      </w:r>
      <w:r w:rsidR="003123A5">
        <w:t>4</w:t>
      </w:r>
      <w:r w:rsidR="003C33B2">
        <w:t xml:space="preserve"> topics for the </w:t>
      </w:r>
      <w:r w:rsidR="00FD030F">
        <w:t>pilot of the d</w:t>
      </w:r>
      <w:r w:rsidR="003C33B2">
        <w:t>epartment’s formalised post</w:t>
      </w:r>
      <w:r w:rsidR="003C33B2">
        <w:rPr>
          <w:rFonts w:ascii="Cambria Math" w:hAnsi="Cambria Math" w:cs="Cambria Math"/>
        </w:rPr>
        <w:t>‑</w:t>
      </w:r>
      <w:r w:rsidR="003C33B2">
        <w:t>listing review framework.</w:t>
      </w:r>
    </w:p>
    <w:p w14:paraId="3667A03B" w14:textId="2086A5E1" w:rsidR="003C33B2" w:rsidRDefault="003C33B2" w:rsidP="003C33B2">
      <w:pPr>
        <w:spacing w:before="120" w:after="120" w:line="276" w:lineRule="auto"/>
      </w:pPr>
      <w:r>
        <w:t xml:space="preserve">The review was conducted in </w:t>
      </w:r>
      <w:r w:rsidR="003123A5">
        <w:t>2</w:t>
      </w:r>
      <w:r>
        <w:t xml:space="preserve"> stages, supported by external health technology assessment (HTA) reports, analysis of claims data, stakeholder consultation and advice from the Medical Device and Human Tissue Product Advisory Committee (MDHTAC) and the General Surgery Expert Clinical Advisory Group (GSECAG).</w:t>
      </w:r>
    </w:p>
    <w:p w14:paraId="407AC4D6" w14:textId="464355EA" w:rsidR="003C33B2" w:rsidRDefault="003C33B2" w:rsidP="003C33B2">
      <w:pPr>
        <w:spacing w:before="120" w:after="120" w:line="276" w:lineRule="auto"/>
      </w:pPr>
      <w:r>
        <w:t>Stage 1 focused on clinical use</w:t>
      </w:r>
      <w:r w:rsidR="008C430E">
        <w:t xml:space="preserve"> and effectiveness</w:t>
      </w:r>
      <w:r>
        <w:t xml:space="preserve">, evidence of </w:t>
      </w:r>
      <w:r w:rsidR="00F3429F">
        <w:t>use</w:t>
      </w:r>
      <w:r>
        <w:t xml:space="preserve">, utilisation patterns and alignment with PL eligibility requirements. The review found that SGB are commonly used in craniomaxillofacial (CMF) surgery and standard clinical practice for some complex procedures involving implantable devices. </w:t>
      </w:r>
      <w:r w:rsidR="00621BF0" w:rsidRPr="00621BF0">
        <w:t>Evidence supporting the use of SGB was limited for simpler procedures and surgeries not involving implantation.</w:t>
      </w:r>
      <w:r w:rsidR="00621BF0">
        <w:t xml:space="preserve"> </w:t>
      </w:r>
      <w:r>
        <w:t>The review concluded that SGB generally meet PL eligibility criteria when used in complex CMF procedures.</w:t>
      </w:r>
    </w:p>
    <w:p w14:paraId="40DE1192" w14:textId="155B9FF5" w:rsidR="003C33B2" w:rsidRPr="00895C88" w:rsidRDefault="003C33B2" w:rsidP="003C33B2">
      <w:pPr>
        <w:spacing w:before="120" w:after="120" w:line="276" w:lineRule="auto"/>
      </w:pPr>
      <w:r w:rsidRPr="00895C88">
        <w:t>In response to the findings, the Department implemented a condition on claim</w:t>
      </w:r>
      <w:r w:rsidR="008C430E" w:rsidRPr="00895C88">
        <w:t>s</w:t>
      </w:r>
      <w:r w:rsidRPr="00895C88">
        <w:t xml:space="preserve"> for SGB from February 2024. The condition restricted eligible </w:t>
      </w:r>
      <w:r w:rsidR="004A56CA" w:rsidRPr="00895C88">
        <w:t>claims</w:t>
      </w:r>
      <w:r w:rsidRPr="00895C88">
        <w:t xml:space="preserve"> and limited the number of SGB </w:t>
      </w:r>
      <w:r w:rsidR="00F954CD" w:rsidRPr="00895C88">
        <w:t>to no more than 3</w:t>
      </w:r>
      <w:r w:rsidR="00753267" w:rsidRPr="00895C88">
        <w:t xml:space="preserve"> of each S</w:t>
      </w:r>
      <w:r w:rsidR="00F954CD" w:rsidRPr="00895C88">
        <w:t>GB per procedure</w:t>
      </w:r>
      <w:r w:rsidRPr="00895C88">
        <w:t>. Analysis of post</w:t>
      </w:r>
      <w:r w:rsidRPr="00895C88">
        <w:rPr>
          <w:rFonts w:ascii="Cambria Math" w:hAnsi="Cambria Math" w:cs="Cambria Math"/>
        </w:rPr>
        <w:t>‑</w:t>
      </w:r>
      <w:r w:rsidRPr="00895C88">
        <w:t>implementation data demonstrated a reduction in claims, separations and benefits paid for SGB</w:t>
      </w:r>
      <w:r w:rsidR="008C430E" w:rsidRPr="00895C88">
        <w:t>. U</w:t>
      </w:r>
      <w:r w:rsidRPr="00895C88">
        <w:t>se in conjunction with implantable devices remained broadly consistent. Following MDHTAC</w:t>
      </w:r>
      <w:r w:rsidR="00102014" w:rsidRPr="00895C88">
        <w:t xml:space="preserve"> advice</w:t>
      </w:r>
      <w:r w:rsidRPr="00895C88">
        <w:t xml:space="preserve">, the condition was amended in July 2025 to allow any combination of </w:t>
      </w:r>
      <w:r w:rsidR="00F954CD" w:rsidRPr="00895C88">
        <w:t xml:space="preserve">6 </w:t>
      </w:r>
      <w:r w:rsidRPr="00895C88">
        <w:t>SGB</w:t>
      </w:r>
      <w:r w:rsidR="008C430E" w:rsidRPr="00895C88">
        <w:t xml:space="preserve"> claims</w:t>
      </w:r>
      <w:r w:rsidRPr="00895C88">
        <w:t xml:space="preserve"> per procedure.</w:t>
      </w:r>
    </w:p>
    <w:p w14:paraId="2254E0FD" w14:textId="3386EF3E" w:rsidR="003C33B2" w:rsidRPr="00895C88" w:rsidRDefault="003C33B2" w:rsidP="003C33B2">
      <w:pPr>
        <w:spacing w:before="120" w:after="120" w:line="276" w:lineRule="auto"/>
      </w:pPr>
      <w:r w:rsidRPr="00895C88">
        <w:t>Stage 2 of the review examined the</w:t>
      </w:r>
      <w:r w:rsidR="00FD030F" w:rsidRPr="00895C88">
        <w:t xml:space="preserve"> comparative</w:t>
      </w:r>
      <w:r w:rsidRPr="00895C88">
        <w:t xml:space="preserve"> cost</w:t>
      </w:r>
      <w:r w:rsidRPr="00895C88">
        <w:rPr>
          <w:rFonts w:ascii="Cambria Math" w:hAnsi="Cambria Math" w:cs="Cambria Math"/>
        </w:rPr>
        <w:t>‑</w:t>
      </w:r>
      <w:r w:rsidRPr="00895C88">
        <w:t xml:space="preserve">effectiveness of SGB and options for benefit setting. </w:t>
      </w:r>
      <w:r w:rsidR="00571B73" w:rsidRPr="00895C88">
        <w:t>The HTA found the evidence was insufficient to demonstrate cost</w:t>
      </w:r>
      <w:r w:rsidR="00571B73" w:rsidRPr="00895C88">
        <w:rPr>
          <w:rFonts w:ascii="Cambria Math" w:hAnsi="Cambria Math" w:cs="Cambria Math"/>
        </w:rPr>
        <w:t>‑</w:t>
      </w:r>
      <w:r w:rsidR="00571B73" w:rsidRPr="00895C88">
        <w:t>effectiveness due to limited and low</w:t>
      </w:r>
      <w:r w:rsidR="00571B73" w:rsidRPr="00895C88">
        <w:rPr>
          <w:rFonts w:ascii="Cambria Math" w:hAnsi="Cambria Math" w:cs="Cambria Math"/>
        </w:rPr>
        <w:t>‑</w:t>
      </w:r>
      <w:r w:rsidR="00571B73" w:rsidRPr="00895C88">
        <w:t xml:space="preserve">quality comparative evidence, the complexity of SGB use and inconsistent reporting of costs and outcomes. </w:t>
      </w:r>
      <w:r w:rsidRPr="00895C88">
        <w:t>While some studies suggest potential reductions in operating time for complex CMF procedures, the evidence did not support differentiation of PL benefits based on clinical effectiveness.</w:t>
      </w:r>
    </w:p>
    <w:p w14:paraId="22E18B3F" w14:textId="0537473E" w:rsidR="00F954CD" w:rsidRDefault="00F954CD" w:rsidP="00F954CD">
      <w:pPr>
        <w:spacing w:before="120" w:after="120" w:line="276" w:lineRule="auto"/>
      </w:pPr>
      <w:r w:rsidRPr="00895C88">
        <w:t xml:space="preserve">MDHTAC considered a range of options, including removing SGB for dental implant surgery from the PL, establishing benefits relative to clinical effectiveness and further aligning PL benefits with public sector or international prices. MDHTAC noted that removal of SGB for dental implant surgery is not </w:t>
      </w:r>
      <w:r w:rsidR="00B53BA7" w:rsidRPr="00895C88">
        <w:t>appropriate</w:t>
      </w:r>
      <w:r w:rsidRPr="00895C88">
        <w:t xml:space="preserve"> at this time </w:t>
      </w:r>
      <w:r w:rsidR="004A56CA" w:rsidRPr="00895C88">
        <w:t xml:space="preserve">as they can be a component of </w:t>
      </w:r>
      <w:r w:rsidRPr="00895C88">
        <w:t>complex CMF procedures</w:t>
      </w:r>
      <w:r w:rsidR="006258DE" w:rsidRPr="00895C88">
        <w:t xml:space="preserve">. </w:t>
      </w:r>
      <w:r w:rsidR="004A56CA" w:rsidRPr="00895C88">
        <w:t xml:space="preserve">Additionally, MDHTAC noted that </w:t>
      </w:r>
      <w:r w:rsidRPr="00895C88">
        <w:t>existing PL reforms ha</w:t>
      </w:r>
      <w:r w:rsidR="00C44C10" w:rsidRPr="00895C88">
        <w:t>d</w:t>
      </w:r>
      <w:r w:rsidRPr="00895C88">
        <w:t xml:space="preserve"> already resulted in substantial benefit reductions</w:t>
      </w:r>
      <w:r w:rsidR="004A56CA" w:rsidRPr="00895C88">
        <w:t xml:space="preserve"> and </w:t>
      </w:r>
      <w:r w:rsidR="00C44C10" w:rsidRPr="00895C88">
        <w:t>recommended no further changes be made</w:t>
      </w:r>
      <w:r w:rsidRPr="00895C88">
        <w:t>.</w:t>
      </w:r>
    </w:p>
    <w:p w14:paraId="22A7953C" w14:textId="046655C2" w:rsidR="00F954CD" w:rsidRDefault="00F954CD" w:rsidP="00F954CD">
      <w:pPr>
        <w:spacing w:before="120" w:after="120" w:line="276" w:lineRule="auto"/>
      </w:pPr>
      <w:r>
        <w:t xml:space="preserve">Considering MDHTAC’s advice, reductions in claims and expenditure and the available evidence, the </w:t>
      </w:r>
      <w:r w:rsidR="00C44C10">
        <w:t>d</w:t>
      </w:r>
      <w:r>
        <w:t xml:space="preserve">epartment proposes no further changes to PL benefits for </w:t>
      </w:r>
      <w:r w:rsidR="006258DE">
        <w:t>SGB</w:t>
      </w:r>
      <w:r>
        <w:t xml:space="preserve"> </w:t>
      </w:r>
      <w:proofErr w:type="gramStart"/>
      <w:r>
        <w:t>at this time</w:t>
      </w:r>
      <w:proofErr w:type="gramEnd"/>
      <w:r>
        <w:t xml:space="preserve">. The </w:t>
      </w:r>
      <w:r w:rsidR="00C44C10">
        <w:t>d</w:t>
      </w:r>
      <w:r>
        <w:t>epartment will continue to monitor SGB claiming patterns to ensure the condition remains aligned with its policy intent.</w:t>
      </w:r>
    </w:p>
    <w:p w14:paraId="4EF7D929" w14:textId="74A5419A" w:rsidR="002056DC" w:rsidRPr="003C33B2" w:rsidRDefault="002056DC" w:rsidP="003C33B2">
      <w:pPr>
        <w:pStyle w:val="Heading1"/>
        <w:rPr>
          <w:b/>
          <w:bCs w:val="0"/>
          <w:sz w:val="44"/>
          <w:szCs w:val="44"/>
        </w:rPr>
      </w:pPr>
      <w:bookmarkStart w:id="4" w:name="_Toc227235488"/>
      <w:r w:rsidRPr="003C33B2">
        <w:rPr>
          <w:b/>
          <w:bCs w:val="0"/>
          <w:sz w:val="44"/>
          <w:szCs w:val="44"/>
        </w:rPr>
        <w:lastRenderedPageBreak/>
        <w:t>Purpose</w:t>
      </w:r>
      <w:bookmarkEnd w:id="0"/>
      <w:bookmarkEnd w:id="2"/>
      <w:bookmarkEnd w:id="4"/>
    </w:p>
    <w:p w14:paraId="7ABE1CD1" w14:textId="5D23EDDD" w:rsidR="001B339E" w:rsidRPr="00AB217E" w:rsidRDefault="007158A1" w:rsidP="000A3D5C">
      <w:pPr>
        <w:spacing w:before="120" w:after="120" w:line="276" w:lineRule="auto"/>
        <w:rPr>
          <w:color w:val="000000" w:themeColor="text1"/>
        </w:rPr>
      </w:pPr>
      <w:r w:rsidRPr="00AB217E">
        <w:rPr>
          <w:color w:val="000000" w:themeColor="text1"/>
        </w:rPr>
        <w:t xml:space="preserve">The purpose of the surgical guides and </w:t>
      </w:r>
      <w:proofErr w:type="spellStart"/>
      <w:r w:rsidRPr="00AB217E">
        <w:rPr>
          <w:color w:val="000000" w:themeColor="text1"/>
        </w:rPr>
        <w:t>biomodels</w:t>
      </w:r>
      <w:proofErr w:type="spellEnd"/>
      <w:r w:rsidRPr="00AB217E">
        <w:rPr>
          <w:color w:val="000000" w:themeColor="text1"/>
        </w:rPr>
        <w:t xml:space="preserve"> </w:t>
      </w:r>
      <w:r w:rsidR="00FB74DB" w:rsidRPr="00AB217E">
        <w:rPr>
          <w:color w:val="000000" w:themeColor="text1"/>
        </w:rPr>
        <w:t xml:space="preserve">(SGB) </w:t>
      </w:r>
      <w:r w:rsidRPr="00AB217E">
        <w:rPr>
          <w:color w:val="000000" w:themeColor="text1"/>
        </w:rPr>
        <w:t>post-listing review was to determine</w:t>
      </w:r>
      <w:r w:rsidR="006C075E" w:rsidRPr="00AB217E">
        <w:rPr>
          <w:color w:val="000000" w:themeColor="text1"/>
        </w:rPr>
        <w:t>:</w:t>
      </w:r>
    </w:p>
    <w:p w14:paraId="0F0E3B9A" w14:textId="5355A8B6" w:rsidR="007158A1" w:rsidRPr="00AB217E" w:rsidRDefault="00556E8E" w:rsidP="000A3D5C">
      <w:pPr>
        <w:pStyle w:val="ListParagraph"/>
        <w:numPr>
          <w:ilvl w:val="0"/>
          <w:numId w:val="12"/>
        </w:numPr>
        <w:spacing w:before="120" w:after="120" w:line="276" w:lineRule="auto"/>
        <w:rPr>
          <w:color w:val="000000" w:themeColor="text1"/>
        </w:rPr>
      </w:pPr>
      <w:r>
        <w:rPr>
          <w:color w:val="000000" w:themeColor="text1"/>
        </w:rPr>
        <w:t>e</w:t>
      </w:r>
      <w:r w:rsidR="00FD790A" w:rsidRPr="00AB217E">
        <w:rPr>
          <w:color w:val="000000" w:themeColor="text1"/>
        </w:rPr>
        <w:t xml:space="preserve">ligibility for inclusion </w:t>
      </w:r>
      <w:r w:rsidR="000C5821">
        <w:rPr>
          <w:color w:val="000000" w:themeColor="text1"/>
        </w:rPr>
        <w:t xml:space="preserve">of SGB </w:t>
      </w:r>
      <w:r w:rsidR="00FD790A" w:rsidRPr="00AB217E">
        <w:rPr>
          <w:color w:val="000000" w:themeColor="text1"/>
        </w:rPr>
        <w:t xml:space="preserve">in the </w:t>
      </w:r>
      <w:r w:rsidR="003F2A49">
        <w:rPr>
          <w:color w:val="000000" w:themeColor="text1"/>
        </w:rPr>
        <w:t>P</w:t>
      </w:r>
      <w:r w:rsidR="00FD790A" w:rsidRPr="00AB217E">
        <w:rPr>
          <w:color w:val="000000" w:themeColor="text1"/>
        </w:rPr>
        <w:t xml:space="preserve">rescribed </w:t>
      </w:r>
      <w:r w:rsidR="003F2A49">
        <w:rPr>
          <w:color w:val="000000" w:themeColor="text1"/>
        </w:rPr>
        <w:t>L</w:t>
      </w:r>
      <w:r w:rsidR="00FD790A" w:rsidRPr="00AB217E">
        <w:rPr>
          <w:color w:val="000000" w:themeColor="text1"/>
        </w:rPr>
        <w:t>ist</w:t>
      </w:r>
    </w:p>
    <w:p w14:paraId="7DBF3EF0" w14:textId="2DA75C69" w:rsidR="006C075E" w:rsidRPr="00AB217E" w:rsidRDefault="00556E8E" w:rsidP="000A3D5C">
      <w:pPr>
        <w:pStyle w:val="ListParagraph"/>
        <w:numPr>
          <w:ilvl w:val="0"/>
          <w:numId w:val="12"/>
        </w:numPr>
        <w:spacing w:before="120" w:after="120" w:line="276" w:lineRule="auto"/>
        <w:rPr>
          <w:color w:val="000000" w:themeColor="text1"/>
        </w:rPr>
      </w:pPr>
      <w:r>
        <w:rPr>
          <w:color w:val="000000" w:themeColor="text1"/>
        </w:rPr>
        <w:t>c</w:t>
      </w:r>
      <w:r w:rsidR="006C075E" w:rsidRPr="00AB217E">
        <w:rPr>
          <w:color w:val="000000" w:themeColor="text1"/>
        </w:rPr>
        <w:t xml:space="preserve">omparative cost effectiveness </w:t>
      </w:r>
      <w:r w:rsidR="000C5821">
        <w:rPr>
          <w:color w:val="000000" w:themeColor="text1"/>
        </w:rPr>
        <w:t xml:space="preserve">of SGB </w:t>
      </w:r>
      <w:r w:rsidR="006C075E" w:rsidRPr="00AB217E">
        <w:rPr>
          <w:color w:val="000000" w:themeColor="text1"/>
        </w:rPr>
        <w:t>to determine the appropriate benefit settings</w:t>
      </w:r>
      <w:r>
        <w:rPr>
          <w:color w:val="000000" w:themeColor="text1"/>
        </w:rPr>
        <w:t>.</w:t>
      </w:r>
    </w:p>
    <w:p w14:paraId="09DB4B20" w14:textId="62BE78AF" w:rsidR="0045433E" w:rsidRPr="006F786D" w:rsidRDefault="0045433E" w:rsidP="000A3D5C">
      <w:pPr>
        <w:spacing w:before="120" w:after="120" w:line="276" w:lineRule="auto"/>
        <w:rPr>
          <w:color w:val="000000" w:themeColor="text1"/>
        </w:rPr>
      </w:pPr>
      <w:r w:rsidRPr="00AB217E">
        <w:rPr>
          <w:color w:val="000000" w:themeColor="text1"/>
        </w:rPr>
        <w:t>The purpose of this department report is to provide a summary of the review process and outcomes</w:t>
      </w:r>
      <w:r w:rsidR="00EC68E9" w:rsidRPr="00AB217E">
        <w:rPr>
          <w:color w:val="000000" w:themeColor="text1"/>
        </w:rPr>
        <w:t>.</w:t>
      </w:r>
    </w:p>
    <w:p w14:paraId="1733FF4B" w14:textId="0761892D" w:rsidR="00517D2C" w:rsidRPr="00EC68E9" w:rsidRDefault="00EC68E9" w:rsidP="000A3D5C">
      <w:pPr>
        <w:pStyle w:val="Heading1"/>
        <w:spacing w:line="276" w:lineRule="auto"/>
        <w:rPr>
          <w:b/>
          <w:sz w:val="44"/>
        </w:rPr>
      </w:pPr>
      <w:bookmarkStart w:id="5" w:name="_Toc224302048"/>
      <w:bookmarkStart w:id="6" w:name="_Toc224302198"/>
      <w:bookmarkStart w:id="7" w:name="_Toc227235489"/>
      <w:r>
        <w:rPr>
          <w:b/>
          <w:sz w:val="44"/>
        </w:rPr>
        <w:t>Background</w:t>
      </w:r>
      <w:bookmarkEnd w:id="1"/>
      <w:bookmarkEnd w:id="5"/>
      <w:bookmarkEnd w:id="6"/>
      <w:bookmarkEnd w:id="7"/>
    </w:p>
    <w:p w14:paraId="40D592F9" w14:textId="1D9E7139" w:rsidR="00517D2C" w:rsidRPr="00AB217E" w:rsidRDefault="00FB74DB" w:rsidP="000A3D5C">
      <w:pPr>
        <w:spacing w:before="120" w:after="120" w:line="276" w:lineRule="auto"/>
        <w:rPr>
          <w:color w:val="000000" w:themeColor="text1"/>
        </w:rPr>
      </w:pPr>
      <w:r w:rsidRPr="00AB217E">
        <w:rPr>
          <w:color w:val="000000" w:themeColor="text1"/>
        </w:rPr>
        <w:t>SGB</w:t>
      </w:r>
      <w:r w:rsidR="00517D2C" w:rsidRPr="00AB217E">
        <w:rPr>
          <w:color w:val="000000" w:themeColor="text1"/>
        </w:rPr>
        <w:t xml:space="preserve"> are non-implantable, single-use devices used in </w:t>
      </w:r>
      <w:r w:rsidR="00F2614D" w:rsidRPr="00AB217E">
        <w:rPr>
          <w:color w:val="000000" w:themeColor="text1"/>
        </w:rPr>
        <w:t xml:space="preserve">surgical </w:t>
      </w:r>
      <w:r w:rsidR="00517D2C" w:rsidRPr="00AB217E">
        <w:rPr>
          <w:color w:val="000000" w:themeColor="text1"/>
        </w:rPr>
        <w:t>planning and decision making both pre- and intra-operatively.</w:t>
      </w:r>
      <w:r w:rsidR="009E2FD1" w:rsidRPr="00AB217E">
        <w:rPr>
          <w:color w:val="000000" w:themeColor="text1"/>
        </w:rPr>
        <w:t xml:space="preserve"> </w:t>
      </w:r>
    </w:p>
    <w:p w14:paraId="2ABAD92D" w14:textId="1BD371F2" w:rsidR="00707349" w:rsidRDefault="00D97AF2" w:rsidP="000A3D5C">
      <w:pPr>
        <w:spacing w:before="120" w:after="120" w:line="276" w:lineRule="auto"/>
        <w:rPr>
          <w:color w:val="000000" w:themeColor="text1"/>
        </w:rPr>
      </w:pPr>
      <w:r>
        <w:rPr>
          <w:color w:val="000000" w:themeColor="text1"/>
        </w:rPr>
        <w:t>For specific definitions</w:t>
      </w:r>
      <w:r w:rsidR="002419E2">
        <w:rPr>
          <w:color w:val="000000" w:themeColor="text1"/>
        </w:rPr>
        <w:t xml:space="preserve"> used in the review</w:t>
      </w:r>
      <w:r w:rsidR="00046BA7">
        <w:rPr>
          <w:color w:val="000000" w:themeColor="text1"/>
        </w:rPr>
        <w:t>,</w:t>
      </w:r>
      <w:r>
        <w:rPr>
          <w:color w:val="000000" w:themeColor="text1"/>
        </w:rPr>
        <w:t xml:space="preserve"> see</w:t>
      </w:r>
      <w:r w:rsidR="00A70C84">
        <w:rPr>
          <w:color w:val="000000" w:themeColor="text1"/>
        </w:rPr>
        <w:t xml:space="preserve"> the</w:t>
      </w:r>
      <w:r>
        <w:rPr>
          <w:color w:val="000000" w:themeColor="text1"/>
        </w:rPr>
        <w:t xml:space="preserve"> </w:t>
      </w:r>
      <w:hyperlink r:id="rId19" w:history="1">
        <w:r w:rsidRPr="00DB14CD">
          <w:rPr>
            <w:rStyle w:val="Hyperlink"/>
          </w:rPr>
          <w:t>stage 1</w:t>
        </w:r>
      </w:hyperlink>
      <w:r>
        <w:rPr>
          <w:color w:val="000000" w:themeColor="text1"/>
        </w:rPr>
        <w:t xml:space="preserve"> and </w:t>
      </w:r>
      <w:hyperlink r:id="rId20" w:history="1">
        <w:r w:rsidRPr="008150AA">
          <w:rPr>
            <w:rStyle w:val="Hyperlink"/>
          </w:rPr>
          <w:t>stage 2</w:t>
        </w:r>
      </w:hyperlink>
      <w:r>
        <w:rPr>
          <w:color w:val="000000" w:themeColor="text1"/>
        </w:rPr>
        <w:t xml:space="preserve"> report</w:t>
      </w:r>
      <w:r w:rsidR="00A70C84">
        <w:rPr>
          <w:color w:val="000000" w:themeColor="text1"/>
        </w:rPr>
        <w:t>s</w:t>
      </w:r>
      <w:r>
        <w:rPr>
          <w:color w:val="000000" w:themeColor="text1"/>
        </w:rPr>
        <w:t xml:space="preserve">. </w:t>
      </w:r>
    </w:p>
    <w:p w14:paraId="18D9E1ED" w14:textId="07E2F539" w:rsidR="00FB74DB" w:rsidRPr="00D97AF2" w:rsidRDefault="00D57405" w:rsidP="000A3D5C">
      <w:pPr>
        <w:spacing w:before="120" w:after="120" w:line="276" w:lineRule="auto"/>
        <w:rPr>
          <w:color w:val="000000" w:themeColor="text1"/>
        </w:rPr>
      </w:pPr>
      <w:r w:rsidRPr="00AB217E">
        <w:rPr>
          <w:color w:val="000000" w:themeColor="text1"/>
        </w:rPr>
        <w:t>In the 2021</w:t>
      </w:r>
      <w:r w:rsidR="00523C5A" w:rsidRPr="00AB217E">
        <w:rPr>
          <w:color w:val="000000" w:themeColor="text1"/>
        </w:rPr>
        <w:t>–</w:t>
      </w:r>
      <w:r w:rsidRPr="00AB217E">
        <w:rPr>
          <w:color w:val="000000" w:themeColor="text1"/>
        </w:rPr>
        <w:t>22 Federal Budget, the Australian Government announced an investment of $22 million over four years to improve the PL and its arrangements. A process for formalised post-listing reviews was introduced as part of the reforms aimed at safeguarding the settings of the PL.</w:t>
      </w:r>
    </w:p>
    <w:p w14:paraId="33629A61" w14:textId="38B5BF39" w:rsidR="00D57405" w:rsidRPr="00AB217E" w:rsidRDefault="00FB74DB" w:rsidP="000A3D5C">
      <w:pPr>
        <w:spacing w:before="120" w:after="120" w:line="276" w:lineRule="auto"/>
        <w:rPr>
          <w:color w:val="000000" w:themeColor="text1"/>
        </w:rPr>
      </w:pPr>
      <w:r w:rsidRPr="00AB217E">
        <w:rPr>
          <w:color w:val="000000" w:themeColor="text1"/>
        </w:rPr>
        <w:t>SGB</w:t>
      </w:r>
      <w:r w:rsidR="00D57405" w:rsidRPr="00AB217E">
        <w:rPr>
          <w:color w:val="000000" w:themeColor="text1"/>
        </w:rPr>
        <w:t xml:space="preserve"> were identified as 1 of the 4 topics suitable to pilot the post-listing review framework. Reasons </w:t>
      </w:r>
      <w:r w:rsidR="002B241B">
        <w:rPr>
          <w:color w:val="000000" w:themeColor="text1"/>
        </w:rPr>
        <w:t xml:space="preserve">for the review </w:t>
      </w:r>
      <w:r w:rsidR="00D57405" w:rsidRPr="00AB217E">
        <w:rPr>
          <w:color w:val="000000" w:themeColor="text1"/>
        </w:rPr>
        <w:t>included:</w:t>
      </w:r>
    </w:p>
    <w:p w14:paraId="7216F27F" w14:textId="434AB6E0" w:rsidR="00F17B74" w:rsidRPr="00AB217E" w:rsidRDefault="00F17B74" w:rsidP="000A3D5C">
      <w:pPr>
        <w:pStyle w:val="ListParagraph"/>
        <w:numPr>
          <w:ilvl w:val="0"/>
          <w:numId w:val="11"/>
        </w:numPr>
        <w:tabs>
          <w:tab w:val="num" w:pos="720"/>
        </w:tabs>
        <w:spacing w:before="120" w:after="120" w:line="276" w:lineRule="auto"/>
        <w:rPr>
          <w:color w:val="000000" w:themeColor="text1"/>
        </w:rPr>
      </w:pPr>
      <w:r w:rsidRPr="00AB217E">
        <w:rPr>
          <w:color w:val="000000" w:themeColor="text1"/>
        </w:rPr>
        <w:t>rapid growth in</w:t>
      </w:r>
      <w:r w:rsidR="002B241B">
        <w:rPr>
          <w:color w:val="000000" w:themeColor="text1"/>
        </w:rPr>
        <w:t xml:space="preserve"> claims</w:t>
      </w:r>
      <w:r w:rsidRPr="00AB217E">
        <w:rPr>
          <w:color w:val="000000" w:themeColor="text1"/>
        </w:rPr>
        <w:t xml:space="preserve"> – PL benefits paid by health insurers rose from $1.6 million in 2016–17 to $20.6 million in 2021–22</w:t>
      </w:r>
    </w:p>
    <w:p w14:paraId="7561E646" w14:textId="1A7DE045" w:rsidR="00F17B74" w:rsidRPr="00AB217E" w:rsidRDefault="002B241B" w:rsidP="000A3D5C">
      <w:pPr>
        <w:pStyle w:val="ListParagraph"/>
        <w:numPr>
          <w:ilvl w:val="0"/>
          <w:numId w:val="11"/>
        </w:numPr>
        <w:tabs>
          <w:tab w:val="num" w:pos="720"/>
        </w:tabs>
        <w:spacing w:before="120" w:after="120" w:line="276" w:lineRule="auto"/>
        <w:rPr>
          <w:color w:val="000000" w:themeColor="text1"/>
        </w:rPr>
      </w:pPr>
      <w:r>
        <w:rPr>
          <w:color w:val="000000" w:themeColor="text1"/>
        </w:rPr>
        <w:t xml:space="preserve">stakeholder </w:t>
      </w:r>
      <w:r w:rsidR="00F17B74" w:rsidRPr="00AB217E">
        <w:rPr>
          <w:color w:val="000000" w:themeColor="text1"/>
        </w:rPr>
        <w:t xml:space="preserve">reports suggesting </w:t>
      </w:r>
      <w:r w:rsidR="002419E2">
        <w:rPr>
          <w:color w:val="000000" w:themeColor="text1"/>
        </w:rPr>
        <w:t xml:space="preserve">some </w:t>
      </w:r>
      <w:r w:rsidR="00F17B74" w:rsidRPr="00AB217E">
        <w:rPr>
          <w:color w:val="000000" w:themeColor="text1"/>
        </w:rPr>
        <w:t>overuse and inappropriate use</w:t>
      </w:r>
    </w:p>
    <w:p w14:paraId="793C5E8A" w14:textId="6275AE15" w:rsidR="00F722DF" w:rsidRPr="00027125" w:rsidRDefault="00F722DF" w:rsidP="00F722DF">
      <w:pPr>
        <w:pStyle w:val="ListParagraph"/>
        <w:numPr>
          <w:ilvl w:val="0"/>
          <w:numId w:val="11"/>
        </w:numPr>
        <w:tabs>
          <w:tab w:val="num" w:pos="720"/>
        </w:tabs>
        <w:spacing w:before="120" w:after="120" w:line="276" w:lineRule="auto"/>
        <w:rPr>
          <w:color w:val="000000" w:themeColor="text1"/>
        </w:rPr>
      </w:pPr>
      <w:r w:rsidRPr="00AB217E">
        <w:rPr>
          <w:color w:val="000000" w:themeColor="text1"/>
        </w:rPr>
        <w:t>uncertainty about eligibility on the PL –</w:t>
      </w:r>
      <w:r>
        <w:rPr>
          <w:color w:val="000000" w:themeColor="text1"/>
        </w:rPr>
        <w:t xml:space="preserve"> </w:t>
      </w:r>
      <w:r w:rsidRPr="00AB217E">
        <w:rPr>
          <w:color w:val="000000" w:themeColor="text1"/>
        </w:rPr>
        <w:t>whether the devices are considered essential to implanting another device</w:t>
      </w:r>
    </w:p>
    <w:p w14:paraId="47CBFA40" w14:textId="57A4577C" w:rsidR="00F17B74" w:rsidRPr="00AB217E" w:rsidRDefault="00F17B74" w:rsidP="000A3D5C">
      <w:pPr>
        <w:pStyle w:val="ListParagraph"/>
        <w:numPr>
          <w:ilvl w:val="0"/>
          <w:numId w:val="11"/>
        </w:numPr>
        <w:tabs>
          <w:tab w:val="num" w:pos="720"/>
        </w:tabs>
        <w:spacing w:before="120" w:after="120" w:line="276" w:lineRule="auto"/>
        <w:rPr>
          <w:color w:val="000000" w:themeColor="text1"/>
        </w:rPr>
      </w:pPr>
      <w:r w:rsidRPr="00AB217E">
        <w:rPr>
          <w:color w:val="000000" w:themeColor="text1"/>
        </w:rPr>
        <w:t>uncertainty about comparative clinical effectiveness and cost-effectiveness</w:t>
      </w:r>
      <w:r w:rsidR="00BE7CBD">
        <w:rPr>
          <w:color w:val="000000" w:themeColor="text1"/>
        </w:rPr>
        <w:t>.</w:t>
      </w:r>
    </w:p>
    <w:p w14:paraId="5D53B6E3" w14:textId="77777777" w:rsidR="0010607F" w:rsidRPr="00421ED7" w:rsidRDefault="0010607F" w:rsidP="00421ED7">
      <w:pPr>
        <w:pStyle w:val="Heading2"/>
        <w:rPr>
          <w:iCs w:val="0"/>
          <w:sz w:val="36"/>
        </w:rPr>
      </w:pPr>
      <w:bookmarkStart w:id="8" w:name="_Toc224302049"/>
      <w:bookmarkStart w:id="9" w:name="_Toc227235490"/>
      <w:r w:rsidRPr="00421ED7">
        <w:rPr>
          <w:iCs w:val="0"/>
          <w:sz w:val="36"/>
        </w:rPr>
        <w:t>Scope</w:t>
      </w:r>
      <w:bookmarkEnd w:id="8"/>
      <w:bookmarkEnd w:id="9"/>
    </w:p>
    <w:p w14:paraId="0FBFE48A" w14:textId="6EC62083" w:rsidR="00F73C4C" w:rsidRDefault="00F73C4C" w:rsidP="000A3D5C">
      <w:pPr>
        <w:pStyle w:val="ListBullet"/>
        <w:numPr>
          <w:ilvl w:val="0"/>
          <w:numId w:val="0"/>
        </w:numPr>
        <w:tabs>
          <w:tab w:val="left" w:pos="340"/>
          <w:tab w:val="left" w:pos="680"/>
        </w:tabs>
        <w:spacing w:line="276" w:lineRule="auto"/>
        <w:ind w:left="360" w:hanging="360"/>
        <w:rPr>
          <w:sz w:val="22"/>
          <w:szCs w:val="22"/>
        </w:rPr>
      </w:pPr>
      <w:r>
        <w:rPr>
          <w:sz w:val="22"/>
          <w:szCs w:val="22"/>
        </w:rPr>
        <w:t xml:space="preserve">Devices in the following </w:t>
      </w:r>
      <w:r w:rsidR="00A01934">
        <w:rPr>
          <w:sz w:val="22"/>
          <w:szCs w:val="22"/>
        </w:rPr>
        <w:t xml:space="preserve">PL </w:t>
      </w:r>
      <w:r>
        <w:rPr>
          <w:sz w:val="22"/>
          <w:szCs w:val="22"/>
        </w:rPr>
        <w:t>groups are in scope for the review:</w:t>
      </w:r>
    </w:p>
    <w:p w14:paraId="378922E3" w14:textId="77777777" w:rsidR="00F73C4C" w:rsidRDefault="004C5FCB" w:rsidP="000A3D5C">
      <w:pPr>
        <w:pStyle w:val="ListBullet"/>
        <w:numPr>
          <w:ilvl w:val="0"/>
          <w:numId w:val="27"/>
        </w:numPr>
        <w:tabs>
          <w:tab w:val="left" w:pos="340"/>
          <w:tab w:val="left" w:pos="680"/>
        </w:tabs>
        <w:spacing w:line="276" w:lineRule="auto"/>
        <w:rPr>
          <w:sz w:val="22"/>
          <w:szCs w:val="22"/>
        </w:rPr>
      </w:pPr>
      <w:r w:rsidRPr="00207B49">
        <w:rPr>
          <w:sz w:val="22"/>
          <w:szCs w:val="22"/>
        </w:rPr>
        <w:t xml:space="preserve">07.02.02 </w:t>
      </w:r>
      <w:r w:rsidR="005428EB">
        <w:rPr>
          <w:sz w:val="22"/>
          <w:szCs w:val="22"/>
        </w:rPr>
        <w:t xml:space="preserve">– </w:t>
      </w:r>
      <w:r w:rsidRPr="00207B49">
        <w:rPr>
          <w:sz w:val="22"/>
          <w:szCs w:val="22"/>
        </w:rPr>
        <w:t>Cranium</w:t>
      </w:r>
    </w:p>
    <w:p w14:paraId="602DBF6C" w14:textId="03BE532A" w:rsidR="004C5FCB" w:rsidRPr="00F73C4C" w:rsidRDefault="004C5FCB" w:rsidP="000A3D5C">
      <w:pPr>
        <w:pStyle w:val="ListBullet"/>
        <w:numPr>
          <w:ilvl w:val="0"/>
          <w:numId w:val="27"/>
        </w:numPr>
        <w:tabs>
          <w:tab w:val="left" w:pos="340"/>
          <w:tab w:val="left" w:pos="680"/>
        </w:tabs>
        <w:spacing w:line="276" w:lineRule="auto"/>
        <w:rPr>
          <w:sz w:val="22"/>
          <w:szCs w:val="22"/>
        </w:rPr>
      </w:pPr>
      <w:r w:rsidRPr="00F73C4C">
        <w:rPr>
          <w:sz w:val="22"/>
          <w:szCs w:val="22"/>
        </w:rPr>
        <w:t xml:space="preserve">07.02.05 </w:t>
      </w:r>
      <w:r w:rsidR="005428EB" w:rsidRPr="00F73C4C">
        <w:rPr>
          <w:sz w:val="22"/>
          <w:szCs w:val="22"/>
        </w:rPr>
        <w:t xml:space="preserve">– </w:t>
      </w:r>
      <w:r w:rsidRPr="00F73C4C">
        <w:rPr>
          <w:sz w:val="22"/>
          <w:szCs w:val="22"/>
        </w:rPr>
        <w:t>Mandible, Maxilla and Temporomandibular Joint (TMJ)</w:t>
      </w:r>
    </w:p>
    <w:p w14:paraId="0063E09E" w14:textId="30D32728" w:rsidR="00606AF4" w:rsidRPr="00F73C4C" w:rsidRDefault="00606AF4" w:rsidP="000A3D5C">
      <w:pPr>
        <w:pStyle w:val="ListBullet"/>
        <w:numPr>
          <w:ilvl w:val="0"/>
          <w:numId w:val="27"/>
        </w:numPr>
        <w:tabs>
          <w:tab w:val="left" w:pos="340"/>
          <w:tab w:val="left" w:pos="680"/>
        </w:tabs>
        <w:spacing w:line="276" w:lineRule="auto"/>
        <w:rPr>
          <w:sz w:val="22"/>
          <w:szCs w:val="22"/>
        </w:rPr>
      </w:pPr>
      <w:r>
        <w:rPr>
          <w:sz w:val="22"/>
          <w:szCs w:val="22"/>
        </w:rPr>
        <w:t xml:space="preserve">07.02.07 </w:t>
      </w:r>
      <w:r w:rsidR="005428EB">
        <w:rPr>
          <w:sz w:val="22"/>
          <w:szCs w:val="22"/>
        </w:rPr>
        <w:t>–</w:t>
      </w:r>
      <w:r>
        <w:rPr>
          <w:sz w:val="22"/>
          <w:szCs w:val="22"/>
        </w:rPr>
        <w:t xml:space="preserve"> Orbit</w:t>
      </w:r>
    </w:p>
    <w:p w14:paraId="56158C5E" w14:textId="2A973F33" w:rsidR="004C5FCB" w:rsidRPr="00F73C4C" w:rsidRDefault="004C5FCB" w:rsidP="000A3D5C">
      <w:pPr>
        <w:pStyle w:val="ListBullet"/>
        <w:numPr>
          <w:ilvl w:val="0"/>
          <w:numId w:val="27"/>
        </w:numPr>
        <w:tabs>
          <w:tab w:val="left" w:pos="340"/>
          <w:tab w:val="left" w:pos="680"/>
        </w:tabs>
        <w:spacing w:line="276" w:lineRule="auto"/>
        <w:rPr>
          <w:sz w:val="22"/>
          <w:szCs w:val="22"/>
        </w:rPr>
      </w:pPr>
      <w:r w:rsidRPr="00207B49">
        <w:rPr>
          <w:sz w:val="22"/>
          <w:szCs w:val="22"/>
        </w:rPr>
        <w:t xml:space="preserve">07.02.09 </w:t>
      </w:r>
      <w:r w:rsidR="005428EB">
        <w:rPr>
          <w:sz w:val="22"/>
          <w:szCs w:val="22"/>
        </w:rPr>
        <w:t xml:space="preserve">– </w:t>
      </w:r>
      <w:r w:rsidRPr="00207B49">
        <w:rPr>
          <w:sz w:val="22"/>
          <w:szCs w:val="22"/>
        </w:rPr>
        <w:t xml:space="preserve">Anatomical </w:t>
      </w:r>
      <w:proofErr w:type="spellStart"/>
      <w:r w:rsidRPr="00207B49">
        <w:rPr>
          <w:sz w:val="22"/>
          <w:szCs w:val="22"/>
        </w:rPr>
        <w:t>biomodels</w:t>
      </w:r>
      <w:proofErr w:type="spellEnd"/>
      <w:r w:rsidR="00027125">
        <w:rPr>
          <w:sz w:val="22"/>
          <w:szCs w:val="22"/>
        </w:rPr>
        <w:t>.</w:t>
      </w:r>
    </w:p>
    <w:p w14:paraId="5671DA97" w14:textId="208A7673" w:rsidR="004C5FCB" w:rsidRPr="0010607F" w:rsidRDefault="004C5FCB" w:rsidP="000A3D5C">
      <w:pPr>
        <w:spacing w:before="120" w:after="120" w:line="276" w:lineRule="auto"/>
        <w:rPr>
          <w:color w:val="000000" w:themeColor="text1"/>
        </w:rPr>
      </w:pPr>
      <w:r w:rsidRPr="00AB217E">
        <w:rPr>
          <w:color w:val="000000" w:themeColor="text1"/>
        </w:rPr>
        <w:t>The scope of the review covered all PL devices in these categories</w:t>
      </w:r>
      <w:r w:rsidR="000357BB">
        <w:rPr>
          <w:color w:val="000000" w:themeColor="text1"/>
        </w:rPr>
        <w:t xml:space="preserve">. </w:t>
      </w:r>
      <w:r w:rsidR="008A09BB">
        <w:rPr>
          <w:color w:val="000000" w:themeColor="text1"/>
        </w:rPr>
        <w:t>Devices</w:t>
      </w:r>
      <w:r w:rsidR="005428EB">
        <w:rPr>
          <w:color w:val="000000" w:themeColor="text1"/>
        </w:rPr>
        <w:t xml:space="preserve"> </w:t>
      </w:r>
      <w:r w:rsidR="00C352D9">
        <w:rPr>
          <w:color w:val="000000" w:themeColor="text1"/>
        </w:rPr>
        <w:t>on the PL</w:t>
      </w:r>
      <w:r w:rsidRPr="00AB217E">
        <w:rPr>
          <w:color w:val="000000" w:themeColor="text1"/>
        </w:rPr>
        <w:t xml:space="preserve"> </w:t>
      </w:r>
      <w:r w:rsidR="008A09BB">
        <w:rPr>
          <w:color w:val="000000" w:themeColor="text1"/>
        </w:rPr>
        <w:t xml:space="preserve">can </w:t>
      </w:r>
      <w:r w:rsidRPr="00AB217E">
        <w:rPr>
          <w:color w:val="000000" w:themeColor="text1"/>
        </w:rPr>
        <w:t>change overtime</w:t>
      </w:r>
      <w:r w:rsidR="00C352D9">
        <w:rPr>
          <w:color w:val="000000" w:themeColor="text1"/>
        </w:rPr>
        <w:t>.</w:t>
      </w:r>
      <w:r w:rsidRPr="00AB217E">
        <w:rPr>
          <w:color w:val="000000" w:themeColor="text1"/>
        </w:rPr>
        <w:t xml:space="preserve"> </w:t>
      </w:r>
      <w:r w:rsidR="00C352D9">
        <w:rPr>
          <w:color w:val="000000" w:themeColor="text1"/>
        </w:rPr>
        <w:t xml:space="preserve">Specific </w:t>
      </w:r>
      <w:r w:rsidR="002D33B8">
        <w:rPr>
          <w:color w:val="000000" w:themeColor="text1"/>
        </w:rPr>
        <w:t>billing codes and devices</w:t>
      </w:r>
      <w:r w:rsidR="00C352D9">
        <w:rPr>
          <w:color w:val="000000" w:themeColor="text1"/>
        </w:rPr>
        <w:t xml:space="preserve"> within </w:t>
      </w:r>
      <w:r w:rsidRPr="00AB217E">
        <w:rPr>
          <w:color w:val="000000" w:themeColor="text1"/>
        </w:rPr>
        <w:t xml:space="preserve">these </w:t>
      </w:r>
      <w:r w:rsidR="00A01934">
        <w:rPr>
          <w:color w:val="000000" w:themeColor="text1"/>
        </w:rPr>
        <w:t xml:space="preserve">PL </w:t>
      </w:r>
      <w:r w:rsidRPr="00AB217E">
        <w:rPr>
          <w:color w:val="000000" w:themeColor="text1"/>
        </w:rPr>
        <w:t>group</w:t>
      </w:r>
      <w:r w:rsidR="00A01934">
        <w:rPr>
          <w:color w:val="000000" w:themeColor="text1"/>
        </w:rPr>
        <w:t>s</w:t>
      </w:r>
      <w:r w:rsidR="00C352D9">
        <w:rPr>
          <w:color w:val="000000" w:themeColor="text1"/>
        </w:rPr>
        <w:t xml:space="preserve"> may have change</w:t>
      </w:r>
      <w:r w:rsidR="004D20BB">
        <w:rPr>
          <w:color w:val="000000" w:themeColor="text1"/>
        </w:rPr>
        <w:t>d</w:t>
      </w:r>
      <w:r w:rsidRPr="00AB217E">
        <w:rPr>
          <w:color w:val="000000" w:themeColor="text1"/>
        </w:rPr>
        <w:t xml:space="preserve"> during the review timeframe. </w:t>
      </w:r>
    </w:p>
    <w:p w14:paraId="10193B6B" w14:textId="77777777" w:rsidR="00760DD0" w:rsidRPr="00421ED7" w:rsidRDefault="00760DD0" w:rsidP="00421ED7">
      <w:pPr>
        <w:pStyle w:val="Heading1"/>
        <w:spacing w:line="276" w:lineRule="auto"/>
        <w:rPr>
          <w:b/>
          <w:sz w:val="44"/>
        </w:rPr>
      </w:pPr>
      <w:bookmarkStart w:id="10" w:name="_Toc224302050"/>
      <w:bookmarkStart w:id="11" w:name="_Toc227235491"/>
      <w:bookmarkStart w:id="12" w:name="_Toc152330039"/>
      <w:r w:rsidRPr="00421ED7">
        <w:rPr>
          <w:b/>
          <w:sz w:val="44"/>
        </w:rPr>
        <w:t>Process</w:t>
      </w:r>
      <w:bookmarkEnd w:id="10"/>
      <w:bookmarkEnd w:id="11"/>
    </w:p>
    <w:p w14:paraId="66E6A116" w14:textId="50375096" w:rsidR="00A85DD4" w:rsidRDefault="0092498F" w:rsidP="000A3D5C">
      <w:pPr>
        <w:spacing w:before="120" w:after="120" w:line="276" w:lineRule="auto"/>
        <w:rPr>
          <w:color w:val="000000" w:themeColor="text1"/>
        </w:rPr>
      </w:pPr>
      <w:r>
        <w:rPr>
          <w:color w:val="000000" w:themeColor="text1"/>
        </w:rPr>
        <w:t>The review was</w:t>
      </w:r>
      <w:r w:rsidR="001A34D6">
        <w:rPr>
          <w:color w:val="000000" w:themeColor="text1"/>
        </w:rPr>
        <w:t xml:space="preserve"> </w:t>
      </w:r>
      <w:r w:rsidR="00962F77">
        <w:rPr>
          <w:color w:val="000000" w:themeColor="text1"/>
        </w:rPr>
        <w:t>completed</w:t>
      </w:r>
      <w:r w:rsidR="00A85DD4" w:rsidRPr="00676C3A">
        <w:rPr>
          <w:color w:val="000000" w:themeColor="text1"/>
        </w:rPr>
        <w:t xml:space="preserve"> </w:t>
      </w:r>
      <w:r w:rsidR="00A85DD4">
        <w:rPr>
          <w:color w:val="000000" w:themeColor="text1"/>
        </w:rPr>
        <w:t>i</w:t>
      </w:r>
      <w:r w:rsidR="00A85DD4" w:rsidRPr="00676C3A">
        <w:rPr>
          <w:color w:val="000000" w:themeColor="text1"/>
        </w:rPr>
        <w:t xml:space="preserve">n </w:t>
      </w:r>
      <w:r w:rsidR="00A85DD4">
        <w:rPr>
          <w:color w:val="000000" w:themeColor="text1"/>
        </w:rPr>
        <w:t>2</w:t>
      </w:r>
      <w:r w:rsidR="00A85DD4" w:rsidRPr="00676C3A">
        <w:rPr>
          <w:color w:val="000000" w:themeColor="text1"/>
        </w:rPr>
        <w:t xml:space="preserve"> stages</w:t>
      </w:r>
      <w:r w:rsidR="00A85DD4">
        <w:rPr>
          <w:color w:val="000000" w:themeColor="text1"/>
        </w:rPr>
        <w:t xml:space="preserve">. Each stage </w:t>
      </w:r>
      <w:r>
        <w:rPr>
          <w:color w:val="000000" w:themeColor="text1"/>
        </w:rPr>
        <w:t>had</w:t>
      </w:r>
      <w:r w:rsidR="00A85DD4">
        <w:rPr>
          <w:color w:val="000000" w:themeColor="text1"/>
        </w:rPr>
        <w:t xml:space="preserve"> different research questions</w:t>
      </w:r>
      <w:r w:rsidR="00F245B3">
        <w:rPr>
          <w:color w:val="000000" w:themeColor="text1"/>
        </w:rPr>
        <w:t xml:space="preserve">, </w:t>
      </w:r>
      <w:r>
        <w:rPr>
          <w:color w:val="000000" w:themeColor="text1"/>
        </w:rPr>
        <w:t xml:space="preserve">included </w:t>
      </w:r>
      <w:r w:rsidR="00F245B3">
        <w:rPr>
          <w:color w:val="000000" w:themeColor="text1"/>
        </w:rPr>
        <w:t>a</w:t>
      </w:r>
      <w:r w:rsidR="007A2069">
        <w:rPr>
          <w:color w:val="000000" w:themeColor="text1"/>
        </w:rPr>
        <w:t>n</w:t>
      </w:r>
      <w:r w:rsidR="00F245B3">
        <w:rPr>
          <w:color w:val="000000" w:themeColor="text1"/>
        </w:rPr>
        <w:t xml:space="preserve"> external</w:t>
      </w:r>
      <w:r w:rsidR="00621BF0">
        <w:rPr>
          <w:color w:val="000000" w:themeColor="text1"/>
        </w:rPr>
        <w:t xml:space="preserve"> </w:t>
      </w:r>
      <w:r w:rsidR="00CD0CAA">
        <w:rPr>
          <w:color w:val="000000" w:themeColor="text1"/>
        </w:rPr>
        <w:t>HTA</w:t>
      </w:r>
      <w:r w:rsidR="00F245B3">
        <w:rPr>
          <w:color w:val="000000" w:themeColor="text1"/>
        </w:rPr>
        <w:t xml:space="preserve"> </w:t>
      </w:r>
      <w:r w:rsidR="00962F77">
        <w:rPr>
          <w:color w:val="000000" w:themeColor="text1"/>
        </w:rPr>
        <w:t xml:space="preserve">consultant report </w:t>
      </w:r>
      <w:r>
        <w:rPr>
          <w:color w:val="000000" w:themeColor="text1"/>
        </w:rPr>
        <w:t xml:space="preserve">and was subject to </w:t>
      </w:r>
      <w:r w:rsidR="007A1366">
        <w:rPr>
          <w:color w:val="000000" w:themeColor="text1"/>
        </w:rPr>
        <w:t xml:space="preserve">advice from the </w:t>
      </w:r>
      <w:r w:rsidR="00CD0CAA">
        <w:rPr>
          <w:color w:val="000000" w:themeColor="text1"/>
        </w:rPr>
        <w:t>MDHTAC</w:t>
      </w:r>
      <w:r w:rsidR="00F245B3">
        <w:rPr>
          <w:color w:val="000000" w:themeColor="text1"/>
        </w:rPr>
        <w:t xml:space="preserve"> </w:t>
      </w:r>
      <w:r w:rsidR="00F620A9">
        <w:rPr>
          <w:color w:val="000000" w:themeColor="text1"/>
        </w:rPr>
        <w:t>and</w:t>
      </w:r>
      <w:r w:rsidR="007A1366">
        <w:rPr>
          <w:color w:val="000000" w:themeColor="text1"/>
        </w:rPr>
        <w:t xml:space="preserve"> the</w:t>
      </w:r>
      <w:r w:rsidR="00F620A9">
        <w:rPr>
          <w:color w:val="000000" w:themeColor="text1"/>
        </w:rPr>
        <w:t xml:space="preserve"> </w:t>
      </w:r>
      <w:r w:rsidR="00DD2B8B">
        <w:rPr>
          <w:color w:val="000000" w:themeColor="text1"/>
        </w:rPr>
        <w:t>GSECAG</w:t>
      </w:r>
      <w:r w:rsidR="00F245B3">
        <w:rPr>
          <w:color w:val="000000" w:themeColor="text1"/>
        </w:rPr>
        <w:t xml:space="preserve">. </w:t>
      </w:r>
      <w:r w:rsidR="00962F77">
        <w:rPr>
          <w:color w:val="000000" w:themeColor="text1"/>
        </w:rPr>
        <w:t xml:space="preserve">The </w:t>
      </w:r>
      <w:r w:rsidR="008E69BB">
        <w:rPr>
          <w:color w:val="000000" w:themeColor="text1"/>
        </w:rPr>
        <w:t xml:space="preserve">Terms of Reference </w:t>
      </w:r>
      <w:r w:rsidR="00CD0CAA">
        <w:rPr>
          <w:color w:val="000000" w:themeColor="text1"/>
        </w:rPr>
        <w:t>(</w:t>
      </w:r>
      <w:proofErr w:type="spellStart"/>
      <w:r w:rsidR="00CD0CAA">
        <w:rPr>
          <w:color w:val="000000" w:themeColor="text1"/>
        </w:rPr>
        <w:t>ToR</w:t>
      </w:r>
      <w:proofErr w:type="spellEnd"/>
      <w:r w:rsidR="00CD0CAA">
        <w:rPr>
          <w:color w:val="000000" w:themeColor="text1"/>
        </w:rPr>
        <w:t xml:space="preserve">) for </w:t>
      </w:r>
      <w:r w:rsidR="008E69BB">
        <w:rPr>
          <w:color w:val="000000" w:themeColor="text1"/>
        </w:rPr>
        <w:t>each stage are listed below.</w:t>
      </w:r>
    </w:p>
    <w:p w14:paraId="3A5E5EE7" w14:textId="6397DD9E" w:rsidR="00D576FF" w:rsidRPr="00B7081F" w:rsidRDefault="00D576FF" w:rsidP="000A3D5C">
      <w:pPr>
        <w:spacing w:before="120" w:after="120" w:line="276" w:lineRule="auto"/>
        <w:rPr>
          <w:b/>
          <w:bCs/>
          <w:color w:val="000000" w:themeColor="text1"/>
        </w:rPr>
      </w:pPr>
      <w:r w:rsidRPr="00B7081F">
        <w:rPr>
          <w:b/>
          <w:bCs/>
          <w:color w:val="000000" w:themeColor="text1"/>
        </w:rPr>
        <w:lastRenderedPageBreak/>
        <w:t xml:space="preserve">Stage </w:t>
      </w:r>
      <w:r w:rsidR="00B7081F">
        <w:rPr>
          <w:b/>
          <w:bCs/>
          <w:color w:val="000000" w:themeColor="text1"/>
        </w:rPr>
        <w:t>1</w:t>
      </w:r>
    </w:p>
    <w:p w14:paraId="1FB10C96" w14:textId="74B6EF27" w:rsidR="00D576FF" w:rsidRDefault="00D576FF" w:rsidP="000A3D5C">
      <w:pPr>
        <w:pStyle w:val="ListParagraph"/>
        <w:numPr>
          <w:ilvl w:val="0"/>
          <w:numId w:val="23"/>
        </w:numPr>
        <w:spacing w:before="120" w:after="120" w:line="276" w:lineRule="auto"/>
        <w:rPr>
          <w:color w:val="000000" w:themeColor="text1"/>
        </w:rPr>
      </w:pPr>
      <w:r w:rsidRPr="00D576FF">
        <w:rPr>
          <w:color w:val="000000" w:themeColor="text1"/>
        </w:rPr>
        <w:t xml:space="preserve">Analyse the role in clinical practice of </w:t>
      </w:r>
      <w:r w:rsidR="00256F08">
        <w:rPr>
          <w:color w:val="000000" w:themeColor="text1"/>
        </w:rPr>
        <w:t>SGB</w:t>
      </w:r>
      <w:r w:rsidRPr="00D576FF">
        <w:rPr>
          <w:color w:val="000000" w:themeColor="text1"/>
        </w:rPr>
        <w:t xml:space="preserve"> currently listed on the </w:t>
      </w:r>
      <w:r w:rsidR="006F266D">
        <w:rPr>
          <w:color w:val="000000" w:themeColor="text1"/>
        </w:rPr>
        <w:t>PL,</w:t>
      </w:r>
      <w:r w:rsidRPr="00D576FF">
        <w:rPr>
          <w:color w:val="000000" w:themeColor="text1"/>
        </w:rPr>
        <w:t xml:space="preserve"> including future trends in clinical use.</w:t>
      </w:r>
    </w:p>
    <w:p w14:paraId="201B4F88" w14:textId="6339F8F8" w:rsidR="00D576FF" w:rsidRDefault="00D576FF" w:rsidP="000A3D5C">
      <w:pPr>
        <w:pStyle w:val="ListParagraph"/>
        <w:numPr>
          <w:ilvl w:val="0"/>
          <w:numId w:val="23"/>
        </w:numPr>
        <w:spacing w:before="120" w:after="120" w:line="276" w:lineRule="auto"/>
        <w:rPr>
          <w:color w:val="000000" w:themeColor="text1"/>
        </w:rPr>
      </w:pPr>
      <w:r w:rsidRPr="00D576FF">
        <w:rPr>
          <w:color w:val="000000" w:themeColor="text1"/>
        </w:rPr>
        <w:t xml:space="preserve">Review the evidence base for the use of </w:t>
      </w:r>
      <w:r w:rsidR="00256F08">
        <w:rPr>
          <w:color w:val="000000" w:themeColor="text1"/>
        </w:rPr>
        <w:t>SGB</w:t>
      </w:r>
      <w:r w:rsidRPr="00D576FF">
        <w:rPr>
          <w:color w:val="000000" w:themeColor="text1"/>
        </w:rPr>
        <w:t xml:space="preserve"> currently listed on the PL, with a focus on comparative clinical effectiveness and their clinical benefits.</w:t>
      </w:r>
    </w:p>
    <w:p w14:paraId="77CD524D" w14:textId="51BE57A8" w:rsidR="00D576FF" w:rsidRDefault="00D576FF" w:rsidP="000A3D5C">
      <w:pPr>
        <w:pStyle w:val="ListParagraph"/>
        <w:numPr>
          <w:ilvl w:val="0"/>
          <w:numId w:val="23"/>
        </w:numPr>
        <w:spacing w:before="120" w:after="120" w:line="276" w:lineRule="auto"/>
        <w:rPr>
          <w:color w:val="000000" w:themeColor="text1"/>
        </w:rPr>
      </w:pPr>
      <w:r w:rsidRPr="00D576FF">
        <w:rPr>
          <w:color w:val="000000" w:themeColor="text1"/>
        </w:rPr>
        <w:t xml:space="preserve">Consider the current utilisation of </w:t>
      </w:r>
      <w:r w:rsidR="00256F08">
        <w:rPr>
          <w:color w:val="000000" w:themeColor="text1"/>
        </w:rPr>
        <w:t>SGB</w:t>
      </w:r>
      <w:r w:rsidRPr="00D576FF">
        <w:rPr>
          <w:color w:val="000000" w:themeColor="text1"/>
        </w:rPr>
        <w:t xml:space="preserve"> listed on the PL.</w:t>
      </w:r>
    </w:p>
    <w:p w14:paraId="486C4B4D" w14:textId="78525E8E" w:rsidR="00D576FF" w:rsidRPr="00D576FF" w:rsidRDefault="00D576FF" w:rsidP="000A3D5C">
      <w:pPr>
        <w:pStyle w:val="ListParagraph"/>
        <w:numPr>
          <w:ilvl w:val="0"/>
          <w:numId w:val="23"/>
        </w:numPr>
        <w:spacing w:before="120" w:after="120" w:line="276" w:lineRule="auto"/>
        <w:rPr>
          <w:color w:val="000000" w:themeColor="text1"/>
        </w:rPr>
      </w:pPr>
      <w:r w:rsidRPr="00D576FF">
        <w:rPr>
          <w:color w:val="000000" w:themeColor="text1"/>
        </w:rPr>
        <w:t xml:space="preserve">Based on the findings of </w:t>
      </w:r>
      <w:proofErr w:type="spellStart"/>
      <w:r w:rsidR="00CD0CAA">
        <w:rPr>
          <w:color w:val="000000" w:themeColor="text1"/>
        </w:rPr>
        <w:t>ToR</w:t>
      </w:r>
      <w:proofErr w:type="spellEnd"/>
      <w:r w:rsidRPr="00D576FF">
        <w:rPr>
          <w:color w:val="000000" w:themeColor="text1"/>
        </w:rPr>
        <w:t xml:space="preserve"> 1, 2 and 3, advise if </w:t>
      </w:r>
      <w:r w:rsidR="00256F08">
        <w:rPr>
          <w:color w:val="000000" w:themeColor="text1"/>
        </w:rPr>
        <w:t>SGB</w:t>
      </w:r>
      <w:r w:rsidRPr="00D576FF">
        <w:rPr>
          <w:color w:val="000000" w:themeColor="text1"/>
        </w:rPr>
        <w:t xml:space="preserve"> meet the eligibility criteria for listing on the PL. Findings regarding eligibility may differ between products and clinical circumstances.</w:t>
      </w:r>
    </w:p>
    <w:p w14:paraId="7D91A9B4" w14:textId="2086B9B7" w:rsidR="00D576FF" w:rsidRPr="00B7081F" w:rsidRDefault="00D576FF" w:rsidP="000A3D5C">
      <w:pPr>
        <w:spacing w:before="120" w:after="120" w:line="276" w:lineRule="auto"/>
        <w:rPr>
          <w:b/>
          <w:bCs/>
          <w:color w:val="000000" w:themeColor="text1"/>
        </w:rPr>
      </w:pPr>
      <w:r w:rsidRPr="00B7081F">
        <w:rPr>
          <w:b/>
          <w:bCs/>
          <w:color w:val="000000" w:themeColor="text1"/>
        </w:rPr>
        <w:t xml:space="preserve">Stage </w:t>
      </w:r>
      <w:r w:rsidR="00B7081F">
        <w:rPr>
          <w:b/>
          <w:bCs/>
          <w:color w:val="000000" w:themeColor="text1"/>
        </w:rPr>
        <w:t>2</w:t>
      </w:r>
    </w:p>
    <w:p w14:paraId="2589B370" w14:textId="6671504E" w:rsidR="00762679" w:rsidRPr="00B7081F" w:rsidRDefault="00D576FF" w:rsidP="000A3D5C">
      <w:pPr>
        <w:pStyle w:val="ListParagraph"/>
        <w:numPr>
          <w:ilvl w:val="0"/>
          <w:numId w:val="23"/>
        </w:numPr>
        <w:spacing w:before="120" w:after="120" w:line="276" w:lineRule="auto"/>
        <w:rPr>
          <w:color w:val="000000" w:themeColor="text1"/>
        </w:rPr>
      </w:pPr>
      <w:r w:rsidRPr="00D576FF">
        <w:rPr>
          <w:color w:val="000000" w:themeColor="text1"/>
        </w:rPr>
        <w:t xml:space="preserve">Subject to the findings of </w:t>
      </w:r>
      <w:proofErr w:type="spellStart"/>
      <w:r w:rsidR="00CD0CAA">
        <w:rPr>
          <w:color w:val="000000" w:themeColor="text1"/>
        </w:rPr>
        <w:t>ToR</w:t>
      </w:r>
      <w:proofErr w:type="spellEnd"/>
      <w:r w:rsidRPr="00D576FF">
        <w:rPr>
          <w:color w:val="000000" w:themeColor="text1"/>
        </w:rPr>
        <w:t xml:space="preserve"> 4, review the cost-effectiveness of </w:t>
      </w:r>
      <w:r w:rsidR="00256F08">
        <w:rPr>
          <w:color w:val="000000" w:themeColor="text1"/>
        </w:rPr>
        <w:t>SGB</w:t>
      </w:r>
      <w:r w:rsidRPr="00D576FF">
        <w:rPr>
          <w:color w:val="000000" w:themeColor="text1"/>
        </w:rPr>
        <w:t xml:space="preserve"> currently listed on the PL.</w:t>
      </w:r>
    </w:p>
    <w:p w14:paraId="1A4C15DF" w14:textId="20E681F5" w:rsidR="00A24902" w:rsidRPr="00F33330" w:rsidRDefault="00A24902" w:rsidP="000A3D5C">
      <w:pPr>
        <w:pStyle w:val="Heading2"/>
        <w:spacing w:line="276" w:lineRule="auto"/>
        <w:rPr>
          <w:b w:val="0"/>
          <w:sz w:val="36"/>
        </w:rPr>
      </w:pPr>
      <w:bookmarkStart w:id="13" w:name="_Toc224302051"/>
      <w:bookmarkStart w:id="14" w:name="_Toc227235492"/>
      <w:r w:rsidRPr="00F33330">
        <w:rPr>
          <w:sz w:val="36"/>
        </w:rPr>
        <w:t>Sources</w:t>
      </w:r>
      <w:r w:rsidR="002965C0">
        <w:rPr>
          <w:sz w:val="36"/>
        </w:rPr>
        <w:t xml:space="preserve"> of evidence</w:t>
      </w:r>
      <w:bookmarkEnd w:id="13"/>
      <w:bookmarkEnd w:id="14"/>
    </w:p>
    <w:p w14:paraId="73EFD12B" w14:textId="12C09704" w:rsidR="00A24902" w:rsidRPr="00DA1C5A" w:rsidRDefault="000B26D5" w:rsidP="000A3D5C">
      <w:pPr>
        <w:spacing w:before="120" w:after="120" w:line="276" w:lineRule="auto"/>
        <w:rPr>
          <w:color w:val="000000" w:themeColor="text1"/>
        </w:rPr>
      </w:pPr>
      <w:r>
        <w:rPr>
          <w:color w:val="000000" w:themeColor="text1"/>
        </w:rPr>
        <w:t xml:space="preserve">The review considered multiple sources of evidence. </w:t>
      </w:r>
      <w:r w:rsidR="00A24902" w:rsidRPr="00DA1C5A">
        <w:rPr>
          <w:color w:val="000000" w:themeColor="text1"/>
        </w:rPr>
        <w:t>A description of each source is in the table below.</w:t>
      </w:r>
    </w:p>
    <w:tbl>
      <w:tblPr>
        <w:tblStyle w:val="DepartmentofHealthtable"/>
        <w:tblW w:w="9072" w:type="dxa"/>
        <w:tblLook w:val="04A0" w:firstRow="1" w:lastRow="0" w:firstColumn="1" w:lastColumn="0" w:noHBand="0" w:noVBand="1"/>
        <w:tblCaption w:val="Sources and description"/>
        <w:tblDescription w:val="Table shows multiple sources of evidence considered in the review and a description of each source."/>
      </w:tblPr>
      <w:tblGrid>
        <w:gridCol w:w="3402"/>
        <w:gridCol w:w="5670"/>
      </w:tblGrid>
      <w:tr w:rsidR="001C12F4" w14:paraId="21DC50A3" w14:textId="77777777" w:rsidTr="409D12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5238518F" w14:textId="77777777" w:rsidR="00A24902" w:rsidRPr="00676016" w:rsidRDefault="00A24902">
            <w:pPr>
              <w:pStyle w:val="TableHeaderWhite"/>
            </w:pPr>
            <w:r w:rsidRPr="00676016">
              <w:t>Source</w:t>
            </w:r>
          </w:p>
        </w:tc>
        <w:tc>
          <w:tcPr>
            <w:tcW w:w="5670" w:type="dxa"/>
          </w:tcPr>
          <w:p w14:paraId="559DCD5D" w14:textId="77777777" w:rsidR="00A24902" w:rsidRPr="00676016" w:rsidRDefault="00A24902">
            <w:pPr>
              <w:pStyle w:val="TableHeader"/>
              <w:cnfStyle w:val="100000000000" w:firstRow="1" w:lastRow="0" w:firstColumn="0" w:lastColumn="0" w:oddVBand="0" w:evenVBand="0" w:oddHBand="0" w:evenHBand="0" w:firstRowFirstColumn="0" w:firstRowLastColumn="0" w:lastRowFirstColumn="0" w:lastRowLastColumn="0"/>
            </w:pPr>
            <w:r w:rsidRPr="00676016">
              <w:t>Description</w:t>
            </w:r>
          </w:p>
        </w:tc>
      </w:tr>
      <w:tr w:rsidR="001C12F4" w14:paraId="66261EA4" w14:textId="77777777" w:rsidTr="409D1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C0E4D9E" w14:textId="019A1FCF" w:rsidR="00A24902" w:rsidRPr="00676016" w:rsidRDefault="00A24902" w:rsidP="000A3D5C">
            <w:pPr>
              <w:spacing w:before="120" w:after="120"/>
              <w:rPr>
                <w:szCs w:val="22"/>
              </w:rPr>
            </w:pPr>
            <w:hyperlink r:id="rId21" w:history="1">
              <w:r w:rsidRPr="005D1EE6">
                <w:rPr>
                  <w:rStyle w:val="Hyperlink"/>
                  <w:szCs w:val="22"/>
                </w:rPr>
                <w:t>External HTA</w:t>
              </w:r>
              <w:r w:rsidR="00CD0CAA" w:rsidRPr="005D1EE6">
                <w:rPr>
                  <w:rStyle w:val="Hyperlink"/>
                  <w:szCs w:val="22"/>
                </w:rPr>
                <w:t xml:space="preserve"> </w:t>
              </w:r>
              <w:r w:rsidRPr="005D1EE6">
                <w:rPr>
                  <w:rStyle w:val="Hyperlink"/>
                  <w:szCs w:val="22"/>
                </w:rPr>
                <w:t>consultant report: St</w:t>
              </w:r>
              <w:r w:rsidR="00F7155E" w:rsidRPr="005D1EE6">
                <w:rPr>
                  <w:rStyle w:val="Hyperlink"/>
                  <w:szCs w:val="22"/>
                </w:rPr>
                <w:t>age 1</w:t>
              </w:r>
            </w:hyperlink>
            <w:r w:rsidR="007A2F5B">
              <w:rPr>
                <w:szCs w:val="22"/>
              </w:rPr>
              <w:t xml:space="preserve"> (March 2023)</w:t>
            </w:r>
          </w:p>
        </w:tc>
        <w:tc>
          <w:tcPr>
            <w:tcW w:w="5670" w:type="dxa"/>
          </w:tcPr>
          <w:p w14:paraId="6BC4560D" w14:textId="14B9E2CF" w:rsidR="0071238B" w:rsidRPr="00676016" w:rsidRDefault="005E6FA7" w:rsidP="005E6FA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676016">
              <w:rPr>
                <w:sz w:val="22"/>
                <w:szCs w:val="22"/>
              </w:rPr>
              <w:t>Review</w:t>
            </w:r>
            <w:r w:rsidR="00AE5BE3">
              <w:rPr>
                <w:sz w:val="22"/>
                <w:szCs w:val="22"/>
              </w:rPr>
              <w:t xml:space="preserve"> of</w:t>
            </w:r>
            <w:r w:rsidRPr="00676016">
              <w:rPr>
                <w:sz w:val="22"/>
                <w:szCs w:val="22"/>
              </w:rPr>
              <w:t xml:space="preserve"> clinical evidence for </w:t>
            </w:r>
            <w:r w:rsidR="00134EA4">
              <w:rPr>
                <w:sz w:val="22"/>
                <w:szCs w:val="22"/>
              </w:rPr>
              <w:t>SGB</w:t>
            </w:r>
            <w:r w:rsidRPr="00676016">
              <w:rPr>
                <w:sz w:val="22"/>
                <w:szCs w:val="22"/>
              </w:rPr>
              <w:t>. Include</w:t>
            </w:r>
            <w:r w:rsidR="00CD0CAA">
              <w:rPr>
                <w:sz w:val="22"/>
                <w:szCs w:val="22"/>
              </w:rPr>
              <w:t>d</w:t>
            </w:r>
            <w:r w:rsidRPr="00676016">
              <w:rPr>
                <w:sz w:val="22"/>
                <w:szCs w:val="22"/>
              </w:rPr>
              <w:t xml:space="preserve"> desktop review, stakeholder input, sponsor submissions, data analysis and a systematic review. </w:t>
            </w:r>
          </w:p>
        </w:tc>
      </w:tr>
      <w:tr w:rsidR="001C12F4" w14:paraId="7EE535B6" w14:textId="77777777" w:rsidTr="409D1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EA22D08" w14:textId="439A090D" w:rsidR="00F7155E" w:rsidRPr="00676016" w:rsidRDefault="00F7155E" w:rsidP="000A3D5C">
            <w:pPr>
              <w:spacing w:before="120" w:after="120"/>
              <w:rPr>
                <w:szCs w:val="22"/>
              </w:rPr>
            </w:pPr>
            <w:hyperlink r:id="rId22" w:history="1">
              <w:r w:rsidRPr="005D1EE6">
                <w:rPr>
                  <w:rStyle w:val="Hyperlink"/>
                  <w:szCs w:val="22"/>
                </w:rPr>
                <w:t>External HTA consultant report: Stage 2</w:t>
              </w:r>
            </w:hyperlink>
            <w:r w:rsidRPr="00676016">
              <w:rPr>
                <w:szCs w:val="22"/>
              </w:rPr>
              <w:t xml:space="preserve"> </w:t>
            </w:r>
            <w:r w:rsidR="00297975">
              <w:rPr>
                <w:szCs w:val="22"/>
              </w:rPr>
              <w:t>(August 2025)</w:t>
            </w:r>
          </w:p>
        </w:tc>
        <w:tc>
          <w:tcPr>
            <w:tcW w:w="5670" w:type="dxa"/>
          </w:tcPr>
          <w:p w14:paraId="6EA65A5B" w14:textId="2709FB77" w:rsidR="00F7155E" w:rsidRPr="00676016" w:rsidRDefault="008C69A3" w:rsidP="002131C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rPr>
            </w:pPr>
            <w:r w:rsidRPr="00676016">
              <w:rPr>
                <w:sz w:val="22"/>
                <w:szCs w:val="22"/>
              </w:rPr>
              <w:t>Assesse</w:t>
            </w:r>
            <w:r w:rsidR="007A064E">
              <w:rPr>
                <w:sz w:val="22"/>
                <w:szCs w:val="22"/>
              </w:rPr>
              <w:t>d</w:t>
            </w:r>
            <w:r w:rsidRPr="00676016">
              <w:rPr>
                <w:sz w:val="22"/>
                <w:szCs w:val="22"/>
              </w:rPr>
              <w:t xml:space="preserve"> </w:t>
            </w:r>
            <w:r w:rsidR="00FD030F">
              <w:rPr>
                <w:sz w:val="22"/>
                <w:szCs w:val="22"/>
              </w:rPr>
              <w:t xml:space="preserve">comparative </w:t>
            </w:r>
            <w:r w:rsidRPr="00676016">
              <w:rPr>
                <w:sz w:val="22"/>
                <w:szCs w:val="22"/>
              </w:rPr>
              <w:t xml:space="preserve">cost-effectiveness and provides options for benefit setting. </w:t>
            </w:r>
          </w:p>
        </w:tc>
      </w:tr>
      <w:tr w:rsidR="001C12F4" w14:paraId="640650A5" w14:textId="77777777" w:rsidTr="409D1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F726566" w14:textId="35EAABCB" w:rsidR="00A24902" w:rsidRPr="00676016" w:rsidRDefault="00672B29" w:rsidP="000A3D5C">
            <w:pPr>
              <w:spacing w:before="120" w:after="120"/>
              <w:rPr>
                <w:szCs w:val="22"/>
              </w:rPr>
            </w:pPr>
            <w:r w:rsidRPr="00676016">
              <w:rPr>
                <w:szCs w:val="22"/>
              </w:rPr>
              <w:t>Stakeholder consultation</w:t>
            </w:r>
            <w:r w:rsidR="00377B51">
              <w:rPr>
                <w:szCs w:val="22"/>
              </w:rPr>
              <w:t xml:space="preserve"> (throughout the review)</w:t>
            </w:r>
          </w:p>
        </w:tc>
        <w:tc>
          <w:tcPr>
            <w:tcW w:w="5670" w:type="dxa"/>
          </w:tcPr>
          <w:p w14:paraId="42A8E281" w14:textId="6731FCC2" w:rsidR="002D7D7D" w:rsidRPr="00676016" w:rsidRDefault="008C69A3" w:rsidP="002131C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676016">
              <w:rPr>
                <w:sz w:val="22"/>
                <w:szCs w:val="22"/>
              </w:rPr>
              <w:t>Stakeholders</w:t>
            </w:r>
            <w:r w:rsidR="00915CB5">
              <w:rPr>
                <w:sz w:val="22"/>
                <w:szCs w:val="22"/>
              </w:rPr>
              <w:t xml:space="preserve"> were invited to provide</w:t>
            </w:r>
            <w:r w:rsidRPr="00676016">
              <w:rPr>
                <w:sz w:val="22"/>
                <w:szCs w:val="22"/>
              </w:rPr>
              <w:t xml:space="preserve"> information </w:t>
            </w:r>
            <w:r w:rsidR="00915CB5">
              <w:rPr>
                <w:sz w:val="22"/>
                <w:szCs w:val="22"/>
              </w:rPr>
              <w:t xml:space="preserve">to inform </w:t>
            </w:r>
            <w:r w:rsidR="00D97300">
              <w:rPr>
                <w:sz w:val="22"/>
                <w:szCs w:val="22"/>
              </w:rPr>
              <w:t>stage 1 and s</w:t>
            </w:r>
            <w:r w:rsidR="00B11067">
              <w:rPr>
                <w:sz w:val="22"/>
                <w:szCs w:val="22"/>
              </w:rPr>
              <w:t>t</w:t>
            </w:r>
            <w:r w:rsidR="00D97300">
              <w:rPr>
                <w:sz w:val="22"/>
                <w:szCs w:val="22"/>
              </w:rPr>
              <w:t>age 2 as well as</w:t>
            </w:r>
            <w:r w:rsidR="002B0E8B" w:rsidRPr="00676016">
              <w:rPr>
                <w:sz w:val="22"/>
                <w:szCs w:val="22"/>
              </w:rPr>
              <w:t xml:space="preserve"> </w:t>
            </w:r>
            <w:r w:rsidR="00B71318" w:rsidRPr="00676016">
              <w:rPr>
                <w:sz w:val="22"/>
                <w:szCs w:val="22"/>
              </w:rPr>
              <w:t>provid</w:t>
            </w:r>
            <w:r w:rsidR="00D97300">
              <w:rPr>
                <w:sz w:val="22"/>
                <w:szCs w:val="22"/>
              </w:rPr>
              <w:t xml:space="preserve">e </w:t>
            </w:r>
            <w:r w:rsidR="00A365FC" w:rsidRPr="00676016">
              <w:rPr>
                <w:sz w:val="22"/>
                <w:szCs w:val="22"/>
              </w:rPr>
              <w:t>feedback</w:t>
            </w:r>
            <w:r w:rsidR="002B0E8B" w:rsidRPr="00676016">
              <w:rPr>
                <w:sz w:val="22"/>
                <w:szCs w:val="22"/>
              </w:rPr>
              <w:t xml:space="preserve"> on draft </w:t>
            </w:r>
            <w:r w:rsidR="00D97300">
              <w:rPr>
                <w:sz w:val="22"/>
                <w:szCs w:val="22"/>
              </w:rPr>
              <w:t xml:space="preserve">HTA consultant </w:t>
            </w:r>
            <w:r w:rsidR="002B0E8B" w:rsidRPr="00676016">
              <w:rPr>
                <w:sz w:val="22"/>
                <w:szCs w:val="22"/>
              </w:rPr>
              <w:t xml:space="preserve">reports. Input included </w:t>
            </w:r>
            <w:r w:rsidR="00D97300">
              <w:rPr>
                <w:sz w:val="22"/>
                <w:szCs w:val="22"/>
              </w:rPr>
              <w:t xml:space="preserve">formal </w:t>
            </w:r>
            <w:r w:rsidR="002B0E8B" w:rsidRPr="00676016">
              <w:rPr>
                <w:sz w:val="22"/>
                <w:szCs w:val="22"/>
              </w:rPr>
              <w:t xml:space="preserve">submissions, </w:t>
            </w:r>
            <w:r w:rsidR="0017118F" w:rsidRPr="00676016">
              <w:rPr>
                <w:sz w:val="22"/>
                <w:szCs w:val="22"/>
              </w:rPr>
              <w:t>advice from clinical experts</w:t>
            </w:r>
            <w:r w:rsidR="002B0E8B" w:rsidRPr="00676016">
              <w:rPr>
                <w:sz w:val="22"/>
                <w:szCs w:val="22"/>
              </w:rPr>
              <w:t xml:space="preserve">, </w:t>
            </w:r>
            <w:r w:rsidR="00D46343" w:rsidRPr="00676016">
              <w:rPr>
                <w:sz w:val="22"/>
                <w:szCs w:val="22"/>
              </w:rPr>
              <w:t xml:space="preserve">communications about compliance issues and relevant literature. </w:t>
            </w:r>
          </w:p>
        </w:tc>
      </w:tr>
      <w:tr w:rsidR="001C12F4" w14:paraId="5E6FE3EE" w14:textId="77777777" w:rsidTr="409D1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AD0B110" w14:textId="3ECAFBC2" w:rsidR="009F3F8F" w:rsidRPr="00676016" w:rsidRDefault="5B603FA3" w:rsidP="000A3D5C">
            <w:pPr>
              <w:spacing w:before="120" w:after="120"/>
            </w:pPr>
            <w:r>
              <w:t>Expert clinical advice</w:t>
            </w:r>
            <w:r w:rsidR="7DEF6209">
              <w:t xml:space="preserve"> (throughout the review)</w:t>
            </w:r>
          </w:p>
        </w:tc>
        <w:tc>
          <w:tcPr>
            <w:tcW w:w="5670" w:type="dxa"/>
          </w:tcPr>
          <w:p w14:paraId="53257114" w14:textId="4F8578A7" w:rsidR="009F3F8F" w:rsidRPr="00676016" w:rsidRDefault="009F3F8F" w:rsidP="002131C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Expert clinical advice on </w:t>
            </w:r>
            <w:r w:rsidR="00377B51">
              <w:rPr>
                <w:sz w:val="22"/>
                <w:szCs w:val="22"/>
              </w:rPr>
              <w:t>the clinical use of SGB</w:t>
            </w:r>
            <w:r w:rsidR="006F3231">
              <w:rPr>
                <w:sz w:val="22"/>
                <w:szCs w:val="22"/>
              </w:rPr>
              <w:t xml:space="preserve"> and </w:t>
            </w:r>
            <w:r w:rsidR="00377B51">
              <w:rPr>
                <w:sz w:val="22"/>
                <w:szCs w:val="22"/>
              </w:rPr>
              <w:t>impacts of the condition on claims.</w:t>
            </w:r>
          </w:p>
        </w:tc>
      </w:tr>
      <w:tr w:rsidR="001C12F4" w14:paraId="6D0E7C9B" w14:textId="77777777" w:rsidTr="409D1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150A55A" w14:textId="617D44EA" w:rsidR="00A24902" w:rsidRPr="00676016" w:rsidRDefault="001C5E77" w:rsidP="000A3D5C">
            <w:pPr>
              <w:spacing w:before="120" w:after="120"/>
              <w:rPr>
                <w:szCs w:val="22"/>
              </w:rPr>
            </w:pPr>
            <w:r w:rsidRPr="00676016">
              <w:rPr>
                <w:szCs w:val="22"/>
              </w:rPr>
              <w:t>Internal d</w:t>
            </w:r>
            <w:r w:rsidR="00672B29" w:rsidRPr="00676016">
              <w:rPr>
                <w:szCs w:val="22"/>
              </w:rPr>
              <w:t>ata analysis</w:t>
            </w:r>
          </w:p>
        </w:tc>
        <w:tc>
          <w:tcPr>
            <w:tcW w:w="5670" w:type="dxa"/>
          </w:tcPr>
          <w:p w14:paraId="6DE45E9C" w14:textId="28067389" w:rsidR="00A24902" w:rsidRPr="00676016" w:rsidRDefault="0017118F" w:rsidP="002131C3">
            <w:pPr>
              <w:spacing w:before="120" w:after="120"/>
              <w:cnfStyle w:val="000000100000" w:firstRow="0" w:lastRow="0" w:firstColumn="0" w:lastColumn="0" w:oddVBand="0" w:evenVBand="0" w:oddHBand="1" w:evenHBand="0" w:firstRowFirstColumn="0" w:firstRowLastColumn="0" w:lastRowFirstColumn="0" w:lastRowLastColumn="0"/>
              <w:rPr>
                <w:szCs w:val="22"/>
              </w:rPr>
            </w:pPr>
            <w:r w:rsidRPr="00676016">
              <w:rPr>
                <w:szCs w:val="22"/>
              </w:rPr>
              <w:t>R</w:t>
            </w:r>
            <w:r w:rsidR="006D02AF" w:rsidRPr="00676016">
              <w:rPr>
                <w:szCs w:val="22"/>
              </w:rPr>
              <w:t>eview</w:t>
            </w:r>
            <w:r w:rsidR="00AF3F67">
              <w:rPr>
                <w:szCs w:val="22"/>
              </w:rPr>
              <w:t xml:space="preserve"> of</w:t>
            </w:r>
            <w:r w:rsidR="006D02AF" w:rsidRPr="00676016">
              <w:rPr>
                <w:szCs w:val="22"/>
              </w:rPr>
              <w:t xml:space="preserve"> </w:t>
            </w:r>
            <w:r w:rsidR="00F608D5" w:rsidRPr="00676016">
              <w:rPr>
                <w:szCs w:val="22"/>
              </w:rPr>
              <w:t xml:space="preserve">Hospital </w:t>
            </w:r>
            <w:proofErr w:type="spellStart"/>
            <w:r w:rsidR="00F608D5" w:rsidRPr="00676016">
              <w:rPr>
                <w:szCs w:val="22"/>
              </w:rPr>
              <w:t>Casemix</w:t>
            </w:r>
            <w:proofErr w:type="spellEnd"/>
            <w:r w:rsidR="00F608D5" w:rsidRPr="00676016">
              <w:rPr>
                <w:szCs w:val="22"/>
              </w:rPr>
              <w:t xml:space="preserve"> Protocol </w:t>
            </w:r>
            <w:r w:rsidR="0092498F">
              <w:rPr>
                <w:szCs w:val="22"/>
              </w:rPr>
              <w:t xml:space="preserve">(HCP1) </w:t>
            </w:r>
            <w:r w:rsidR="00F608D5" w:rsidRPr="00676016">
              <w:rPr>
                <w:szCs w:val="22"/>
              </w:rPr>
              <w:t xml:space="preserve">data </w:t>
            </w:r>
            <w:r w:rsidR="00F75BAE" w:rsidRPr="00676016">
              <w:rPr>
                <w:szCs w:val="22"/>
              </w:rPr>
              <w:t xml:space="preserve">on </w:t>
            </w:r>
            <w:r w:rsidR="00AF3F67">
              <w:rPr>
                <w:szCs w:val="22"/>
              </w:rPr>
              <w:t xml:space="preserve">total number of </w:t>
            </w:r>
            <w:r w:rsidR="0092498F">
              <w:rPr>
                <w:szCs w:val="22"/>
              </w:rPr>
              <w:t>SGB</w:t>
            </w:r>
            <w:r w:rsidR="00AF3F67">
              <w:rPr>
                <w:szCs w:val="22"/>
              </w:rPr>
              <w:t xml:space="preserve"> </w:t>
            </w:r>
            <w:r w:rsidR="0092498F" w:rsidRPr="00676016">
              <w:rPr>
                <w:szCs w:val="22"/>
              </w:rPr>
              <w:t>claim</w:t>
            </w:r>
            <w:r w:rsidR="0092498F">
              <w:rPr>
                <w:szCs w:val="22"/>
              </w:rPr>
              <w:t xml:space="preserve">ed, co-claimed devices </w:t>
            </w:r>
            <w:r w:rsidR="00AF3F67">
              <w:rPr>
                <w:szCs w:val="22"/>
              </w:rPr>
              <w:t>and number of separations</w:t>
            </w:r>
            <w:r w:rsidR="0092498F">
              <w:rPr>
                <w:szCs w:val="22"/>
              </w:rPr>
              <w:t xml:space="preserve"> where SGB were claimed</w:t>
            </w:r>
            <w:r w:rsidR="00AF3F67">
              <w:rPr>
                <w:szCs w:val="22"/>
              </w:rPr>
              <w:t>.</w:t>
            </w:r>
          </w:p>
        </w:tc>
      </w:tr>
      <w:tr w:rsidR="001C12F4" w14:paraId="142DA5DA" w14:textId="77777777" w:rsidTr="409D1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FCF42EA" w14:textId="1ED631F0" w:rsidR="00A24902" w:rsidRPr="00676016" w:rsidRDefault="004B10DC" w:rsidP="000A3D5C">
            <w:pPr>
              <w:spacing w:before="120" w:after="120"/>
              <w:rPr>
                <w:szCs w:val="22"/>
              </w:rPr>
            </w:pPr>
            <w:r w:rsidRPr="00676016">
              <w:rPr>
                <w:szCs w:val="22"/>
              </w:rPr>
              <w:t>MDHTAC and ECAG advice</w:t>
            </w:r>
            <w:r w:rsidR="00377B51">
              <w:rPr>
                <w:szCs w:val="22"/>
              </w:rPr>
              <w:t xml:space="preserve"> (throughout the review)</w:t>
            </w:r>
          </w:p>
        </w:tc>
        <w:tc>
          <w:tcPr>
            <w:tcW w:w="5670" w:type="dxa"/>
          </w:tcPr>
          <w:p w14:paraId="2D46E78C" w14:textId="5310291C" w:rsidR="00A24902" w:rsidRPr="00676016" w:rsidRDefault="005D1EE6" w:rsidP="002131C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 confidence e</w:t>
            </w:r>
            <w:r w:rsidR="004B10DC" w:rsidRPr="00676016">
              <w:rPr>
                <w:sz w:val="22"/>
                <w:szCs w:val="22"/>
              </w:rPr>
              <w:t>xpert advice on</w:t>
            </w:r>
            <w:r w:rsidR="002131C3" w:rsidRPr="00676016">
              <w:rPr>
                <w:sz w:val="22"/>
                <w:szCs w:val="22"/>
              </w:rPr>
              <w:t xml:space="preserve"> </w:t>
            </w:r>
            <w:r w:rsidR="00235D46" w:rsidRPr="00676016">
              <w:rPr>
                <w:sz w:val="22"/>
                <w:szCs w:val="22"/>
              </w:rPr>
              <w:t xml:space="preserve">stage 1 and stage 2 </w:t>
            </w:r>
            <w:r w:rsidR="009C1AF0">
              <w:rPr>
                <w:sz w:val="22"/>
                <w:szCs w:val="22"/>
              </w:rPr>
              <w:t xml:space="preserve">draft </w:t>
            </w:r>
            <w:r w:rsidR="00235D46" w:rsidRPr="00676016">
              <w:rPr>
                <w:sz w:val="22"/>
                <w:szCs w:val="22"/>
              </w:rPr>
              <w:t>reports</w:t>
            </w:r>
            <w:r w:rsidR="002131C3" w:rsidRPr="00676016">
              <w:rPr>
                <w:sz w:val="22"/>
                <w:szCs w:val="22"/>
              </w:rPr>
              <w:t xml:space="preserve">, </w:t>
            </w:r>
            <w:r w:rsidR="00371887">
              <w:rPr>
                <w:sz w:val="22"/>
                <w:szCs w:val="22"/>
              </w:rPr>
              <w:t>and advice on the review</w:t>
            </w:r>
            <w:r w:rsidR="003033DE" w:rsidRPr="00676016">
              <w:rPr>
                <w:sz w:val="22"/>
                <w:szCs w:val="22"/>
              </w:rPr>
              <w:t xml:space="preserve"> </w:t>
            </w:r>
            <w:r w:rsidR="00235D46" w:rsidRPr="00676016">
              <w:rPr>
                <w:sz w:val="22"/>
                <w:szCs w:val="22"/>
              </w:rPr>
              <w:t>direction</w:t>
            </w:r>
            <w:r w:rsidR="00371887">
              <w:rPr>
                <w:sz w:val="22"/>
                <w:szCs w:val="22"/>
              </w:rPr>
              <w:t xml:space="preserve">. Advice on </w:t>
            </w:r>
            <w:r w:rsidR="009F3F8F">
              <w:rPr>
                <w:sz w:val="22"/>
                <w:szCs w:val="22"/>
              </w:rPr>
              <w:t>outcomes for the department to consider</w:t>
            </w:r>
            <w:r w:rsidR="002131C3" w:rsidRPr="00676016">
              <w:rPr>
                <w:sz w:val="22"/>
                <w:szCs w:val="22"/>
              </w:rPr>
              <w:t xml:space="preserve">. </w:t>
            </w:r>
          </w:p>
        </w:tc>
      </w:tr>
    </w:tbl>
    <w:p w14:paraId="00B1D088" w14:textId="77777777" w:rsidR="003E1505" w:rsidRPr="00702FAE" w:rsidRDefault="003E1505" w:rsidP="00702FAE">
      <w:pPr>
        <w:pStyle w:val="Heading1"/>
        <w:spacing w:line="276" w:lineRule="auto"/>
        <w:rPr>
          <w:b/>
          <w:bCs w:val="0"/>
          <w:sz w:val="44"/>
        </w:rPr>
      </w:pPr>
      <w:bookmarkStart w:id="15" w:name="_Toc197684409"/>
      <w:bookmarkStart w:id="16" w:name="_Toc224302052"/>
      <w:bookmarkStart w:id="17" w:name="_Toc227235493"/>
      <w:r w:rsidRPr="00702FAE">
        <w:rPr>
          <w:b/>
          <w:sz w:val="44"/>
        </w:rPr>
        <w:lastRenderedPageBreak/>
        <w:t>Findings of the review</w:t>
      </w:r>
      <w:bookmarkEnd w:id="15"/>
      <w:bookmarkEnd w:id="16"/>
      <w:bookmarkEnd w:id="17"/>
    </w:p>
    <w:p w14:paraId="4099B25F" w14:textId="564CF921" w:rsidR="003E1505" w:rsidRPr="00451603" w:rsidRDefault="003E1505" w:rsidP="00451603">
      <w:pPr>
        <w:pStyle w:val="Heading2"/>
        <w:rPr>
          <w:iCs w:val="0"/>
          <w:sz w:val="36"/>
        </w:rPr>
      </w:pPr>
      <w:bookmarkStart w:id="18" w:name="_Toc224302053"/>
      <w:bookmarkStart w:id="19" w:name="_Toc227235494"/>
      <w:r w:rsidRPr="00451603">
        <w:rPr>
          <w:iCs w:val="0"/>
          <w:sz w:val="36"/>
        </w:rPr>
        <w:t>Stage 1</w:t>
      </w:r>
      <w:r w:rsidR="00970FB7" w:rsidRPr="00451603">
        <w:rPr>
          <w:iCs w:val="0"/>
          <w:sz w:val="36"/>
        </w:rPr>
        <w:t xml:space="preserve">: clinical review and </w:t>
      </w:r>
      <w:r w:rsidR="00F6553B" w:rsidRPr="00451603">
        <w:rPr>
          <w:iCs w:val="0"/>
          <w:sz w:val="36"/>
        </w:rPr>
        <w:t>PL eligibility</w:t>
      </w:r>
      <w:bookmarkEnd w:id="18"/>
      <w:bookmarkEnd w:id="19"/>
    </w:p>
    <w:p w14:paraId="3831DC8D" w14:textId="77777777" w:rsidR="00210E86" w:rsidRPr="00210E86" w:rsidRDefault="00210E86" w:rsidP="00451603">
      <w:pPr>
        <w:pStyle w:val="Subtitle"/>
      </w:pPr>
      <w:bookmarkStart w:id="20" w:name="_Toc224302054"/>
      <w:bookmarkEnd w:id="12"/>
      <w:r w:rsidRPr="00210E86">
        <w:t>Findings</w:t>
      </w:r>
      <w:bookmarkEnd w:id="20"/>
      <w:r w:rsidRPr="00210E86">
        <w:t xml:space="preserve"> </w:t>
      </w:r>
    </w:p>
    <w:p w14:paraId="549345EB" w14:textId="132ABB2F" w:rsidR="004F043F" w:rsidRPr="00DB239A" w:rsidRDefault="00957360" w:rsidP="000A3D5C">
      <w:pPr>
        <w:spacing w:before="120" w:after="120" w:line="276" w:lineRule="auto"/>
        <w:rPr>
          <w:color w:val="000000" w:themeColor="text1"/>
        </w:rPr>
      </w:pPr>
      <w:r w:rsidRPr="00DB239A">
        <w:rPr>
          <w:color w:val="000000" w:themeColor="text1"/>
        </w:rPr>
        <w:t>The</w:t>
      </w:r>
      <w:r w:rsidR="00517D2C" w:rsidRPr="00DB239A">
        <w:rPr>
          <w:color w:val="000000" w:themeColor="text1"/>
        </w:rPr>
        <w:t xml:space="preserve"> department engaged </w:t>
      </w:r>
      <w:r w:rsidR="00C95D25" w:rsidRPr="00DB239A">
        <w:rPr>
          <w:color w:val="000000" w:themeColor="text1"/>
        </w:rPr>
        <w:t>an external HTA consultant (consultant) to</w:t>
      </w:r>
      <w:r w:rsidR="00311B14" w:rsidRPr="00DB239A">
        <w:rPr>
          <w:color w:val="000000" w:themeColor="text1"/>
        </w:rPr>
        <w:t>:</w:t>
      </w:r>
    </w:p>
    <w:p w14:paraId="0C8AB59F" w14:textId="1C2624B5" w:rsidR="008A6068" w:rsidRDefault="0067535C" w:rsidP="000A3D5C">
      <w:pPr>
        <w:pStyle w:val="ListParagraph"/>
        <w:numPr>
          <w:ilvl w:val="0"/>
          <w:numId w:val="17"/>
        </w:numPr>
        <w:spacing w:before="120" w:after="120" w:line="276" w:lineRule="auto"/>
        <w:rPr>
          <w:color w:val="000000" w:themeColor="text1"/>
        </w:rPr>
      </w:pPr>
      <w:r w:rsidRPr="008A6068">
        <w:rPr>
          <w:color w:val="000000" w:themeColor="text1"/>
        </w:rPr>
        <w:t xml:space="preserve">Analyse the role in clinical practice of </w:t>
      </w:r>
      <w:r w:rsidR="00134EA4">
        <w:rPr>
          <w:color w:val="000000" w:themeColor="text1"/>
        </w:rPr>
        <w:t>SGB</w:t>
      </w:r>
      <w:r w:rsidRPr="008A6068">
        <w:rPr>
          <w:color w:val="000000" w:themeColor="text1"/>
        </w:rPr>
        <w:t xml:space="preserve"> currently listed on the PL, including future trends in clinical use. </w:t>
      </w:r>
    </w:p>
    <w:p w14:paraId="477D4FA1" w14:textId="7E0E74E9" w:rsidR="008A6068" w:rsidRDefault="0067535C" w:rsidP="000A3D5C">
      <w:pPr>
        <w:pStyle w:val="ListParagraph"/>
        <w:numPr>
          <w:ilvl w:val="0"/>
          <w:numId w:val="17"/>
        </w:numPr>
        <w:spacing w:before="120" w:after="120" w:line="276" w:lineRule="auto"/>
        <w:rPr>
          <w:color w:val="000000" w:themeColor="text1"/>
        </w:rPr>
      </w:pPr>
      <w:r w:rsidRPr="008A6068">
        <w:rPr>
          <w:color w:val="000000" w:themeColor="text1"/>
        </w:rPr>
        <w:t xml:space="preserve">Review the evidence base for the use of </w:t>
      </w:r>
      <w:r w:rsidR="00134EA4">
        <w:rPr>
          <w:color w:val="000000" w:themeColor="text1"/>
        </w:rPr>
        <w:t>SGB</w:t>
      </w:r>
      <w:r w:rsidRPr="008A6068">
        <w:rPr>
          <w:color w:val="000000" w:themeColor="text1"/>
        </w:rPr>
        <w:t xml:space="preserve"> currently listed on the PL, with a focus on comparative clinical effectiveness and clinical benefits. </w:t>
      </w:r>
    </w:p>
    <w:p w14:paraId="78D8CD92" w14:textId="21E77625" w:rsidR="008A6068" w:rsidRDefault="0067535C" w:rsidP="000A3D5C">
      <w:pPr>
        <w:pStyle w:val="ListParagraph"/>
        <w:numPr>
          <w:ilvl w:val="0"/>
          <w:numId w:val="17"/>
        </w:numPr>
        <w:spacing w:before="120" w:after="120" w:line="276" w:lineRule="auto"/>
        <w:rPr>
          <w:color w:val="000000" w:themeColor="text1"/>
        </w:rPr>
      </w:pPr>
      <w:r w:rsidRPr="008A6068">
        <w:rPr>
          <w:color w:val="000000" w:themeColor="text1"/>
        </w:rPr>
        <w:t xml:space="preserve">Consider the current utilisation of </w:t>
      </w:r>
      <w:r w:rsidR="00134EA4">
        <w:rPr>
          <w:color w:val="000000" w:themeColor="text1"/>
        </w:rPr>
        <w:t>SGB</w:t>
      </w:r>
      <w:r w:rsidRPr="008A6068">
        <w:rPr>
          <w:color w:val="000000" w:themeColor="text1"/>
        </w:rPr>
        <w:t xml:space="preserve"> listed on the PL. </w:t>
      </w:r>
    </w:p>
    <w:p w14:paraId="1EFADA03" w14:textId="1B7F1545" w:rsidR="00DE5F72" w:rsidRPr="008A6068" w:rsidRDefault="0067535C" w:rsidP="000A3D5C">
      <w:pPr>
        <w:pStyle w:val="ListParagraph"/>
        <w:numPr>
          <w:ilvl w:val="0"/>
          <w:numId w:val="17"/>
        </w:numPr>
        <w:spacing w:before="120" w:after="120" w:line="276" w:lineRule="auto"/>
        <w:rPr>
          <w:color w:val="000000" w:themeColor="text1"/>
        </w:rPr>
      </w:pPr>
      <w:r w:rsidRPr="008A6068">
        <w:rPr>
          <w:color w:val="000000" w:themeColor="text1"/>
        </w:rPr>
        <w:t xml:space="preserve">Based on the findings of </w:t>
      </w:r>
      <w:proofErr w:type="spellStart"/>
      <w:r w:rsidRPr="008A6068">
        <w:rPr>
          <w:color w:val="000000" w:themeColor="text1"/>
        </w:rPr>
        <w:t>ToR</w:t>
      </w:r>
      <w:proofErr w:type="spellEnd"/>
      <w:r w:rsidRPr="008A6068">
        <w:rPr>
          <w:color w:val="000000" w:themeColor="text1"/>
        </w:rPr>
        <w:t xml:space="preserve"> 1, 2 and 3, advise if </w:t>
      </w:r>
      <w:r w:rsidR="00134EA4">
        <w:rPr>
          <w:color w:val="000000" w:themeColor="text1"/>
        </w:rPr>
        <w:t>SGB</w:t>
      </w:r>
      <w:r w:rsidRPr="008A6068">
        <w:rPr>
          <w:color w:val="000000" w:themeColor="text1"/>
        </w:rPr>
        <w:t xml:space="preserve"> meet the eligibility criteria for listing on the PL. Findings regarding eligibility may differ between products and clinical circumstances. </w:t>
      </w:r>
      <w:r w:rsidR="00DE5F72" w:rsidRPr="008A6068">
        <w:rPr>
          <w:color w:val="000000" w:themeColor="text1"/>
        </w:rPr>
        <w:t>Billing codes and product names as per July 2022</w:t>
      </w:r>
      <w:r w:rsidR="008C7C72">
        <w:rPr>
          <w:color w:val="000000" w:themeColor="text1"/>
        </w:rPr>
        <w:t xml:space="preserve"> PL.</w:t>
      </w:r>
    </w:p>
    <w:p w14:paraId="6178C114" w14:textId="446D784C" w:rsidR="0067535C" w:rsidRDefault="00B759A6" w:rsidP="000A3D5C">
      <w:pPr>
        <w:pStyle w:val="Paragraphtext"/>
        <w:spacing w:line="276" w:lineRule="auto"/>
        <w:rPr>
          <w:sz w:val="22"/>
          <w:szCs w:val="22"/>
        </w:rPr>
      </w:pPr>
      <w:r>
        <w:rPr>
          <w:sz w:val="22"/>
          <w:szCs w:val="22"/>
        </w:rPr>
        <w:t>The department</w:t>
      </w:r>
      <w:r w:rsidR="0073512B">
        <w:rPr>
          <w:sz w:val="22"/>
          <w:szCs w:val="22"/>
        </w:rPr>
        <w:t xml:space="preserve"> invited s</w:t>
      </w:r>
      <w:r w:rsidR="00A420DC">
        <w:rPr>
          <w:sz w:val="22"/>
          <w:szCs w:val="22"/>
        </w:rPr>
        <w:t>tak</w:t>
      </w:r>
      <w:r w:rsidR="000E0B36">
        <w:rPr>
          <w:sz w:val="22"/>
          <w:szCs w:val="22"/>
        </w:rPr>
        <w:t>e</w:t>
      </w:r>
      <w:r w:rsidR="00A420DC">
        <w:rPr>
          <w:sz w:val="22"/>
          <w:szCs w:val="22"/>
        </w:rPr>
        <w:t xml:space="preserve">holders to provide information and evidence to inform the external consultant report. </w:t>
      </w:r>
      <w:r w:rsidR="00622895">
        <w:rPr>
          <w:sz w:val="22"/>
          <w:szCs w:val="22"/>
        </w:rPr>
        <w:t>S</w:t>
      </w:r>
      <w:r w:rsidR="0028466E">
        <w:rPr>
          <w:sz w:val="22"/>
          <w:szCs w:val="22"/>
        </w:rPr>
        <w:t>takeholder</w:t>
      </w:r>
      <w:r w:rsidR="00622895">
        <w:rPr>
          <w:sz w:val="22"/>
          <w:szCs w:val="22"/>
        </w:rPr>
        <w:t>s were invited to</w:t>
      </w:r>
      <w:r w:rsidR="00957360">
        <w:rPr>
          <w:sz w:val="22"/>
          <w:szCs w:val="22"/>
        </w:rPr>
        <w:t xml:space="preserve"> </w:t>
      </w:r>
      <w:r w:rsidR="007921C7">
        <w:rPr>
          <w:sz w:val="22"/>
          <w:szCs w:val="22"/>
        </w:rPr>
        <w:t>comment on the draft report in November 2022</w:t>
      </w:r>
      <w:r w:rsidR="00622895">
        <w:rPr>
          <w:sz w:val="22"/>
          <w:szCs w:val="22"/>
        </w:rPr>
        <w:t xml:space="preserve">. The external consultant </w:t>
      </w:r>
      <w:r w:rsidR="007921C7">
        <w:rPr>
          <w:sz w:val="22"/>
          <w:szCs w:val="22"/>
        </w:rPr>
        <w:t>finalised</w:t>
      </w:r>
      <w:r w:rsidR="00EE2A26">
        <w:rPr>
          <w:sz w:val="22"/>
          <w:szCs w:val="22"/>
        </w:rPr>
        <w:t xml:space="preserve"> the report</w:t>
      </w:r>
      <w:r w:rsidR="007921C7">
        <w:rPr>
          <w:sz w:val="22"/>
          <w:szCs w:val="22"/>
        </w:rPr>
        <w:t xml:space="preserve"> in March 2023. </w:t>
      </w:r>
      <w:r w:rsidR="00D43624">
        <w:rPr>
          <w:sz w:val="22"/>
          <w:szCs w:val="22"/>
        </w:rPr>
        <w:t>The</w:t>
      </w:r>
      <w:r w:rsidR="009B740E">
        <w:rPr>
          <w:sz w:val="22"/>
          <w:szCs w:val="22"/>
        </w:rPr>
        <w:t xml:space="preserve"> </w:t>
      </w:r>
      <w:hyperlink r:id="rId23" w:history="1">
        <w:r w:rsidR="004D5549" w:rsidRPr="002754CE">
          <w:rPr>
            <w:rStyle w:val="Hyperlink"/>
            <w:sz w:val="22"/>
            <w:szCs w:val="22"/>
          </w:rPr>
          <w:t xml:space="preserve">stage 1 </w:t>
        </w:r>
        <w:r w:rsidR="00D43624" w:rsidRPr="002754CE">
          <w:rPr>
            <w:rStyle w:val="Hyperlink"/>
            <w:sz w:val="22"/>
            <w:szCs w:val="22"/>
          </w:rPr>
          <w:t>report</w:t>
        </w:r>
      </w:hyperlink>
      <w:r w:rsidR="00D43624" w:rsidRPr="00A43D82">
        <w:rPr>
          <w:sz w:val="22"/>
          <w:szCs w:val="22"/>
        </w:rPr>
        <w:t xml:space="preserve"> </w:t>
      </w:r>
      <w:r w:rsidR="004D5549">
        <w:rPr>
          <w:sz w:val="22"/>
          <w:szCs w:val="22"/>
        </w:rPr>
        <w:t xml:space="preserve">is </w:t>
      </w:r>
      <w:r w:rsidR="009B740E">
        <w:rPr>
          <w:sz w:val="22"/>
          <w:szCs w:val="22"/>
        </w:rPr>
        <w:t xml:space="preserve">available on our </w:t>
      </w:r>
      <w:r w:rsidR="001A155F">
        <w:rPr>
          <w:sz w:val="22"/>
          <w:szCs w:val="22"/>
        </w:rPr>
        <w:t>website</w:t>
      </w:r>
      <w:r w:rsidR="004D5549">
        <w:rPr>
          <w:sz w:val="22"/>
          <w:szCs w:val="22"/>
        </w:rPr>
        <w:t>.</w:t>
      </w:r>
      <w:r w:rsidR="0067535C" w:rsidRPr="0067535C">
        <w:rPr>
          <w:sz w:val="22"/>
          <w:szCs w:val="22"/>
        </w:rPr>
        <w:t xml:space="preserve"> </w:t>
      </w:r>
    </w:p>
    <w:p w14:paraId="3710B136" w14:textId="77777777" w:rsidR="00A911D3" w:rsidRPr="00622895" w:rsidRDefault="00A911D3" w:rsidP="000A3D5C">
      <w:pPr>
        <w:pStyle w:val="Paragraphtext"/>
        <w:spacing w:line="276" w:lineRule="auto"/>
        <w:rPr>
          <w:sz w:val="22"/>
          <w:szCs w:val="22"/>
        </w:rPr>
      </w:pPr>
      <w:r w:rsidRPr="00622895">
        <w:rPr>
          <w:sz w:val="22"/>
          <w:szCs w:val="22"/>
        </w:rPr>
        <w:t>The report found:</w:t>
      </w:r>
    </w:p>
    <w:p w14:paraId="48B35EFE" w14:textId="53F62378" w:rsidR="00A911D3" w:rsidRDefault="00FB316C" w:rsidP="000A3D5C">
      <w:pPr>
        <w:pStyle w:val="ListParagraph"/>
        <w:numPr>
          <w:ilvl w:val="0"/>
          <w:numId w:val="11"/>
        </w:numPr>
        <w:tabs>
          <w:tab w:val="num" w:pos="720"/>
        </w:tabs>
        <w:spacing w:before="120" w:after="120" w:line="276" w:lineRule="auto"/>
        <w:rPr>
          <w:color w:val="000000" w:themeColor="text1"/>
        </w:rPr>
      </w:pPr>
      <w:r>
        <w:rPr>
          <w:color w:val="000000" w:themeColor="text1"/>
        </w:rPr>
        <w:t>Most stakeholders, including surgeons</w:t>
      </w:r>
      <w:r w:rsidR="00525253">
        <w:rPr>
          <w:color w:val="000000" w:themeColor="text1"/>
        </w:rPr>
        <w:t xml:space="preserve"> consider</w:t>
      </w:r>
      <w:r w:rsidR="00A911D3" w:rsidRPr="00A911D3">
        <w:rPr>
          <w:color w:val="000000" w:themeColor="text1"/>
        </w:rPr>
        <w:t xml:space="preserve"> </w:t>
      </w:r>
      <w:r w:rsidR="00A21F9D">
        <w:rPr>
          <w:color w:val="000000" w:themeColor="text1"/>
        </w:rPr>
        <w:t>SGB</w:t>
      </w:r>
      <w:r w:rsidR="00D53736">
        <w:rPr>
          <w:color w:val="000000" w:themeColor="text1"/>
        </w:rPr>
        <w:t xml:space="preserve"> standard</w:t>
      </w:r>
      <w:r w:rsidR="00A911D3" w:rsidRPr="00A911D3">
        <w:rPr>
          <w:color w:val="000000" w:themeColor="text1"/>
        </w:rPr>
        <w:t xml:space="preserve"> of care for complex </w:t>
      </w:r>
      <w:r w:rsidR="001E26A9">
        <w:rPr>
          <w:color w:val="000000" w:themeColor="text1"/>
        </w:rPr>
        <w:t>craniomaxillofacial (CMF)</w:t>
      </w:r>
      <w:r w:rsidR="00A911D3" w:rsidRPr="00A911D3">
        <w:rPr>
          <w:color w:val="000000" w:themeColor="text1"/>
        </w:rPr>
        <w:t xml:space="preserve"> surgery</w:t>
      </w:r>
      <w:r w:rsidR="00503F98">
        <w:rPr>
          <w:color w:val="000000" w:themeColor="text1"/>
        </w:rPr>
        <w:t xml:space="preserve">. </w:t>
      </w:r>
      <w:r w:rsidR="00D702DE">
        <w:rPr>
          <w:color w:val="000000" w:themeColor="text1"/>
        </w:rPr>
        <w:t>However,</w:t>
      </w:r>
      <w:r w:rsidR="00C54680">
        <w:rPr>
          <w:color w:val="000000" w:themeColor="text1"/>
        </w:rPr>
        <w:t xml:space="preserve"> </w:t>
      </w:r>
      <w:r w:rsidR="00D41A3B">
        <w:rPr>
          <w:color w:val="000000" w:themeColor="text1"/>
        </w:rPr>
        <w:t>surgeons</w:t>
      </w:r>
      <w:r w:rsidR="00C54680">
        <w:rPr>
          <w:color w:val="000000" w:themeColor="text1"/>
        </w:rPr>
        <w:t xml:space="preserve"> and peak bodies </w:t>
      </w:r>
      <w:r w:rsidR="00670DFC">
        <w:rPr>
          <w:color w:val="000000" w:themeColor="text1"/>
        </w:rPr>
        <w:t>report</w:t>
      </w:r>
      <w:r w:rsidR="00D41A3B">
        <w:rPr>
          <w:color w:val="000000" w:themeColor="text1"/>
        </w:rPr>
        <w:t xml:space="preserve"> minimal clinical benefit in </w:t>
      </w:r>
      <w:r w:rsidR="00670DFC">
        <w:rPr>
          <w:color w:val="000000" w:themeColor="text1"/>
        </w:rPr>
        <w:t>simple</w:t>
      </w:r>
      <w:r w:rsidR="00D41A3B">
        <w:rPr>
          <w:color w:val="000000" w:themeColor="text1"/>
        </w:rPr>
        <w:t xml:space="preserve"> procedures</w:t>
      </w:r>
      <w:r w:rsidR="008F7904">
        <w:rPr>
          <w:color w:val="000000" w:themeColor="text1"/>
        </w:rPr>
        <w:t xml:space="preserve"> which may not justify the cost. Surgeons suggested that recent growth in </w:t>
      </w:r>
      <w:r w:rsidR="00244E19">
        <w:rPr>
          <w:color w:val="000000" w:themeColor="text1"/>
        </w:rPr>
        <w:t>use is driven by improved patient outcomes.</w:t>
      </w:r>
    </w:p>
    <w:p w14:paraId="1459EC98" w14:textId="7B19E0C5" w:rsidR="008551A2" w:rsidRPr="00F47072" w:rsidRDefault="008551A2" w:rsidP="00F47072">
      <w:pPr>
        <w:pStyle w:val="ListParagraph"/>
        <w:numPr>
          <w:ilvl w:val="0"/>
          <w:numId w:val="11"/>
        </w:numPr>
        <w:tabs>
          <w:tab w:val="num" w:pos="720"/>
        </w:tabs>
        <w:spacing w:before="120" w:after="120" w:line="276" w:lineRule="auto"/>
        <w:rPr>
          <w:color w:val="000000" w:themeColor="text1"/>
        </w:rPr>
      </w:pPr>
      <w:r w:rsidRPr="00F47072">
        <w:rPr>
          <w:color w:val="000000" w:themeColor="text1"/>
        </w:rPr>
        <w:t>The systematic review—despite its limited quality, small sample sizes, and focus on a single product (</w:t>
      </w:r>
      <w:proofErr w:type="spellStart"/>
      <w:r w:rsidRPr="00F47072">
        <w:rPr>
          <w:color w:val="000000" w:themeColor="text1"/>
        </w:rPr>
        <w:t>ProPlan</w:t>
      </w:r>
      <w:proofErr w:type="spellEnd"/>
      <w:r w:rsidRPr="00F47072">
        <w:rPr>
          <w:color w:val="000000" w:themeColor="text1"/>
        </w:rPr>
        <w:t>/</w:t>
      </w:r>
      <w:proofErr w:type="spellStart"/>
      <w:r w:rsidRPr="00F47072">
        <w:rPr>
          <w:color w:val="000000" w:themeColor="text1"/>
        </w:rPr>
        <w:t>TruMatch</w:t>
      </w:r>
      <w:proofErr w:type="spellEnd"/>
      <w:r w:rsidRPr="00F47072">
        <w:rPr>
          <w:color w:val="000000" w:themeColor="text1"/>
        </w:rPr>
        <w:t xml:space="preserve">)—shows that virtual surgical planning using </w:t>
      </w:r>
      <w:r w:rsidR="00A21F9D">
        <w:rPr>
          <w:color w:val="000000" w:themeColor="text1"/>
        </w:rPr>
        <w:t>SGB</w:t>
      </w:r>
      <w:r w:rsidRPr="00F47072">
        <w:rPr>
          <w:color w:val="000000" w:themeColor="text1"/>
        </w:rPr>
        <w:t xml:space="preserve"> generally delivers improved or comparable outcomes to the comparator group, including in accuracy, operative time, </w:t>
      </w:r>
      <w:proofErr w:type="spellStart"/>
      <w:r w:rsidRPr="00F47072">
        <w:rPr>
          <w:color w:val="000000" w:themeColor="text1"/>
        </w:rPr>
        <w:t>ischaemia</w:t>
      </w:r>
      <w:proofErr w:type="spellEnd"/>
      <w:r w:rsidRPr="00F47072">
        <w:rPr>
          <w:color w:val="000000" w:themeColor="text1"/>
        </w:rPr>
        <w:t xml:space="preserve"> time and complication rates.</w:t>
      </w:r>
    </w:p>
    <w:p w14:paraId="61C6E67D" w14:textId="0291D2A7" w:rsidR="00A911D3" w:rsidRPr="00A911D3" w:rsidRDefault="00A911D3" w:rsidP="000A3D5C">
      <w:pPr>
        <w:pStyle w:val="ListParagraph"/>
        <w:numPr>
          <w:ilvl w:val="0"/>
          <w:numId w:val="11"/>
        </w:numPr>
        <w:tabs>
          <w:tab w:val="num" w:pos="720"/>
        </w:tabs>
        <w:spacing w:before="120" w:after="120" w:line="276" w:lineRule="auto"/>
        <w:rPr>
          <w:color w:val="000000" w:themeColor="text1"/>
        </w:rPr>
      </w:pPr>
      <w:r w:rsidRPr="00A911D3">
        <w:rPr>
          <w:color w:val="000000" w:themeColor="text1"/>
        </w:rPr>
        <w:t>Broader literature identified through the desktop review similarly supports the use of 3D</w:t>
      </w:r>
      <w:r w:rsidRPr="00A911D3">
        <w:rPr>
          <w:color w:val="000000" w:themeColor="text1"/>
        </w:rPr>
        <w:noBreakHyphen/>
        <w:t xml:space="preserve">printed guides and </w:t>
      </w:r>
      <w:proofErr w:type="spellStart"/>
      <w:r w:rsidRPr="00A911D3">
        <w:rPr>
          <w:color w:val="000000" w:themeColor="text1"/>
        </w:rPr>
        <w:t>biomodels</w:t>
      </w:r>
      <w:proofErr w:type="spellEnd"/>
      <w:r w:rsidRPr="00A911D3">
        <w:rPr>
          <w:color w:val="000000" w:themeColor="text1"/>
        </w:rPr>
        <w:t xml:space="preserve"> across CMF, dental implant, orthopaedic, cardiovascular and </w:t>
      </w:r>
      <w:r w:rsidR="001E26A9">
        <w:rPr>
          <w:color w:val="000000" w:themeColor="text1"/>
        </w:rPr>
        <w:t>ear</w:t>
      </w:r>
      <w:r w:rsidR="006A6E91">
        <w:rPr>
          <w:color w:val="000000" w:themeColor="text1"/>
        </w:rPr>
        <w:t>,</w:t>
      </w:r>
      <w:r w:rsidR="001E26A9">
        <w:rPr>
          <w:color w:val="000000" w:themeColor="text1"/>
        </w:rPr>
        <w:t xml:space="preserve"> nose and throat</w:t>
      </w:r>
      <w:r w:rsidRPr="00A911D3">
        <w:rPr>
          <w:color w:val="000000" w:themeColor="text1"/>
        </w:rPr>
        <w:t xml:space="preserve"> contexts</w:t>
      </w:r>
      <w:r w:rsidR="00650ED6">
        <w:rPr>
          <w:color w:val="000000" w:themeColor="text1"/>
        </w:rPr>
        <w:t>.</w:t>
      </w:r>
      <w:r w:rsidRPr="00A911D3">
        <w:rPr>
          <w:color w:val="000000" w:themeColor="text1"/>
        </w:rPr>
        <w:t xml:space="preserve"> </w:t>
      </w:r>
      <w:r w:rsidR="00650ED6">
        <w:rPr>
          <w:color w:val="000000" w:themeColor="text1"/>
        </w:rPr>
        <w:t>N</w:t>
      </w:r>
      <w:r w:rsidRPr="00A911D3">
        <w:rPr>
          <w:color w:val="000000" w:themeColor="text1"/>
        </w:rPr>
        <w:t>oting that these technologies produce non</w:t>
      </w:r>
      <w:r w:rsidRPr="00A911D3">
        <w:rPr>
          <w:color w:val="000000" w:themeColor="text1"/>
        </w:rPr>
        <w:noBreakHyphen/>
        <w:t>inferior outcomes and may enhance surgical efficiency and accuracy, though high</w:t>
      </w:r>
      <w:r w:rsidRPr="00A911D3">
        <w:rPr>
          <w:color w:val="000000" w:themeColor="text1"/>
        </w:rPr>
        <w:noBreakHyphen/>
        <w:t>quality comparative studies remain scarce.</w:t>
      </w:r>
    </w:p>
    <w:p w14:paraId="23B48F4C" w14:textId="1009DF27" w:rsidR="00A911D3" w:rsidRPr="00A911D3" w:rsidRDefault="00A911D3" w:rsidP="000A3D5C">
      <w:pPr>
        <w:pStyle w:val="ListParagraph"/>
        <w:numPr>
          <w:ilvl w:val="0"/>
          <w:numId w:val="11"/>
        </w:numPr>
        <w:tabs>
          <w:tab w:val="num" w:pos="720"/>
        </w:tabs>
        <w:spacing w:before="120" w:after="120" w:line="276" w:lineRule="auto"/>
        <w:rPr>
          <w:color w:val="000000" w:themeColor="text1"/>
        </w:rPr>
      </w:pPr>
      <w:r w:rsidRPr="00A911D3">
        <w:rPr>
          <w:color w:val="000000" w:themeColor="text1"/>
        </w:rPr>
        <w:t xml:space="preserve">Utilisation of </w:t>
      </w:r>
      <w:r w:rsidR="009743AA">
        <w:rPr>
          <w:color w:val="000000" w:themeColor="text1"/>
        </w:rPr>
        <w:t>SGB</w:t>
      </w:r>
      <w:r w:rsidRPr="00A911D3">
        <w:rPr>
          <w:color w:val="000000" w:themeColor="text1"/>
        </w:rPr>
        <w:t xml:space="preserve"> has grown rapidly since PL listing in 2013</w:t>
      </w:r>
      <w:r w:rsidR="00A90428">
        <w:rPr>
          <w:color w:val="000000" w:themeColor="text1"/>
        </w:rPr>
        <w:t>-1</w:t>
      </w:r>
      <w:r w:rsidRPr="00A911D3">
        <w:rPr>
          <w:color w:val="000000" w:themeColor="text1"/>
        </w:rPr>
        <w:t>4, doubling on average each year and reaching 7,488 items used in 2020</w:t>
      </w:r>
      <w:r w:rsidR="00A90428">
        <w:rPr>
          <w:color w:val="000000" w:themeColor="text1"/>
        </w:rPr>
        <w:t>-</w:t>
      </w:r>
      <w:r w:rsidRPr="00A911D3">
        <w:rPr>
          <w:color w:val="000000" w:themeColor="text1"/>
        </w:rPr>
        <w:t>21, with high item use per patient in a small but increasing subset of cases</w:t>
      </w:r>
      <w:r w:rsidR="00297B2B">
        <w:rPr>
          <w:color w:val="000000" w:themeColor="text1"/>
        </w:rPr>
        <w:t>.</w:t>
      </w:r>
    </w:p>
    <w:p w14:paraId="2D0B6CE3" w14:textId="1BAD1A0D" w:rsidR="00A911D3" w:rsidRDefault="00A911D3" w:rsidP="000A3D5C">
      <w:pPr>
        <w:pStyle w:val="ListParagraph"/>
        <w:numPr>
          <w:ilvl w:val="0"/>
          <w:numId w:val="11"/>
        </w:numPr>
        <w:tabs>
          <w:tab w:val="num" w:pos="720"/>
        </w:tabs>
        <w:spacing w:before="120" w:after="120" w:line="276" w:lineRule="auto"/>
        <w:rPr>
          <w:color w:val="000000" w:themeColor="text1"/>
        </w:rPr>
      </w:pPr>
      <w:r w:rsidRPr="00A911D3">
        <w:rPr>
          <w:color w:val="000000" w:themeColor="text1"/>
        </w:rPr>
        <w:t>Use has broadened beyond the plastic and reconstructive category, with 28% of total utilisation in 2020</w:t>
      </w:r>
      <w:r w:rsidR="00F432F5">
        <w:rPr>
          <w:color w:val="000000" w:themeColor="text1"/>
        </w:rPr>
        <w:t>-</w:t>
      </w:r>
      <w:r w:rsidRPr="00A911D3">
        <w:rPr>
          <w:color w:val="000000" w:themeColor="text1"/>
        </w:rPr>
        <w:t>21 occurring in other PL categories</w:t>
      </w:r>
      <w:r w:rsidR="00150F2C">
        <w:rPr>
          <w:color w:val="000000" w:themeColor="text1"/>
        </w:rPr>
        <w:t>.</w:t>
      </w:r>
    </w:p>
    <w:p w14:paraId="7EF2ECB9" w14:textId="1AB5E10E" w:rsidR="00D54ED7" w:rsidRPr="00996B76" w:rsidRDefault="009743AA" w:rsidP="00996B76">
      <w:pPr>
        <w:pStyle w:val="ListParagraph"/>
        <w:numPr>
          <w:ilvl w:val="0"/>
          <w:numId w:val="11"/>
        </w:numPr>
        <w:spacing w:line="300" w:lineRule="atLeast"/>
        <w:rPr>
          <w:color w:val="000000" w:themeColor="text1"/>
        </w:rPr>
      </w:pPr>
      <w:r>
        <w:rPr>
          <w:color w:val="000000" w:themeColor="text1"/>
        </w:rPr>
        <w:t>SGB</w:t>
      </w:r>
      <w:r w:rsidR="009B27B0" w:rsidRPr="009B27B0">
        <w:rPr>
          <w:color w:val="000000" w:themeColor="text1"/>
        </w:rPr>
        <w:t xml:space="preserve"> are generally considered eligible for continued listing on the PL for complex CMF surgeries. However, there is insufficient evidence to support their current listings for other types of surgeries.</w:t>
      </w:r>
      <w:r w:rsidR="009B27B0">
        <w:rPr>
          <w:color w:val="000000" w:themeColor="text1"/>
        </w:rPr>
        <w:t xml:space="preserve"> The table below outlines the </w:t>
      </w:r>
      <w:r w:rsidR="008727DE">
        <w:rPr>
          <w:color w:val="000000" w:themeColor="text1"/>
        </w:rPr>
        <w:t>assessment against the eligibility criteria.</w:t>
      </w:r>
    </w:p>
    <w:tbl>
      <w:tblPr>
        <w:tblStyle w:val="DepartmentofHealthtable"/>
        <w:tblW w:w="4962" w:type="pct"/>
        <w:tblLook w:val="04A0" w:firstRow="1" w:lastRow="0" w:firstColumn="1" w:lastColumn="0" w:noHBand="0" w:noVBand="1"/>
        <w:tblCaption w:val="Criteria table"/>
        <w:tblDescription w:val="Table shows if surgical guides and biomodels meet PL criteria. "/>
      </w:tblPr>
      <w:tblGrid>
        <w:gridCol w:w="4536"/>
        <w:gridCol w:w="2212"/>
        <w:gridCol w:w="20"/>
        <w:gridCol w:w="36"/>
        <w:gridCol w:w="2157"/>
        <w:gridCol w:w="40"/>
      </w:tblGrid>
      <w:tr w:rsidR="00AC6A53" w:rsidRPr="00F95AB7" w14:paraId="21D196F6" w14:textId="77777777" w:rsidTr="00F95A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0" w:type="pct"/>
            <w:shd w:val="clear" w:color="auto" w:fill="3F4A75" w:themeFill="accent1"/>
          </w:tcPr>
          <w:p w14:paraId="42584148" w14:textId="77777777" w:rsidR="00A06C5F" w:rsidRPr="00F95AB7" w:rsidRDefault="00A06C5F">
            <w:pPr>
              <w:spacing w:before="120" w:after="120"/>
              <w:rPr>
                <w:rFonts w:eastAsia="Segoe UI"/>
                <w:b/>
                <w:bCs/>
              </w:rPr>
            </w:pPr>
            <w:r w:rsidRPr="00F95AB7">
              <w:rPr>
                <w:rFonts w:eastAsia="Segoe UI"/>
                <w:b/>
                <w:bCs/>
              </w:rPr>
              <w:lastRenderedPageBreak/>
              <w:t>Criteria</w:t>
            </w:r>
          </w:p>
        </w:tc>
        <w:tc>
          <w:tcPr>
            <w:tcW w:w="1260" w:type="pct"/>
            <w:gridSpan w:val="3"/>
          </w:tcPr>
          <w:p w14:paraId="4ECD36CE" w14:textId="77777777" w:rsidR="00A06C5F" w:rsidRPr="00F95AB7" w:rsidRDefault="00A06C5F">
            <w:pPr>
              <w:spacing w:before="120" w:after="120"/>
              <w:cnfStyle w:val="100000000000" w:firstRow="1" w:lastRow="0" w:firstColumn="0" w:lastColumn="0" w:oddVBand="0" w:evenVBand="0" w:oddHBand="0" w:evenHBand="0" w:firstRowFirstColumn="0" w:firstRowLastColumn="0" w:lastRowFirstColumn="0" w:lastRowLastColumn="0"/>
              <w:rPr>
                <w:rFonts w:eastAsia="Segoe UI"/>
                <w:b/>
                <w:bCs/>
              </w:rPr>
            </w:pPr>
            <w:r w:rsidRPr="00F95AB7">
              <w:rPr>
                <w:rFonts w:eastAsia="Segoe UI"/>
                <w:b/>
                <w:bCs/>
              </w:rPr>
              <w:t>Surgical Guides</w:t>
            </w:r>
          </w:p>
        </w:tc>
        <w:tc>
          <w:tcPr>
            <w:tcW w:w="1220" w:type="pct"/>
            <w:gridSpan w:val="2"/>
          </w:tcPr>
          <w:p w14:paraId="31BC59E6" w14:textId="77777777" w:rsidR="00A06C5F" w:rsidRPr="00F95AB7" w:rsidRDefault="00A06C5F">
            <w:pPr>
              <w:spacing w:before="120" w:after="120"/>
              <w:cnfStyle w:val="100000000000" w:firstRow="1" w:lastRow="0" w:firstColumn="0" w:lastColumn="0" w:oddVBand="0" w:evenVBand="0" w:oddHBand="0" w:evenHBand="0" w:firstRowFirstColumn="0" w:firstRowLastColumn="0" w:lastRowFirstColumn="0" w:lastRowLastColumn="0"/>
              <w:rPr>
                <w:rFonts w:eastAsia="Segoe UI"/>
                <w:b/>
                <w:bCs/>
              </w:rPr>
            </w:pPr>
            <w:proofErr w:type="spellStart"/>
            <w:r w:rsidRPr="00F95AB7">
              <w:rPr>
                <w:rFonts w:eastAsia="Segoe UI"/>
                <w:b/>
                <w:bCs/>
              </w:rPr>
              <w:t>Biomodels</w:t>
            </w:r>
            <w:proofErr w:type="spellEnd"/>
          </w:p>
        </w:tc>
      </w:tr>
      <w:tr w:rsidR="00AC6A53" w14:paraId="1FBA91EF" w14:textId="77777777" w:rsidTr="004E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14:paraId="0CFA8DB4" w14:textId="496D19F2" w:rsidR="00A06C5F" w:rsidRDefault="00A06C5F" w:rsidP="000A3D5C">
            <w:pPr>
              <w:spacing w:before="120" w:after="120"/>
              <w:rPr>
                <w:rFonts w:eastAsia="Segoe UI"/>
              </w:rPr>
            </w:pPr>
            <w:r w:rsidRPr="006226FA">
              <w:rPr>
                <w:rFonts w:eastAsia="Segoe UI"/>
              </w:rPr>
              <w:t>The product must be entered and current on the Australian Register of Therapeutic Goods</w:t>
            </w:r>
            <w:r w:rsidR="009743AA">
              <w:rPr>
                <w:rFonts w:eastAsia="Segoe UI"/>
              </w:rPr>
              <w:t xml:space="preserve"> (ATRG)</w:t>
            </w:r>
          </w:p>
        </w:tc>
        <w:tc>
          <w:tcPr>
            <w:tcW w:w="1260" w:type="pct"/>
            <w:gridSpan w:val="3"/>
          </w:tcPr>
          <w:p w14:paraId="031AD9CF" w14:textId="77777777" w:rsidR="00A06C5F" w:rsidRDefault="00A06C5F"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Met</w:t>
            </w:r>
          </w:p>
        </w:tc>
        <w:tc>
          <w:tcPr>
            <w:tcW w:w="1220" w:type="pct"/>
            <w:gridSpan w:val="2"/>
          </w:tcPr>
          <w:p w14:paraId="382287A5" w14:textId="77777777" w:rsidR="00A06C5F" w:rsidRDefault="00A06C5F"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Met</w:t>
            </w:r>
          </w:p>
        </w:tc>
      </w:tr>
      <w:tr w:rsidR="00AC6A53" w14:paraId="7DFF6A1C" w14:textId="77777777" w:rsidTr="004E0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14:paraId="1164A239" w14:textId="20B94858" w:rsidR="00A06C5F" w:rsidRDefault="00A06C5F" w:rsidP="000A3D5C">
            <w:pPr>
              <w:spacing w:before="120" w:after="120"/>
              <w:rPr>
                <w:rFonts w:eastAsia="Segoe UI"/>
              </w:rPr>
            </w:pPr>
            <w:r w:rsidRPr="006226FA">
              <w:rPr>
                <w:rFonts w:eastAsia="Segoe UI"/>
              </w:rPr>
              <w:t>The product must be provided to a person as part of an episode of hospital treatment or hospital-substitute treatment</w:t>
            </w:r>
          </w:p>
        </w:tc>
        <w:tc>
          <w:tcPr>
            <w:tcW w:w="1260" w:type="pct"/>
            <w:gridSpan w:val="3"/>
          </w:tcPr>
          <w:p w14:paraId="5CB02658" w14:textId="77777777"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Met</w:t>
            </w:r>
          </w:p>
        </w:tc>
        <w:tc>
          <w:tcPr>
            <w:tcW w:w="1220" w:type="pct"/>
            <w:gridSpan w:val="2"/>
          </w:tcPr>
          <w:p w14:paraId="6CBBDC4D" w14:textId="77777777"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Met</w:t>
            </w:r>
          </w:p>
        </w:tc>
      </w:tr>
      <w:tr w:rsidR="00791C77" w:rsidRPr="00A9306B" w14:paraId="657953AB" w14:textId="77777777" w:rsidTr="001E4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14:paraId="0FF7B6A1" w14:textId="264E01CC" w:rsidR="001E4381" w:rsidRDefault="001E4381" w:rsidP="000A3D5C">
            <w:pPr>
              <w:spacing w:before="120" w:after="120"/>
              <w:rPr>
                <w:rFonts w:eastAsia="Segoe UI"/>
              </w:rPr>
            </w:pPr>
            <w:r w:rsidRPr="00626714">
              <w:rPr>
                <w:rFonts w:eastAsia="Segoe UI"/>
              </w:rPr>
              <w:t xml:space="preserve">A Medicare benefit must be payable </w:t>
            </w:r>
            <w:r>
              <w:rPr>
                <w:rFonts w:eastAsia="Segoe UI"/>
              </w:rPr>
              <w:t>for the</w:t>
            </w:r>
            <w:r w:rsidRPr="00626714">
              <w:rPr>
                <w:rFonts w:eastAsia="Segoe UI"/>
              </w:rPr>
              <w:t xml:space="preserve"> professional service associated with the provision of the </w:t>
            </w:r>
            <w:r w:rsidR="00B90C0A">
              <w:rPr>
                <w:rFonts w:eastAsia="Segoe UI"/>
              </w:rPr>
              <w:t xml:space="preserve">device or </w:t>
            </w:r>
            <w:r w:rsidRPr="00626714">
              <w:rPr>
                <w:rFonts w:eastAsia="Segoe UI"/>
              </w:rPr>
              <w:t>product (or the provision of the product is associated with podiatric treatment by an accredited podiatrist)</w:t>
            </w:r>
          </w:p>
        </w:tc>
        <w:tc>
          <w:tcPr>
            <w:tcW w:w="1240" w:type="pct"/>
            <w:gridSpan w:val="2"/>
          </w:tcPr>
          <w:p w14:paraId="76C7B39C" w14:textId="77777777" w:rsidR="001E4381" w:rsidRDefault="001E4381"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Met*</w:t>
            </w:r>
          </w:p>
          <w:p w14:paraId="6E7887A7" w14:textId="2EAFD3B2" w:rsidR="001E4381" w:rsidRDefault="001E4381"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i/>
                <w:iCs/>
              </w:rPr>
              <w:t xml:space="preserve">* </w:t>
            </w:r>
            <w:r w:rsidRPr="001E4381">
              <w:rPr>
                <w:rFonts w:eastAsia="Segoe UI"/>
                <w:i/>
                <w:iCs/>
              </w:rPr>
              <w:t xml:space="preserve">It is difficult to determine how PL benefits for </w:t>
            </w:r>
            <w:r w:rsidR="003F6F7C">
              <w:rPr>
                <w:rFonts w:eastAsia="Segoe UI"/>
                <w:i/>
                <w:iCs/>
              </w:rPr>
              <w:t>SGB</w:t>
            </w:r>
            <w:r w:rsidRPr="001E4381">
              <w:rPr>
                <w:rFonts w:eastAsia="Segoe UI"/>
                <w:i/>
                <w:iCs/>
              </w:rPr>
              <w:t xml:space="preserve"> align with MBS items when item numbers do not specify implant procedures.</w:t>
            </w:r>
          </w:p>
        </w:tc>
        <w:tc>
          <w:tcPr>
            <w:tcW w:w="1240" w:type="pct"/>
            <w:gridSpan w:val="3"/>
          </w:tcPr>
          <w:p w14:paraId="3E336E72" w14:textId="77777777" w:rsidR="001E4381" w:rsidRDefault="001E4381"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Met*</w:t>
            </w:r>
          </w:p>
          <w:p w14:paraId="24477C53" w14:textId="4FB897C4" w:rsidR="001E4381" w:rsidRPr="00A9306B" w:rsidRDefault="001E4381"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i/>
                <w:iCs/>
              </w:rPr>
            </w:pPr>
            <w:r>
              <w:rPr>
                <w:rFonts w:eastAsia="Segoe UI"/>
                <w:i/>
                <w:iCs/>
              </w:rPr>
              <w:t xml:space="preserve">* </w:t>
            </w:r>
            <w:r w:rsidRPr="001E4381">
              <w:rPr>
                <w:rFonts w:eastAsia="Segoe UI"/>
                <w:i/>
                <w:iCs/>
              </w:rPr>
              <w:t xml:space="preserve">It is difficult to determine how PL benefits for </w:t>
            </w:r>
            <w:r w:rsidR="003F6F7C">
              <w:rPr>
                <w:rFonts w:eastAsia="Segoe UI"/>
                <w:i/>
                <w:iCs/>
              </w:rPr>
              <w:t>SGB</w:t>
            </w:r>
            <w:r w:rsidRPr="001E4381">
              <w:rPr>
                <w:rFonts w:eastAsia="Segoe UI"/>
                <w:i/>
                <w:iCs/>
              </w:rPr>
              <w:t xml:space="preserve"> align with MBS items when item numbers do not specify implant procedures.</w:t>
            </w:r>
          </w:p>
        </w:tc>
      </w:tr>
      <w:tr w:rsidR="00AC6A53" w14:paraId="0C3061CB" w14:textId="77777777" w:rsidTr="004E00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14:paraId="5A90C4B1" w14:textId="44E30477" w:rsidR="00A06C5F" w:rsidRDefault="00B90C0A" w:rsidP="000A3D5C">
            <w:pPr>
              <w:spacing w:before="120" w:after="120"/>
              <w:rPr>
                <w:rFonts w:eastAsia="Segoe UI"/>
              </w:rPr>
            </w:pPr>
            <w:r>
              <w:rPr>
                <w:rFonts w:eastAsia="Segoe UI"/>
              </w:rPr>
              <w:t>The device or product is e</w:t>
            </w:r>
            <w:r w:rsidR="00A06C5F" w:rsidRPr="00626714">
              <w:rPr>
                <w:rFonts w:eastAsia="Segoe UI"/>
              </w:rPr>
              <w:t xml:space="preserve">ssential and specifically designed as an integral single-use aid for implanting a </w:t>
            </w:r>
            <w:r w:rsidR="006F1F52">
              <w:rPr>
                <w:rFonts w:eastAsia="Segoe UI"/>
              </w:rPr>
              <w:t xml:space="preserve">device or </w:t>
            </w:r>
            <w:r w:rsidR="00A06C5F" w:rsidRPr="00626714">
              <w:rPr>
                <w:rFonts w:eastAsia="Segoe UI"/>
              </w:rPr>
              <w:t>product</w:t>
            </w:r>
            <w:r w:rsidR="006F1F52">
              <w:rPr>
                <w:rFonts w:eastAsia="Segoe UI"/>
              </w:rPr>
              <w:t xml:space="preserve">. </w:t>
            </w:r>
          </w:p>
        </w:tc>
        <w:tc>
          <w:tcPr>
            <w:tcW w:w="1260" w:type="pct"/>
            <w:gridSpan w:val="3"/>
          </w:tcPr>
          <w:p w14:paraId="7ED6A36C" w14:textId="2AED7521"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 xml:space="preserve">Not met when used in procedures that do not involve implantation of a </w:t>
            </w:r>
            <w:r w:rsidR="0077039A">
              <w:rPr>
                <w:rFonts w:eastAsia="Segoe UI"/>
              </w:rPr>
              <w:t>device or product</w:t>
            </w:r>
            <w:r w:rsidR="004A0A40">
              <w:rPr>
                <w:rFonts w:eastAsia="Segoe UI"/>
              </w:rPr>
              <w:t>.</w:t>
            </w:r>
          </w:p>
          <w:p w14:paraId="0B48605F" w14:textId="13927662"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Met when used for complex CMF procedures</w:t>
            </w:r>
            <w:r w:rsidR="004A0A40">
              <w:rPr>
                <w:rFonts w:eastAsia="Segoe UI"/>
              </w:rPr>
              <w:t>.</w:t>
            </w:r>
          </w:p>
          <w:p w14:paraId="72A5D2FB" w14:textId="74D45C0C"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Not met when used for simpler procedures</w:t>
            </w:r>
            <w:r w:rsidR="004A0A40">
              <w:rPr>
                <w:rFonts w:eastAsia="Segoe UI"/>
              </w:rPr>
              <w:t>.</w:t>
            </w:r>
          </w:p>
        </w:tc>
        <w:tc>
          <w:tcPr>
            <w:tcW w:w="1220" w:type="pct"/>
            <w:gridSpan w:val="2"/>
          </w:tcPr>
          <w:p w14:paraId="5E9BE968" w14:textId="784F6546"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 xml:space="preserve">Not met when used in procedures that do not involve implantation of a </w:t>
            </w:r>
            <w:r w:rsidR="0077039A">
              <w:rPr>
                <w:rFonts w:eastAsia="Segoe UI"/>
              </w:rPr>
              <w:t>device or product</w:t>
            </w:r>
            <w:r w:rsidR="004A0A40">
              <w:rPr>
                <w:rFonts w:eastAsia="Segoe UI"/>
              </w:rPr>
              <w:t>.</w:t>
            </w:r>
          </w:p>
          <w:p w14:paraId="1E562F4C" w14:textId="4978525E"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Met when used for complex CMF procedures</w:t>
            </w:r>
            <w:r w:rsidR="004A0A40">
              <w:rPr>
                <w:rFonts w:eastAsia="Segoe UI"/>
              </w:rPr>
              <w:t>.</w:t>
            </w:r>
          </w:p>
          <w:p w14:paraId="6B613B64" w14:textId="27FCA9BB" w:rsidR="00A06C5F" w:rsidRDefault="00A06C5F" w:rsidP="000A3D5C">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Pr>
                <w:rFonts w:eastAsia="Segoe UI"/>
              </w:rPr>
              <w:t>Not met when used for simpler procedures</w:t>
            </w:r>
            <w:r w:rsidR="004A0A40">
              <w:rPr>
                <w:rFonts w:eastAsia="Segoe UI"/>
              </w:rPr>
              <w:t>.</w:t>
            </w:r>
          </w:p>
        </w:tc>
      </w:tr>
      <w:tr w:rsidR="00861BAC" w14:paraId="3970B75B" w14:textId="77777777" w:rsidTr="0099646E">
        <w:trPr>
          <w:gridAfter w:val="1"/>
          <w:cnfStyle w:val="000000100000" w:firstRow="0" w:lastRow="0" w:firstColumn="0" w:lastColumn="0" w:oddVBand="0" w:evenVBand="0" w:oddHBand="1" w:evenHBand="0" w:firstRowFirstColumn="0" w:firstRowLastColumn="0" w:lastRowFirstColumn="0" w:lastRowLastColumn="0"/>
          <w:wAfter w:w="22" w:type="pct"/>
        </w:trPr>
        <w:tc>
          <w:tcPr>
            <w:cnfStyle w:val="001000000000" w:firstRow="0" w:lastRow="0" w:firstColumn="1" w:lastColumn="0" w:oddVBand="0" w:evenVBand="0" w:oddHBand="0" w:evenHBand="0" w:firstRowFirstColumn="0" w:firstRowLastColumn="0" w:lastRowFirstColumn="0" w:lastRowLastColumn="0"/>
            <w:tcW w:w="2520" w:type="pct"/>
          </w:tcPr>
          <w:p w14:paraId="09F57CBE" w14:textId="5499A5C0" w:rsidR="0099646E" w:rsidRPr="007E1B83" w:rsidRDefault="0099646E" w:rsidP="000A3D5C">
            <w:pPr>
              <w:spacing w:before="120" w:after="120"/>
              <w:rPr>
                <w:rFonts w:eastAsia="Segoe UI"/>
              </w:rPr>
            </w:pPr>
            <w:bookmarkStart w:id="21" w:name="_Hlk152252634"/>
            <w:r w:rsidRPr="007E1B83">
              <w:rPr>
                <w:rFonts w:eastAsia="Segoe UI"/>
              </w:rPr>
              <w:t xml:space="preserve">The product has been compared to alternative products on the </w:t>
            </w:r>
            <w:r>
              <w:rPr>
                <w:rFonts w:eastAsia="Segoe UI"/>
              </w:rPr>
              <w:t>PL</w:t>
            </w:r>
            <w:r w:rsidRPr="007E1B83">
              <w:rPr>
                <w:rFonts w:eastAsia="Segoe UI"/>
              </w:rPr>
              <w:t xml:space="preserve"> or alternative treatments and</w:t>
            </w:r>
          </w:p>
          <w:p w14:paraId="29BF44CA" w14:textId="77777777" w:rsidR="0099646E" w:rsidRPr="00053B00" w:rsidRDefault="0099646E" w:rsidP="000A3D5C">
            <w:pPr>
              <w:pStyle w:val="ListParagraph"/>
              <w:numPr>
                <w:ilvl w:val="0"/>
                <w:numId w:val="18"/>
              </w:numPr>
              <w:spacing w:before="120" w:after="120"/>
              <w:ind w:left="459" w:hanging="141"/>
              <w:contextualSpacing w:val="0"/>
              <w:rPr>
                <w:rFonts w:eastAsia="Segoe UI"/>
              </w:rPr>
            </w:pPr>
            <w:r w:rsidRPr="00053B00">
              <w:rPr>
                <w:rFonts w:eastAsia="Segoe UI"/>
              </w:rPr>
              <w:t>assessed as being, at least, of similar clinical effectiveness; and</w:t>
            </w:r>
          </w:p>
          <w:p w14:paraId="29BEC2F7" w14:textId="77777777" w:rsidR="0099646E" w:rsidRPr="00540E7C" w:rsidRDefault="0099646E" w:rsidP="000A3D5C">
            <w:pPr>
              <w:pStyle w:val="ListParagraph"/>
              <w:numPr>
                <w:ilvl w:val="0"/>
                <w:numId w:val="18"/>
              </w:numPr>
              <w:spacing w:before="120" w:after="120"/>
              <w:ind w:left="459" w:hanging="141"/>
              <w:contextualSpacing w:val="0"/>
              <w:rPr>
                <w:rFonts w:eastAsia="Segoe UI"/>
                <w:b/>
                <w:bCs/>
              </w:rPr>
            </w:pPr>
            <w:r w:rsidRPr="00053B00">
              <w:rPr>
                <w:rFonts w:eastAsia="Segoe UI"/>
              </w:rPr>
              <w:t>the cost of the product is relative to its clinical effectiveness.</w:t>
            </w:r>
            <w:bookmarkEnd w:id="21"/>
          </w:p>
        </w:tc>
        <w:tc>
          <w:tcPr>
            <w:tcW w:w="1229" w:type="pct"/>
          </w:tcPr>
          <w:p w14:paraId="56BE4B46" w14:textId="60BC9779" w:rsidR="0099646E" w:rsidRDefault="0099646E"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Insufficient evidence to determine if this criterion is met</w:t>
            </w:r>
            <w:r w:rsidR="006E5CDF">
              <w:rPr>
                <w:rFonts w:eastAsia="Segoe UI"/>
              </w:rPr>
              <w:t>.</w:t>
            </w:r>
          </w:p>
          <w:p w14:paraId="0F59D917" w14:textId="246C3DE0" w:rsidR="00320B31" w:rsidRDefault="00320B31"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4C439D">
              <w:rPr>
                <w:rFonts w:eastAsia="Segoe UI"/>
              </w:rPr>
              <w:t>The evidence for compar</w:t>
            </w:r>
            <w:r>
              <w:rPr>
                <w:rFonts w:eastAsia="Segoe UI"/>
              </w:rPr>
              <w:t>ative</w:t>
            </w:r>
            <w:r w:rsidRPr="004C439D">
              <w:rPr>
                <w:rFonts w:eastAsia="Segoe UI"/>
              </w:rPr>
              <w:t xml:space="preserve"> clinical or cost effectiveness is limited</w:t>
            </w:r>
            <w:r>
              <w:rPr>
                <w:rFonts w:eastAsia="Segoe UI"/>
              </w:rPr>
              <w:t>.</w:t>
            </w:r>
            <w:r w:rsidRPr="004C439D">
              <w:rPr>
                <w:rFonts w:eastAsia="Segoe UI"/>
              </w:rPr>
              <w:t xml:space="preserve"> </w:t>
            </w:r>
            <w:r>
              <w:rPr>
                <w:rFonts w:eastAsia="Segoe UI"/>
              </w:rPr>
              <w:t xml:space="preserve">The review found support for clinical effectiveness of SGB, in general, at least for </w:t>
            </w:r>
            <w:r w:rsidRPr="004C439D">
              <w:rPr>
                <w:rFonts w:eastAsia="Segoe UI"/>
              </w:rPr>
              <w:t>complex CMF surgeries.</w:t>
            </w:r>
          </w:p>
        </w:tc>
        <w:tc>
          <w:tcPr>
            <w:tcW w:w="1229" w:type="pct"/>
            <w:gridSpan w:val="3"/>
          </w:tcPr>
          <w:p w14:paraId="2C852E97" w14:textId="77777777" w:rsidR="00320B31" w:rsidRDefault="00320B31" w:rsidP="00320B31">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Pr>
                <w:rFonts w:eastAsia="Segoe UI"/>
              </w:rPr>
              <w:t>Insufficient evidence to determine if this criterion is met.</w:t>
            </w:r>
          </w:p>
          <w:p w14:paraId="164A3F72" w14:textId="6EBE2337" w:rsidR="0099646E" w:rsidRDefault="0099646E" w:rsidP="000A3D5C">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4C439D">
              <w:rPr>
                <w:rFonts w:eastAsia="Segoe UI"/>
              </w:rPr>
              <w:t>The evidence for compar</w:t>
            </w:r>
            <w:r>
              <w:rPr>
                <w:rFonts w:eastAsia="Segoe UI"/>
              </w:rPr>
              <w:t>ative</w:t>
            </w:r>
            <w:r w:rsidRPr="004C439D">
              <w:rPr>
                <w:rFonts w:eastAsia="Segoe UI"/>
              </w:rPr>
              <w:t xml:space="preserve"> clinical or cost effectiveness is limited</w:t>
            </w:r>
            <w:r>
              <w:rPr>
                <w:rFonts w:eastAsia="Segoe UI"/>
              </w:rPr>
              <w:t>.</w:t>
            </w:r>
            <w:r w:rsidRPr="004C439D">
              <w:rPr>
                <w:rFonts w:eastAsia="Segoe UI"/>
              </w:rPr>
              <w:t xml:space="preserve"> </w:t>
            </w:r>
            <w:r>
              <w:rPr>
                <w:rFonts w:eastAsia="Segoe UI"/>
              </w:rPr>
              <w:t xml:space="preserve">The review found support for clinical effectiveness of SGB, in general, at least for </w:t>
            </w:r>
            <w:r w:rsidRPr="004C439D">
              <w:rPr>
                <w:rFonts w:eastAsia="Segoe UI"/>
              </w:rPr>
              <w:t>complex CMF surgeries.</w:t>
            </w:r>
          </w:p>
        </w:tc>
      </w:tr>
    </w:tbl>
    <w:p w14:paraId="467DF9D7" w14:textId="2E83A4EF" w:rsidR="00D62310" w:rsidRDefault="00D62310" w:rsidP="0067535C">
      <w:pPr>
        <w:pStyle w:val="Paragraphtext"/>
        <w:rPr>
          <w:sz w:val="22"/>
          <w:szCs w:val="22"/>
        </w:rPr>
      </w:pPr>
    </w:p>
    <w:p w14:paraId="34EC204B" w14:textId="3FE7FB75" w:rsidR="0067535C" w:rsidRDefault="006D0EC1" w:rsidP="000A3D5C">
      <w:pPr>
        <w:spacing w:line="276" w:lineRule="auto"/>
        <w:rPr>
          <w:szCs w:val="22"/>
        </w:rPr>
      </w:pPr>
      <w:r w:rsidRPr="00036AA7">
        <w:rPr>
          <w:rStyle w:val="IntenseEmphasis"/>
          <w:b w:val="0"/>
          <w:bCs w:val="0"/>
          <w:i w:val="0"/>
          <w:iCs w:val="0"/>
          <w:color w:val="000000" w:themeColor="text1"/>
        </w:rPr>
        <w:t xml:space="preserve">The report </w:t>
      </w:r>
      <w:r w:rsidR="001A0322">
        <w:rPr>
          <w:rStyle w:val="IntenseEmphasis"/>
          <w:b w:val="0"/>
          <w:bCs w:val="0"/>
          <w:i w:val="0"/>
          <w:iCs w:val="0"/>
          <w:color w:val="000000" w:themeColor="text1"/>
        </w:rPr>
        <w:t xml:space="preserve">provided </w:t>
      </w:r>
      <w:r w:rsidR="00036AA7" w:rsidRPr="00036AA7">
        <w:rPr>
          <w:rStyle w:val="IntenseEmphasis"/>
          <w:b w:val="0"/>
          <w:bCs w:val="0"/>
          <w:i w:val="0"/>
          <w:iCs w:val="0"/>
          <w:color w:val="000000" w:themeColor="text1"/>
        </w:rPr>
        <w:t xml:space="preserve">a range of options </w:t>
      </w:r>
      <w:r w:rsidR="001A0322">
        <w:rPr>
          <w:rStyle w:val="IntenseEmphasis"/>
          <w:b w:val="0"/>
          <w:bCs w:val="0"/>
          <w:i w:val="0"/>
          <w:iCs w:val="0"/>
          <w:color w:val="000000" w:themeColor="text1"/>
        </w:rPr>
        <w:t>for the department to</w:t>
      </w:r>
      <w:r w:rsidR="00036AA7" w:rsidRPr="00036AA7">
        <w:rPr>
          <w:rStyle w:val="IntenseEmphasis"/>
          <w:b w:val="0"/>
          <w:bCs w:val="0"/>
          <w:i w:val="0"/>
          <w:iCs w:val="0"/>
          <w:color w:val="000000" w:themeColor="text1"/>
        </w:rPr>
        <w:t xml:space="preserve"> consider.</w:t>
      </w:r>
      <w:r w:rsidR="00ED57EA" w:rsidRPr="00036AA7">
        <w:rPr>
          <w:rStyle w:val="IntenseEmphasis"/>
          <w:b w:val="0"/>
          <w:bCs w:val="0"/>
          <w:i w:val="0"/>
          <w:iCs w:val="0"/>
          <w:color w:val="000000" w:themeColor="text1"/>
        </w:rPr>
        <w:t xml:space="preserve"> </w:t>
      </w:r>
      <w:r w:rsidR="00810E29">
        <w:rPr>
          <w:szCs w:val="22"/>
        </w:rPr>
        <w:t>The departme</w:t>
      </w:r>
      <w:r w:rsidR="00EA7D9C">
        <w:rPr>
          <w:szCs w:val="22"/>
        </w:rPr>
        <w:t>nt</w:t>
      </w:r>
      <w:r w:rsidR="0067535C">
        <w:rPr>
          <w:szCs w:val="22"/>
        </w:rPr>
        <w:t xml:space="preserve"> presented the report to MDHTAC in September 2023</w:t>
      </w:r>
      <w:r w:rsidR="00536F88">
        <w:rPr>
          <w:szCs w:val="22"/>
        </w:rPr>
        <w:t>.</w:t>
      </w:r>
    </w:p>
    <w:p w14:paraId="3EBCBD84" w14:textId="77777777" w:rsidR="00536F88" w:rsidRDefault="00536F88" w:rsidP="000A3D5C">
      <w:pPr>
        <w:spacing w:line="276" w:lineRule="auto"/>
        <w:rPr>
          <w:szCs w:val="22"/>
        </w:rPr>
      </w:pPr>
    </w:p>
    <w:p w14:paraId="3D8B975D" w14:textId="22B6E9CB" w:rsidR="0095046B" w:rsidRDefault="00F402F8" w:rsidP="000A3D5C">
      <w:pPr>
        <w:widowControl w:val="0"/>
        <w:spacing w:line="276" w:lineRule="auto"/>
      </w:pPr>
      <w:r>
        <w:rPr>
          <w:szCs w:val="22"/>
        </w:rPr>
        <w:lastRenderedPageBreak/>
        <w:t xml:space="preserve">MDHTAC </w:t>
      </w:r>
      <w:r>
        <w:t xml:space="preserve">agreed </w:t>
      </w:r>
      <w:r w:rsidR="00622895">
        <w:t xml:space="preserve">that </w:t>
      </w:r>
      <w:r>
        <w:t xml:space="preserve">the billing codes for </w:t>
      </w:r>
      <w:r w:rsidR="003F6F7C">
        <w:t xml:space="preserve">SGB </w:t>
      </w:r>
      <w:r>
        <w:t>need</w:t>
      </w:r>
      <w:r w:rsidR="00A612A1">
        <w:t>s</w:t>
      </w:r>
      <w:r>
        <w:t xml:space="preserve"> to be specifically restricted </w:t>
      </w:r>
      <w:r w:rsidR="00622895">
        <w:t>to</w:t>
      </w:r>
      <w:r>
        <w:t xml:space="preserve"> CMF</w:t>
      </w:r>
      <w:r w:rsidR="00554911">
        <w:t xml:space="preserve">. </w:t>
      </w:r>
      <w:r w:rsidR="001A5B4E">
        <w:t xml:space="preserve">MDHTAC advised the department </w:t>
      </w:r>
      <w:r w:rsidR="007961B0">
        <w:t xml:space="preserve">to review billing codes for </w:t>
      </w:r>
      <w:r w:rsidR="00BA1FAE">
        <w:t>SGB</w:t>
      </w:r>
      <w:r w:rsidR="007961B0">
        <w:t xml:space="preserve"> in respect of placing a condition restricting PL reimbursement to the use of the devices in CMF </w:t>
      </w:r>
      <w:r w:rsidR="007961B0" w:rsidRPr="00BD66A3">
        <w:t>and oral surgery</w:t>
      </w:r>
      <w:r w:rsidR="007961B0">
        <w:t xml:space="preserve"> </w:t>
      </w:r>
      <w:r w:rsidR="00EA7D9C">
        <w:t>(</w:t>
      </w:r>
      <w:r w:rsidR="007961B0">
        <w:t>jaw and facial reconstructions</w:t>
      </w:r>
      <w:r w:rsidR="00EA7D9C">
        <w:t>)</w:t>
      </w:r>
      <w:r w:rsidR="007961B0">
        <w:t xml:space="preserve">, involving implantation of an implantable device, and limiting the claims to no more than 3-4 </w:t>
      </w:r>
      <w:r w:rsidR="008D4293">
        <w:t>SGB</w:t>
      </w:r>
      <w:r w:rsidR="007961B0">
        <w:t xml:space="preserve"> per procedure</w:t>
      </w:r>
      <w:r w:rsidR="007607B4">
        <w:t>.</w:t>
      </w:r>
    </w:p>
    <w:p w14:paraId="098656AA" w14:textId="77777777" w:rsidR="00F402F8" w:rsidRDefault="00F402F8" w:rsidP="000A3D5C">
      <w:pPr>
        <w:widowControl w:val="0"/>
        <w:spacing w:line="276" w:lineRule="auto"/>
      </w:pPr>
    </w:p>
    <w:p w14:paraId="48B86247" w14:textId="2F3AA73F" w:rsidR="00D33FAE" w:rsidRDefault="00D33FAE" w:rsidP="000A3D5C">
      <w:pPr>
        <w:widowControl w:val="0"/>
        <w:spacing w:line="276" w:lineRule="auto"/>
      </w:pPr>
      <w:r>
        <w:t xml:space="preserve">For any other type of surgery (e.g. orthopaedic), sponsors will be required to apply for listing of the device in that specific category and provide the satisfactory data to demonstrate the device is both essential for implantation of an implantable device and leads to improved clinical outcomes. </w:t>
      </w:r>
    </w:p>
    <w:p w14:paraId="1E6A902C" w14:textId="77777777" w:rsidR="00554911" w:rsidRDefault="00554911" w:rsidP="000A3D5C">
      <w:pPr>
        <w:widowControl w:val="0"/>
        <w:spacing w:line="276" w:lineRule="auto"/>
      </w:pPr>
    </w:p>
    <w:p w14:paraId="3E8EA1E6" w14:textId="0766494A" w:rsidR="00D43624" w:rsidRPr="002D7D7D" w:rsidRDefault="00D33FAE" w:rsidP="000A3D5C">
      <w:pPr>
        <w:widowControl w:val="0"/>
        <w:spacing w:line="276" w:lineRule="auto"/>
      </w:pPr>
      <w:r>
        <w:t>It was noted that MBS item descriptors do not generally define complex and simple surgeries, but there are some MBS items that indicate the use of the device as part of the implantation procedure.</w:t>
      </w:r>
    </w:p>
    <w:p w14:paraId="2954D9DD" w14:textId="0CEF6AA1" w:rsidR="00333356" w:rsidRDefault="00B95413" w:rsidP="00322B59">
      <w:pPr>
        <w:pStyle w:val="Subtitle"/>
      </w:pPr>
      <w:bookmarkStart w:id="22" w:name="_Toc224302055"/>
      <w:bookmarkStart w:id="23" w:name="_Toc152330049"/>
      <w:r>
        <w:t xml:space="preserve">Stage 1 </w:t>
      </w:r>
      <w:r w:rsidR="001A3413">
        <w:t>O</w:t>
      </w:r>
      <w:r w:rsidR="00210E86">
        <w:t>utcome</w:t>
      </w:r>
      <w:bookmarkEnd w:id="22"/>
      <w:r w:rsidR="00210E86">
        <w:t xml:space="preserve"> </w:t>
      </w:r>
    </w:p>
    <w:p w14:paraId="3736AD0E" w14:textId="7893E20B" w:rsidR="00333356" w:rsidRPr="002754CE" w:rsidRDefault="003E78B1" w:rsidP="000A3D5C">
      <w:pPr>
        <w:pStyle w:val="Paragraphtext"/>
        <w:spacing w:line="276" w:lineRule="auto"/>
        <w:rPr>
          <w:color w:val="auto"/>
          <w:sz w:val="22"/>
        </w:rPr>
      </w:pPr>
      <w:r>
        <w:rPr>
          <w:color w:val="auto"/>
          <w:sz w:val="22"/>
        </w:rPr>
        <w:t>The department place</w:t>
      </w:r>
      <w:r w:rsidR="00CB4DFE">
        <w:rPr>
          <w:color w:val="auto"/>
          <w:sz w:val="22"/>
        </w:rPr>
        <w:t>d</w:t>
      </w:r>
      <w:r>
        <w:rPr>
          <w:color w:val="auto"/>
          <w:sz w:val="22"/>
        </w:rPr>
        <w:t xml:space="preserve"> a </w:t>
      </w:r>
      <w:hyperlink r:id="rId24" w:history="1">
        <w:r w:rsidR="004C1C1C">
          <w:rPr>
            <w:rStyle w:val="Hyperlink"/>
            <w:sz w:val="22"/>
          </w:rPr>
          <w:t>condition on claims for SGB</w:t>
        </w:r>
      </w:hyperlink>
      <w:r w:rsidR="00CB4DFE">
        <w:rPr>
          <w:color w:val="auto"/>
          <w:sz w:val="22"/>
        </w:rPr>
        <w:t xml:space="preserve"> in November 2023 t</w:t>
      </w:r>
      <w:r w:rsidR="00054D5A" w:rsidRPr="002754CE">
        <w:rPr>
          <w:color w:val="auto"/>
          <w:sz w:val="22"/>
        </w:rPr>
        <w:t>o reflect the finding</w:t>
      </w:r>
      <w:r w:rsidR="009D7ADB" w:rsidRPr="002754CE">
        <w:rPr>
          <w:color w:val="auto"/>
          <w:sz w:val="22"/>
        </w:rPr>
        <w:t>s</w:t>
      </w:r>
      <w:r w:rsidR="00054D5A" w:rsidRPr="002754CE">
        <w:rPr>
          <w:color w:val="auto"/>
          <w:sz w:val="22"/>
        </w:rPr>
        <w:t xml:space="preserve"> </w:t>
      </w:r>
      <w:r w:rsidR="00622895">
        <w:rPr>
          <w:color w:val="auto"/>
          <w:sz w:val="22"/>
        </w:rPr>
        <w:t>of stage 1</w:t>
      </w:r>
      <w:r w:rsidR="007D1E09" w:rsidRPr="002754CE">
        <w:rPr>
          <w:color w:val="auto"/>
          <w:sz w:val="22"/>
        </w:rPr>
        <w:t>.</w:t>
      </w:r>
      <w:r w:rsidR="003323C0" w:rsidRPr="002754CE">
        <w:rPr>
          <w:color w:val="auto"/>
          <w:sz w:val="22"/>
        </w:rPr>
        <w:t xml:space="preserve"> </w:t>
      </w:r>
      <w:r w:rsidR="00E35EF3">
        <w:rPr>
          <w:color w:val="auto"/>
          <w:sz w:val="22"/>
        </w:rPr>
        <w:t>The department</w:t>
      </w:r>
      <w:r w:rsidR="00207651">
        <w:rPr>
          <w:color w:val="auto"/>
          <w:sz w:val="22"/>
        </w:rPr>
        <w:t xml:space="preserve"> delayed i</w:t>
      </w:r>
      <w:r w:rsidR="003323C0" w:rsidRPr="002754CE">
        <w:rPr>
          <w:color w:val="auto"/>
          <w:sz w:val="22"/>
        </w:rPr>
        <w:t xml:space="preserve">mplementation of the </w:t>
      </w:r>
      <w:hyperlink r:id="rId25" w:history="1">
        <w:r w:rsidR="00207651">
          <w:rPr>
            <w:rStyle w:val="Hyperlink"/>
            <w:sz w:val="22"/>
          </w:rPr>
          <w:t>condition until 1 February 2024</w:t>
        </w:r>
      </w:hyperlink>
      <w:r w:rsidR="00EA6C66">
        <w:rPr>
          <w:color w:val="auto"/>
          <w:sz w:val="22"/>
        </w:rPr>
        <w:t xml:space="preserve"> </w:t>
      </w:r>
      <w:r w:rsidR="00E35EF3">
        <w:rPr>
          <w:color w:val="auto"/>
          <w:sz w:val="22"/>
        </w:rPr>
        <w:t>so</w:t>
      </w:r>
      <w:r w:rsidR="002D4A52" w:rsidRPr="002D4A52">
        <w:rPr>
          <w:color w:val="auto"/>
          <w:sz w:val="22"/>
        </w:rPr>
        <w:t xml:space="preserve"> </w:t>
      </w:r>
      <w:r w:rsidR="002D4A52">
        <w:rPr>
          <w:color w:val="auto"/>
          <w:sz w:val="22"/>
        </w:rPr>
        <w:t>s</w:t>
      </w:r>
      <w:r w:rsidR="002D4A52" w:rsidRPr="002D4A52">
        <w:rPr>
          <w:color w:val="auto"/>
          <w:sz w:val="22"/>
        </w:rPr>
        <w:t xml:space="preserve">cheduled procedures </w:t>
      </w:r>
      <w:r w:rsidR="00E35EF3">
        <w:rPr>
          <w:color w:val="auto"/>
          <w:sz w:val="22"/>
        </w:rPr>
        <w:t>could proceed</w:t>
      </w:r>
      <w:r w:rsidR="002D4A52" w:rsidRPr="002D4A52">
        <w:rPr>
          <w:color w:val="auto"/>
          <w:sz w:val="22"/>
        </w:rPr>
        <w:t xml:space="preserve"> without patients incurring unexpected out-of-pocket costs</w:t>
      </w:r>
      <w:r w:rsidR="007D1807" w:rsidRPr="002754CE">
        <w:rPr>
          <w:color w:val="auto"/>
          <w:sz w:val="22"/>
        </w:rPr>
        <w:t xml:space="preserve">. </w:t>
      </w:r>
    </w:p>
    <w:p w14:paraId="7D0395D4" w14:textId="77777777" w:rsidR="006159C8" w:rsidRDefault="006159C8" w:rsidP="000A3D5C">
      <w:pPr>
        <w:spacing w:line="276" w:lineRule="auto"/>
      </w:pPr>
    </w:p>
    <w:p w14:paraId="61224731" w14:textId="01010A1A" w:rsidR="00536F6E" w:rsidRPr="006159C8" w:rsidRDefault="00536F6E" w:rsidP="000A3D5C">
      <w:pPr>
        <w:spacing w:line="276" w:lineRule="auto"/>
      </w:pPr>
      <w:r>
        <w:t xml:space="preserve">The </w:t>
      </w:r>
      <w:r w:rsidR="009B7632">
        <w:t xml:space="preserve">department </w:t>
      </w:r>
      <w:r w:rsidR="00C339F5">
        <w:t xml:space="preserve">published a </w:t>
      </w:r>
      <w:hyperlink r:id="rId26" w:history="1">
        <w:r w:rsidR="00C339F5" w:rsidRPr="00B95413">
          <w:rPr>
            <w:rStyle w:val="Hyperlink"/>
          </w:rPr>
          <w:t>frequently asked questions document</w:t>
        </w:r>
      </w:hyperlink>
      <w:r w:rsidR="00C339F5">
        <w:t xml:space="preserve"> in February 2024 and </w:t>
      </w:r>
      <w:r w:rsidR="000C4356">
        <w:t xml:space="preserve">committed to </w:t>
      </w:r>
      <w:r w:rsidR="00875683">
        <w:t>monitoring the impact of the condition</w:t>
      </w:r>
      <w:r w:rsidR="000C4356">
        <w:t>.</w:t>
      </w:r>
    </w:p>
    <w:p w14:paraId="17CC5FA4" w14:textId="63DC6309" w:rsidR="006159C8" w:rsidRPr="00437511" w:rsidRDefault="006159C8" w:rsidP="00437511">
      <w:pPr>
        <w:pStyle w:val="Heading2"/>
        <w:rPr>
          <w:iCs w:val="0"/>
          <w:sz w:val="36"/>
        </w:rPr>
      </w:pPr>
      <w:bookmarkStart w:id="24" w:name="_Toc224302056"/>
      <w:bookmarkStart w:id="25" w:name="_Toc227235495"/>
      <w:r w:rsidRPr="00437511">
        <w:rPr>
          <w:iCs w:val="0"/>
          <w:sz w:val="36"/>
        </w:rPr>
        <w:t>Monitoring the condition</w:t>
      </w:r>
      <w:bookmarkEnd w:id="24"/>
      <w:bookmarkEnd w:id="25"/>
    </w:p>
    <w:p w14:paraId="290DEE13" w14:textId="50D20C5A" w:rsidR="00ED6731" w:rsidRDefault="004D1654" w:rsidP="000A3D5C">
      <w:pPr>
        <w:spacing w:line="276" w:lineRule="auto"/>
      </w:pPr>
      <w:r w:rsidRPr="004D1654">
        <w:t>Following stage 1, the department monitored the condition to identify any unintended consequences and address</w:t>
      </w:r>
      <w:r>
        <w:t xml:space="preserve"> these with adjustments to the condition</w:t>
      </w:r>
      <w:r w:rsidRPr="004D1654">
        <w:t>.</w:t>
      </w:r>
      <w:r w:rsidR="00436261">
        <w:t xml:space="preserve"> Monitoring included</w:t>
      </w:r>
      <w:r w:rsidR="00B01F4D">
        <w:t>:</w:t>
      </w:r>
    </w:p>
    <w:p w14:paraId="5028717A" w14:textId="79F921DA" w:rsidR="000A6CEB" w:rsidRDefault="003C3DAA" w:rsidP="000A3D5C">
      <w:pPr>
        <w:pStyle w:val="ListParagraph"/>
        <w:numPr>
          <w:ilvl w:val="0"/>
          <w:numId w:val="20"/>
        </w:numPr>
        <w:spacing w:line="276" w:lineRule="auto"/>
      </w:pPr>
      <w:r>
        <w:t>consult</w:t>
      </w:r>
      <w:r w:rsidR="00B22C02">
        <w:t xml:space="preserve">ation with </w:t>
      </w:r>
      <w:r>
        <w:t>stakeholder</w:t>
      </w:r>
      <w:r w:rsidR="00F41294">
        <w:t>s</w:t>
      </w:r>
    </w:p>
    <w:p w14:paraId="3F9178A2" w14:textId="27BFD46C" w:rsidR="00436261" w:rsidRDefault="00841B7C" w:rsidP="000A3D5C">
      <w:pPr>
        <w:pStyle w:val="ListParagraph"/>
        <w:numPr>
          <w:ilvl w:val="1"/>
          <w:numId w:val="20"/>
        </w:numPr>
        <w:spacing w:line="276" w:lineRule="auto"/>
      </w:pPr>
      <w:r>
        <w:t>formal consultation</w:t>
      </w:r>
      <w:r w:rsidR="006421F9">
        <w:t xml:space="preserve"> on the condition</w:t>
      </w:r>
    </w:p>
    <w:p w14:paraId="18D2A8E8" w14:textId="7158FED6" w:rsidR="00704FD9" w:rsidRDefault="0046291B" w:rsidP="000A3D5C">
      <w:pPr>
        <w:pStyle w:val="ListParagraph"/>
        <w:numPr>
          <w:ilvl w:val="1"/>
          <w:numId w:val="20"/>
        </w:numPr>
        <w:spacing w:line="276" w:lineRule="auto"/>
      </w:pPr>
      <w:r>
        <w:t>feedback from clinical experts and associations</w:t>
      </w:r>
    </w:p>
    <w:p w14:paraId="7A253BDB" w14:textId="5F3C307C" w:rsidR="00ED6731" w:rsidRDefault="006B206D" w:rsidP="000A3D5C">
      <w:pPr>
        <w:pStyle w:val="ListParagraph"/>
        <w:numPr>
          <w:ilvl w:val="0"/>
          <w:numId w:val="20"/>
        </w:numPr>
        <w:spacing w:line="276" w:lineRule="auto"/>
      </w:pPr>
      <w:r>
        <w:t xml:space="preserve">reviewing </w:t>
      </w:r>
      <w:r w:rsidR="000820B5">
        <w:t xml:space="preserve">HCP1 </w:t>
      </w:r>
      <w:r>
        <w:t>claim</w:t>
      </w:r>
      <w:r w:rsidR="00B22C02">
        <w:t xml:space="preserve"> and separation </w:t>
      </w:r>
      <w:r w:rsidR="00ED6731">
        <w:t>d</w:t>
      </w:r>
      <w:r>
        <w:t xml:space="preserve">ata </w:t>
      </w:r>
      <w:r w:rsidR="00ED6731">
        <w:t xml:space="preserve">for </w:t>
      </w:r>
      <w:r w:rsidR="00F41294">
        <w:t>SGB</w:t>
      </w:r>
      <w:r w:rsidR="003C3DAA">
        <w:t xml:space="preserve">. </w:t>
      </w:r>
    </w:p>
    <w:p w14:paraId="7A70B671" w14:textId="77777777" w:rsidR="00DA7B66" w:rsidRDefault="00DA7B66" w:rsidP="000A3D5C">
      <w:pPr>
        <w:spacing w:line="276" w:lineRule="auto"/>
      </w:pPr>
    </w:p>
    <w:p w14:paraId="3464ED52" w14:textId="1CED0DCD" w:rsidR="000820B5" w:rsidRPr="000820B5" w:rsidRDefault="000820B5" w:rsidP="000A3D5C">
      <w:pPr>
        <w:spacing w:line="276" w:lineRule="auto"/>
        <w:rPr>
          <w:b/>
          <w:bCs/>
        </w:rPr>
      </w:pPr>
      <w:r w:rsidRPr="000820B5">
        <w:rPr>
          <w:b/>
          <w:bCs/>
        </w:rPr>
        <w:t xml:space="preserve">Stakeholder </w:t>
      </w:r>
      <w:r w:rsidR="0046291B">
        <w:rPr>
          <w:b/>
          <w:bCs/>
        </w:rPr>
        <w:t>consultation</w:t>
      </w:r>
    </w:p>
    <w:p w14:paraId="0291D55E" w14:textId="542EACE5" w:rsidR="00841B7C" w:rsidRDefault="003500A5" w:rsidP="000A3D5C">
      <w:pPr>
        <w:spacing w:line="276" w:lineRule="auto"/>
      </w:pPr>
      <w:r>
        <w:t>In March 2024, t</w:t>
      </w:r>
      <w:r w:rsidR="0046291B">
        <w:t xml:space="preserve">he department completed </w:t>
      </w:r>
      <w:r w:rsidR="00841B7C">
        <w:t xml:space="preserve">consultation on the </w:t>
      </w:r>
      <w:r w:rsidR="00841B7C" w:rsidRPr="000820B5">
        <w:t xml:space="preserve">requirement that implantable devices listed in ‘sub-category 07.03 – Dental Implants’ be ‘explicitly identified in the product name or description of the billing code for the surgical guide or </w:t>
      </w:r>
      <w:proofErr w:type="spellStart"/>
      <w:r w:rsidR="00AE0BC7" w:rsidRPr="000820B5">
        <w:t>biomodel</w:t>
      </w:r>
      <w:proofErr w:type="spellEnd"/>
      <w:r w:rsidR="00AE0BC7">
        <w:t>’</w:t>
      </w:r>
      <w:r w:rsidR="00841B7C">
        <w:t xml:space="preserve">. </w:t>
      </w:r>
      <w:r w:rsidR="00261D4C">
        <w:t xml:space="preserve">The department considered stakeholder submissions and </w:t>
      </w:r>
      <w:r w:rsidR="00D779A0">
        <w:t xml:space="preserve">continued to monitor and review the </w:t>
      </w:r>
      <w:r w:rsidR="00E25415">
        <w:t>condition</w:t>
      </w:r>
      <w:r w:rsidR="00D779A0">
        <w:t>.</w:t>
      </w:r>
    </w:p>
    <w:p w14:paraId="06E47466" w14:textId="77777777" w:rsidR="00841B7C" w:rsidRDefault="00841B7C" w:rsidP="000A3D5C">
      <w:pPr>
        <w:spacing w:line="276" w:lineRule="auto"/>
      </w:pPr>
    </w:p>
    <w:p w14:paraId="06A0B6D2" w14:textId="6B0A98B4" w:rsidR="00533C1E" w:rsidRDefault="008C290B" w:rsidP="000A3D5C">
      <w:pPr>
        <w:spacing w:line="276" w:lineRule="auto"/>
      </w:pPr>
      <w:r>
        <w:t xml:space="preserve">In addition to the formal </w:t>
      </w:r>
      <w:r w:rsidR="00891008">
        <w:t>consultation</w:t>
      </w:r>
      <w:r>
        <w:t xml:space="preserve"> stakeholders provided feedback about the condition </w:t>
      </w:r>
      <w:r w:rsidR="00891008">
        <w:t xml:space="preserve">impacting on hospitals and some </w:t>
      </w:r>
      <w:r w:rsidR="00B37B8C">
        <w:t>complex procedures</w:t>
      </w:r>
      <w:r w:rsidR="00891008">
        <w:t xml:space="preserve">. </w:t>
      </w:r>
      <w:r w:rsidR="00763460">
        <w:t>The department worked with clinical stakeholders to further understand the impact of the condition on workflows and patient care.</w:t>
      </w:r>
    </w:p>
    <w:p w14:paraId="430E0C3A" w14:textId="77777777" w:rsidR="00B37B8C" w:rsidRPr="00F25AAB" w:rsidRDefault="00B37B8C" w:rsidP="000A3D5C">
      <w:pPr>
        <w:spacing w:line="276" w:lineRule="auto"/>
      </w:pPr>
    </w:p>
    <w:p w14:paraId="36D57384" w14:textId="1459BED5" w:rsidR="00F5775F" w:rsidRPr="00F5775F" w:rsidRDefault="00F5775F" w:rsidP="000A3D5C">
      <w:pPr>
        <w:spacing w:line="276" w:lineRule="auto"/>
        <w:rPr>
          <w:b/>
          <w:bCs/>
        </w:rPr>
      </w:pPr>
      <w:r w:rsidRPr="00F5775F">
        <w:rPr>
          <w:b/>
          <w:bCs/>
        </w:rPr>
        <w:t>Data analysis</w:t>
      </w:r>
    </w:p>
    <w:p w14:paraId="42CE2278" w14:textId="69AED2EC" w:rsidR="006F34F9" w:rsidRPr="006F34F9" w:rsidRDefault="009E44D5" w:rsidP="000A3D5C">
      <w:pPr>
        <w:spacing w:line="276" w:lineRule="auto"/>
        <w:rPr>
          <w:lang w:val="en-GB"/>
        </w:rPr>
      </w:pPr>
      <w:r>
        <w:t>T</w:t>
      </w:r>
      <w:r w:rsidR="00F5775F">
        <w:t xml:space="preserve">he department reviewed </w:t>
      </w:r>
      <w:r w:rsidR="00F117D0">
        <w:t>HCP1 claims data</w:t>
      </w:r>
      <w:r w:rsidR="00DD12E1">
        <w:t xml:space="preserve"> </w:t>
      </w:r>
      <w:r w:rsidR="009E3EEE">
        <w:t>comparing c</w:t>
      </w:r>
      <w:r w:rsidR="007C2E14">
        <w:t xml:space="preserve">laims </w:t>
      </w:r>
      <w:r w:rsidR="00C17610">
        <w:t xml:space="preserve">for </w:t>
      </w:r>
      <w:r w:rsidR="00C571C6">
        <w:t>SGB</w:t>
      </w:r>
      <w:r w:rsidR="00C17610">
        <w:t xml:space="preserve"> for</w:t>
      </w:r>
      <w:r w:rsidR="003D55A4">
        <w:t xml:space="preserve"> date</w:t>
      </w:r>
      <w:r w:rsidR="00C17610">
        <w:t xml:space="preserve"> matched time periods pre and post the </w:t>
      </w:r>
      <w:r w:rsidR="00B75D75">
        <w:t>February 2024 condition.</w:t>
      </w:r>
      <w:r w:rsidR="00C43D22">
        <w:t xml:space="preserve"> </w:t>
      </w:r>
      <w:r w:rsidR="00725B8C">
        <w:t>The data was extracted on 1 May</w:t>
      </w:r>
      <w:r w:rsidR="002F78FF">
        <w:t> </w:t>
      </w:r>
      <w:r w:rsidR="00725B8C">
        <w:t>2025</w:t>
      </w:r>
      <w:r w:rsidR="008E674C">
        <w:t xml:space="preserve"> for a </w:t>
      </w:r>
      <w:r w:rsidR="00C71127">
        <w:t>6-month</w:t>
      </w:r>
      <w:r w:rsidR="008E674C">
        <w:t xml:space="preserve"> analysis and on </w:t>
      </w:r>
      <w:r w:rsidR="00931A36">
        <w:t xml:space="preserve">28 August 2025 for a </w:t>
      </w:r>
      <w:r w:rsidR="00C71127">
        <w:t>12-month</w:t>
      </w:r>
      <w:r w:rsidR="00931A36">
        <w:t xml:space="preserve"> analy</w:t>
      </w:r>
      <w:r w:rsidR="00BB37BE">
        <w:t>sis</w:t>
      </w:r>
      <w:r w:rsidR="00725B8C">
        <w:t>.</w:t>
      </w:r>
      <w:r w:rsidR="00CD0D5F">
        <w:t xml:space="preserve"> </w:t>
      </w:r>
    </w:p>
    <w:p w14:paraId="24B2CB16" w14:textId="54FDFACC" w:rsidR="00725B8C" w:rsidRPr="00763460" w:rsidRDefault="0054677C" w:rsidP="000A3D5C">
      <w:pPr>
        <w:spacing w:line="276" w:lineRule="auto"/>
        <w:rPr>
          <w:u w:val="single"/>
          <w:lang w:val="en-GB"/>
        </w:rPr>
      </w:pPr>
      <w:r w:rsidRPr="00763460">
        <w:rPr>
          <w:u w:val="single"/>
          <w:lang w:val="en-GB"/>
        </w:rPr>
        <w:lastRenderedPageBreak/>
        <w:t>6-month</w:t>
      </w:r>
      <w:r w:rsidR="00763460" w:rsidRPr="00763460">
        <w:rPr>
          <w:u w:val="single"/>
          <w:lang w:val="en-GB"/>
        </w:rPr>
        <w:t xml:space="preserve"> data analysis</w:t>
      </w:r>
    </w:p>
    <w:p w14:paraId="6808700E" w14:textId="792341F0" w:rsidR="006F704C" w:rsidRDefault="009F1B50" w:rsidP="000A3D5C">
      <w:pPr>
        <w:spacing w:line="276" w:lineRule="auto"/>
        <w:rPr>
          <w:lang w:val="en-GB"/>
        </w:rPr>
      </w:pPr>
      <w:r>
        <w:rPr>
          <w:lang w:val="en-GB"/>
        </w:rPr>
        <w:t>T</w:t>
      </w:r>
      <w:r w:rsidR="006F34F9" w:rsidRPr="006F34F9">
        <w:rPr>
          <w:lang w:val="en-GB"/>
        </w:rPr>
        <w:t>he</w:t>
      </w:r>
      <w:r w:rsidR="00BB37BE">
        <w:rPr>
          <w:lang w:val="en-GB"/>
        </w:rPr>
        <w:t xml:space="preserve"> </w:t>
      </w:r>
      <w:r w:rsidR="00D21869">
        <w:rPr>
          <w:lang w:val="en-GB"/>
        </w:rPr>
        <w:t xml:space="preserve">6-month </w:t>
      </w:r>
      <w:r w:rsidR="00BB37BE">
        <w:rPr>
          <w:lang w:val="en-GB"/>
        </w:rPr>
        <w:t>data</w:t>
      </w:r>
      <w:r w:rsidR="006F34F9" w:rsidRPr="006F34F9">
        <w:rPr>
          <w:lang w:val="en-GB"/>
        </w:rPr>
        <w:t xml:space="preserve"> analysis </w:t>
      </w:r>
      <w:r>
        <w:rPr>
          <w:lang w:val="en-GB"/>
        </w:rPr>
        <w:t>show</w:t>
      </w:r>
      <w:r w:rsidR="00DD2281">
        <w:rPr>
          <w:lang w:val="en-GB"/>
        </w:rPr>
        <w:t>ed</w:t>
      </w:r>
      <w:r w:rsidR="006F704C">
        <w:rPr>
          <w:lang w:val="en-GB"/>
        </w:rPr>
        <w:t>:</w:t>
      </w:r>
    </w:p>
    <w:p w14:paraId="4F17D027" w14:textId="4D022AF3" w:rsidR="003268AC" w:rsidRPr="004D1654" w:rsidRDefault="00DD2281" w:rsidP="004D1654">
      <w:pPr>
        <w:pStyle w:val="ListParagraph"/>
        <w:numPr>
          <w:ilvl w:val="0"/>
          <w:numId w:val="24"/>
        </w:numPr>
        <w:spacing w:line="276" w:lineRule="auto"/>
        <w:rPr>
          <w:lang w:val="en-GB"/>
        </w:rPr>
      </w:pPr>
      <w:r w:rsidRPr="003268AC">
        <w:rPr>
          <w:lang w:val="en-GB"/>
        </w:rPr>
        <w:t xml:space="preserve">an overall reduction in claims for </w:t>
      </w:r>
      <w:r w:rsidR="00456366">
        <w:rPr>
          <w:lang w:val="en-GB"/>
        </w:rPr>
        <w:t>SGB</w:t>
      </w:r>
      <w:r w:rsidR="00725B8C" w:rsidRPr="003268AC">
        <w:rPr>
          <w:lang w:val="en-GB"/>
        </w:rPr>
        <w:t xml:space="preserve"> </w:t>
      </w:r>
      <w:r w:rsidR="004D1654">
        <w:rPr>
          <w:lang w:val="en-GB"/>
        </w:rPr>
        <w:t xml:space="preserve">and separations where </w:t>
      </w:r>
      <w:r w:rsidR="003268AC" w:rsidRPr="004D1654">
        <w:rPr>
          <w:lang w:val="en-GB"/>
        </w:rPr>
        <w:t xml:space="preserve">surgical guides and </w:t>
      </w:r>
      <w:proofErr w:type="spellStart"/>
      <w:r w:rsidR="003268AC" w:rsidRPr="004D1654">
        <w:rPr>
          <w:lang w:val="en-GB"/>
        </w:rPr>
        <w:t>biomodels</w:t>
      </w:r>
      <w:proofErr w:type="spellEnd"/>
      <w:r w:rsidR="003268AC" w:rsidRPr="004D1654">
        <w:rPr>
          <w:lang w:val="en-GB"/>
        </w:rPr>
        <w:t xml:space="preserve"> were claimed </w:t>
      </w:r>
    </w:p>
    <w:p w14:paraId="705730CB" w14:textId="79D306A9" w:rsidR="003268AC" w:rsidRDefault="007C47C7" w:rsidP="000A3D5C">
      <w:pPr>
        <w:pStyle w:val="ListParagraph"/>
        <w:numPr>
          <w:ilvl w:val="0"/>
          <w:numId w:val="24"/>
        </w:numPr>
        <w:spacing w:line="276" w:lineRule="auto"/>
        <w:rPr>
          <w:lang w:val="en-GB"/>
        </w:rPr>
      </w:pPr>
      <w:r>
        <w:rPr>
          <w:lang w:val="en-GB"/>
        </w:rPr>
        <w:t>a</w:t>
      </w:r>
      <w:r w:rsidR="003268AC">
        <w:rPr>
          <w:lang w:val="en-GB"/>
        </w:rPr>
        <w:t xml:space="preserve"> reduction i</w:t>
      </w:r>
      <w:r w:rsidR="009C7FE1">
        <w:rPr>
          <w:lang w:val="en-GB"/>
        </w:rPr>
        <w:t>n</w:t>
      </w:r>
      <w:r w:rsidR="003268AC">
        <w:rPr>
          <w:lang w:val="en-GB"/>
        </w:rPr>
        <w:t xml:space="preserve"> separations where </w:t>
      </w:r>
      <w:r w:rsidR="00456366">
        <w:rPr>
          <w:lang w:val="en-GB"/>
        </w:rPr>
        <w:t>SGB</w:t>
      </w:r>
      <w:r w:rsidR="003268AC">
        <w:rPr>
          <w:lang w:val="en-GB"/>
        </w:rPr>
        <w:t xml:space="preserve"> were claimed without an implantable device</w:t>
      </w:r>
    </w:p>
    <w:p w14:paraId="4FB8DD61" w14:textId="176C4D76" w:rsidR="001570E7" w:rsidRDefault="007C47C7" w:rsidP="000A3D5C">
      <w:pPr>
        <w:pStyle w:val="ListParagraph"/>
        <w:numPr>
          <w:ilvl w:val="0"/>
          <w:numId w:val="24"/>
        </w:numPr>
        <w:spacing w:line="276" w:lineRule="auto"/>
        <w:rPr>
          <w:lang w:val="en-GB"/>
        </w:rPr>
      </w:pPr>
      <w:r>
        <w:rPr>
          <w:lang w:val="en-GB"/>
        </w:rPr>
        <w:t>a</w:t>
      </w:r>
      <w:r w:rsidR="003268AC">
        <w:rPr>
          <w:lang w:val="en-GB"/>
        </w:rPr>
        <w:t xml:space="preserve"> reduction in separation</w:t>
      </w:r>
      <w:r w:rsidR="004D1654">
        <w:rPr>
          <w:lang w:val="en-GB"/>
        </w:rPr>
        <w:t>s</w:t>
      </w:r>
      <w:r w:rsidR="003268AC">
        <w:rPr>
          <w:lang w:val="en-GB"/>
        </w:rPr>
        <w:t xml:space="preserve"> with claims </w:t>
      </w:r>
      <w:r w:rsidR="001570E7">
        <w:rPr>
          <w:lang w:val="en-GB"/>
        </w:rPr>
        <w:t xml:space="preserve">for 2 and 3 </w:t>
      </w:r>
      <w:r w:rsidR="00456366">
        <w:rPr>
          <w:lang w:val="en-GB"/>
        </w:rPr>
        <w:t>SGB</w:t>
      </w:r>
    </w:p>
    <w:p w14:paraId="19C0A5FC" w14:textId="5F5EB019" w:rsidR="001570E7" w:rsidRDefault="007C47C7" w:rsidP="000A3D5C">
      <w:pPr>
        <w:pStyle w:val="ListParagraph"/>
        <w:numPr>
          <w:ilvl w:val="0"/>
          <w:numId w:val="24"/>
        </w:numPr>
        <w:spacing w:line="276" w:lineRule="auto"/>
        <w:rPr>
          <w:lang w:val="en-GB"/>
        </w:rPr>
      </w:pPr>
      <w:r>
        <w:rPr>
          <w:lang w:val="en-GB"/>
        </w:rPr>
        <w:t>a</w:t>
      </w:r>
      <w:r w:rsidR="001570E7">
        <w:rPr>
          <w:lang w:val="en-GB"/>
        </w:rPr>
        <w:t xml:space="preserve">n increase in separations with claims for 6 </w:t>
      </w:r>
      <w:r w:rsidR="00456366">
        <w:rPr>
          <w:lang w:val="en-GB"/>
        </w:rPr>
        <w:t>SGB</w:t>
      </w:r>
    </w:p>
    <w:p w14:paraId="0878E79B" w14:textId="7B224327" w:rsidR="008B61D2" w:rsidRPr="00996B76" w:rsidRDefault="00401246" w:rsidP="00996B76">
      <w:pPr>
        <w:pStyle w:val="ListParagraph"/>
        <w:numPr>
          <w:ilvl w:val="0"/>
          <w:numId w:val="24"/>
        </w:numPr>
        <w:spacing w:after="240" w:line="276" w:lineRule="auto"/>
        <w:rPr>
          <w:lang w:val="en-GB"/>
        </w:rPr>
      </w:pPr>
      <w:r>
        <w:rPr>
          <w:lang w:val="en-GB"/>
        </w:rPr>
        <w:t>a reduction in separation</w:t>
      </w:r>
      <w:r w:rsidR="00A20F01">
        <w:rPr>
          <w:lang w:val="en-GB"/>
        </w:rPr>
        <w:t>s</w:t>
      </w:r>
      <w:r>
        <w:rPr>
          <w:lang w:val="en-GB"/>
        </w:rPr>
        <w:t xml:space="preserve"> and </w:t>
      </w:r>
      <w:r w:rsidR="008B61D2">
        <w:rPr>
          <w:lang w:val="en-GB"/>
        </w:rPr>
        <w:t>number of</w:t>
      </w:r>
      <w:r>
        <w:rPr>
          <w:lang w:val="en-GB"/>
        </w:rPr>
        <w:t xml:space="preserve"> </w:t>
      </w:r>
      <w:r w:rsidR="00456366">
        <w:rPr>
          <w:lang w:val="en-GB"/>
        </w:rPr>
        <w:t>SGB</w:t>
      </w:r>
      <w:r w:rsidR="008B61D2">
        <w:rPr>
          <w:lang w:val="en-GB"/>
        </w:rPr>
        <w:t xml:space="preserve"> claimed with any devices from 07.03.03.03 – implants and fixtures.</w:t>
      </w:r>
    </w:p>
    <w:p w14:paraId="72AF9E43" w14:textId="77777777" w:rsidR="00E106AF" w:rsidRDefault="001570E7" w:rsidP="0019780D">
      <w:pPr>
        <w:spacing w:line="276" w:lineRule="auto"/>
        <w:rPr>
          <w:lang w:val="en-GB"/>
        </w:rPr>
      </w:pPr>
      <w:r w:rsidRPr="00EA7A89">
        <w:rPr>
          <w:lang w:val="en-GB"/>
        </w:rPr>
        <w:t xml:space="preserve">The </w:t>
      </w:r>
      <w:r w:rsidR="00B37B8C" w:rsidRPr="00EA7A89">
        <w:rPr>
          <w:lang w:val="en-GB"/>
        </w:rPr>
        <w:t>department</w:t>
      </w:r>
      <w:r w:rsidRPr="00EA7A89">
        <w:rPr>
          <w:lang w:val="en-GB"/>
        </w:rPr>
        <w:t xml:space="preserve"> presented </w:t>
      </w:r>
      <w:r w:rsidR="006A4E19">
        <w:rPr>
          <w:lang w:val="en-GB"/>
        </w:rPr>
        <w:t>a</w:t>
      </w:r>
      <w:r w:rsidRPr="00EA7A89">
        <w:rPr>
          <w:lang w:val="en-GB"/>
        </w:rPr>
        <w:t xml:space="preserve"> 6</w:t>
      </w:r>
      <w:r w:rsidR="00D21869">
        <w:rPr>
          <w:lang w:val="en-GB"/>
        </w:rPr>
        <w:t>-</w:t>
      </w:r>
      <w:r w:rsidRPr="00EA7A89">
        <w:rPr>
          <w:lang w:val="en-GB"/>
        </w:rPr>
        <w:t xml:space="preserve">month </w:t>
      </w:r>
      <w:r w:rsidR="006A4E19">
        <w:rPr>
          <w:lang w:val="en-GB"/>
        </w:rPr>
        <w:t xml:space="preserve">data </w:t>
      </w:r>
      <w:r w:rsidRPr="00EA7A89">
        <w:rPr>
          <w:lang w:val="en-GB"/>
        </w:rPr>
        <w:t xml:space="preserve">analysis to MDHTAC at the </w:t>
      </w:r>
      <w:r w:rsidR="0047782D" w:rsidRPr="00EA7A89">
        <w:rPr>
          <w:lang w:val="en-GB"/>
        </w:rPr>
        <w:t>M</w:t>
      </w:r>
      <w:r w:rsidRPr="00EA7A89">
        <w:rPr>
          <w:lang w:val="en-GB"/>
        </w:rPr>
        <w:t xml:space="preserve">ay 2025 meeting. </w:t>
      </w:r>
      <w:r w:rsidR="00E106AF" w:rsidRPr="00E106AF">
        <w:rPr>
          <w:lang w:val="en-GB"/>
        </w:rPr>
        <w:t>MDHTAC noted the data demonstrates</w:t>
      </w:r>
      <w:r w:rsidR="00E106AF">
        <w:rPr>
          <w:lang w:val="en-GB"/>
        </w:rPr>
        <w:t>:</w:t>
      </w:r>
    </w:p>
    <w:p w14:paraId="7F3BCE02" w14:textId="266381C4" w:rsidR="00E106AF" w:rsidRPr="00E106AF" w:rsidRDefault="00E106AF" w:rsidP="0019780D">
      <w:pPr>
        <w:pStyle w:val="ListParagraph"/>
        <w:numPr>
          <w:ilvl w:val="0"/>
          <w:numId w:val="37"/>
        </w:numPr>
        <w:spacing w:line="276" w:lineRule="auto"/>
        <w:rPr>
          <w:lang w:val="en-GB"/>
        </w:rPr>
      </w:pPr>
      <w:r w:rsidRPr="00E106AF">
        <w:rPr>
          <w:lang w:val="en-GB"/>
        </w:rPr>
        <w:t xml:space="preserve">changes in claiming of the PL benefits for surgical guides and </w:t>
      </w:r>
      <w:proofErr w:type="spellStart"/>
      <w:r w:rsidRPr="00E106AF">
        <w:rPr>
          <w:lang w:val="en-GB"/>
        </w:rPr>
        <w:t>biomodels</w:t>
      </w:r>
      <w:proofErr w:type="spellEnd"/>
      <w:r w:rsidRPr="00E106AF">
        <w:rPr>
          <w:lang w:val="en-GB"/>
        </w:rPr>
        <w:t xml:space="preserve">. </w:t>
      </w:r>
      <w:r w:rsidR="00B437BA">
        <w:rPr>
          <w:lang w:val="en-GB"/>
        </w:rPr>
        <w:t>Th</w:t>
      </w:r>
      <w:r w:rsidRPr="00E106AF">
        <w:rPr>
          <w:lang w:val="en-GB"/>
        </w:rPr>
        <w:t xml:space="preserve">e data indicated that there were still claims paid for greater than 6 </w:t>
      </w:r>
      <w:r w:rsidR="00622B3F">
        <w:rPr>
          <w:lang w:val="en-GB"/>
        </w:rPr>
        <w:t>SGB</w:t>
      </w:r>
      <w:r w:rsidRPr="00E106AF">
        <w:rPr>
          <w:lang w:val="en-GB"/>
        </w:rPr>
        <w:t xml:space="preserve"> per procedure, indicating that in addition to reimbursing the PL benefits, private health insurers have paid ex gratia for the gaps over the cap. </w:t>
      </w:r>
    </w:p>
    <w:p w14:paraId="4E7ACBB8" w14:textId="66D82303" w:rsidR="001420ED" w:rsidRPr="00996B76" w:rsidRDefault="00E106AF" w:rsidP="00996B76">
      <w:pPr>
        <w:pStyle w:val="ListParagraph"/>
        <w:numPr>
          <w:ilvl w:val="0"/>
          <w:numId w:val="24"/>
        </w:numPr>
        <w:spacing w:after="240" w:line="276" w:lineRule="auto"/>
        <w:rPr>
          <w:lang w:val="en-GB"/>
        </w:rPr>
      </w:pPr>
      <w:r w:rsidRPr="00E106AF">
        <w:rPr>
          <w:lang w:val="en-GB"/>
        </w:rPr>
        <w:t xml:space="preserve">overall, there was slight reduction in claiming of benefits for </w:t>
      </w:r>
      <w:r w:rsidR="00622B3F">
        <w:rPr>
          <w:lang w:val="en-GB"/>
        </w:rPr>
        <w:t>SGB</w:t>
      </w:r>
      <w:r w:rsidRPr="00E106AF">
        <w:rPr>
          <w:lang w:val="en-GB"/>
        </w:rPr>
        <w:t xml:space="preserve"> (however the data show variability in claims across different combinations).</w:t>
      </w:r>
    </w:p>
    <w:p w14:paraId="278EC81C" w14:textId="617805B3" w:rsidR="00FB0356" w:rsidRDefault="00E106AF" w:rsidP="00996B76">
      <w:pPr>
        <w:widowControl w:val="0"/>
        <w:spacing w:after="240" w:line="276" w:lineRule="auto"/>
      </w:pPr>
      <w:r w:rsidRPr="0019780D">
        <w:t xml:space="preserve">MDHTAC agreed that the current condition </w:t>
      </w:r>
      <w:r w:rsidR="001420ED">
        <w:t>should</w:t>
      </w:r>
      <w:r w:rsidRPr="0019780D">
        <w:t xml:space="preserve"> be amended to ensure it </w:t>
      </w:r>
      <w:r w:rsidR="00901333">
        <w:t xml:space="preserve">is </w:t>
      </w:r>
      <w:r w:rsidRPr="0019780D">
        <w:t>fit for purpose</w:t>
      </w:r>
      <w:r w:rsidR="00622B3F">
        <w:t xml:space="preserve">. </w:t>
      </w:r>
      <w:r w:rsidR="0056704D" w:rsidRPr="0056704D">
        <w:t>MDHTAC advised the</w:t>
      </w:r>
      <w:r w:rsidR="00C54376">
        <w:t xml:space="preserve"> department </w:t>
      </w:r>
      <w:r w:rsidR="0019780D">
        <w:t xml:space="preserve">to consider </w:t>
      </w:r>
      <w:r w:rsidR="00872DD8" w:rsidRPr="0019780D">
        <w:t>keep</w:t>
      </w:r>
      <w:r w:rsidR="0019780D" w:rsidRPr="0019780D">
        <w:t>ing</w:t>
      </w:r>
      <w:r w:rsidR="00872DD8" w:rsidRPr="0019780D">
        <w:t xml:space="preserve"> the cap </w:t>
      </w:r>
      <w:r w:rsidR="00622B3F">
        <w:t>of 6 SGB</w:t>
      </w:r>
      <w:r w:rsidR="00872DD8" w:rsidRPr="0019780D">
        <w:t xml:space="preserve"> </w:t>
      </w:r>
      <w:r w:rsidR="00622B3F">
        <w:t>that</w:t>
      </w:r>
      <w:r w:rsidR="00872DD8" w:rsidRPr="0019780D">
        <w:t xml:space="preserve"> may be claimed per procedure</w:t>
      </w:r>
      <w:r w:rsidR="0019780D" w:rsidRPr="0019780D">
        <w:t>. B</w:t>
      </w:r>
      <w:r w:rsidR="00872DD8" w:rsidRPr="0019780D">
        <w:t xml:space="preserve">ut instead of having the cap of 3 surgical guides and 3 </w:t>
      </w:r>
      <w:proofErr w:type="spellStart"/>
      <w:r w:rsidR="00872DD8" w:rsidRPr="0019780D">
        <w:t>biomodels</w:t>
      </w:r>
      <w:proofErr w:type="spellEnd"/>
      <w:r w:rsidR="00872DD8" w:rsidRPr="0019780D">
        <w:t xml:space="preserve"> per procedure, to allow claiming any combination of </w:t>
      </w:r>
      <w:r w:rsidR="00622B3F">
        <w:t>SGB</w:t>
      </w:r>
      <w:r w:rsidR="00872DD8" w:rsidRPr="0019780D">
        <w:t xml:space="preserve"> under the cap of 6.</w:t>
      </w:r>
      <w:r w:rsidR="0019780D" w:rsidRPr="0019780D">
        <w:t xml:space="preserve"> </w:t>
      </w:r>
      <w:r w:rsidR="0056704D" w:rsidRPr="0056704D">
        <w:t>The department implemented this change in the</w:t>
      </w:r>
      <w:r w:rsidR="005E4754">
        <w:t xml:space="preserve"> </w:t>
      </w:r>
      <w:hyperlink r:id="rId27" w:history="1">
        <w:r w:rsidR="00A50C00" w:rsidRPr="0019780D">
          <w:t>1 July 2025 PL update</w:t>
        </w:r>
      </w:hyperlink>
      <w:r w:rsidR="00A50C00">
        <w:t xml:space="preserve">. </w:t>
      </w:r>
    </w:p>
    <w:p w14:paraId="0CC846B1" w14:textId="7D416BA5" w:rsidR="00041A01" w:rsidRPr="000F4453" w:rsidRDefault="00FB0356" w:rsidP="00996B76">
      <w:pPr>
        <w:widowControl w:val="0"/>
        <w:spacing w:after="240" w:line="276" w:lineRule="auto"/>
      </w:pPr>
      <w:r w:rsidRPr="000F4453">
        <w:t xml:space="preserve">MDHTAC also discussed the need for restricting </w:t>
      </w:r>
      <w:r w:rsidR="00FE501A">
        <w:t>PL claims</w:t>
      </w:r>
      <w:r w:rsidRPr="000F4453">
        <w:t xml:space="preserve"> for SGB to complex procedures only. It was noted that this option had already been investigated in 2024, when the condition </w:t>
      </w:r>
      <w:r w:rsidR="00FE501A">
        <w:t xml:space="preserve">was </w:t>
      </w:r>
      <w:r w:rsidRPr="000F4453">
        <w:t xml:space="preserve">initially imposed. </w:t>
      </w:r>
      <w:r w:rsidR="00173A29">
        <w:t xml:space="preserve">There is no published definition of a complex CMF procedure. </w:t>
      </w:r>
      <w:r w:rsidRPr="000F4453">
        <w:t xml:space="preserve">Stakeholders (particularly private hospitals) </w:t>
      </w:r>
      <w:r w:rsidR="000B5EE3">
        <w:t xml:space="preserve">have </w:t>
      </w:r>
      <w:r w:rsidRPr="000F4453">
        <w:t xml:space="preserve">expressed significant concerns and objections regarding </w:t>
      </w:r>
      <w:r w:rsidR="000178D2">
        <w:t>non-specific conditions which would require</w:t>
      </w:r>
      <w:r w:rsidRPr="000F4453">
        <w:t xml:space="preserve"> manual processing of the claims</w:t>
      </w:r>
      <w:r w:rsidR="000178D2">
        <w:t>, increasing the administrative burden</w:t>
      </w:r>
      <w:r w:rsidRPr="000F4453">
        <w:t>. Therefore, when making decisions</w:t>
      </w:r>
      <w:r w:rsidR="000178D2">
        <w:t xml:space="preserve"> about</w:t>
      </w:r>
      <w:r w:rsidRPr="000F4453">
        <w:t xml:space="preserve"> placing a condition on </w:t>
      </w:r>
      <w:r w:rsidR="000178D2">
        <w:t>a</w:t>
      </w:r>
      <w:r w:rsidRPr="000F4453">
        <w:t xml:space="preserve"> billing code</w:t>
      </w:r>
      <w:r w:rsidR="00C454B1">
        <w:t xml:space="preserve"> or benefit group</w:t>
      </w:r>
      <w:r w:rsidRPr="000F4453">
        <w:t>, the department</w:t>
      </w:r>
      <w:r w:rsidR="000178D2">
        <w:t xml:space="preserve"> aims</w:t>
      </w:r>
      <w:r w:rsidRPr="000F4453">
        <w:t xml:space="preserve"> to refer to specific and relevant MBS item</w:t>
      </w:r>
      <w:r w:rsidR="000178D2">
        <w:t>/s</w:t>
      </w:r>
      <w:r w:rsidRPr="000F4453">
        <w:t>, or to the specific subcategories/groups/subgroups on the PL</w:t>
      </w:r>
      <w:r w:rsidR="000178D2">
        <w:t>.</w:t>
      </w:r>
      <w:r w:rsidRPr="000F4453">
        <w:t xml:space="preserve"> </w:t>
      </w:r>
      <w:r w:rsidR="009D0409">
        <w:t>Whilst t</w:t>
      </w:r>
      <w:r w:rsidRPr="000F4453">
        <w:t xml:space="preserve">here are no </w:t>
      </w:r>
      <w:r w:rsidR="00AC29A6">
        <w:t xml:space="preserve">easily identifiable </w:t>
      </w:r>
      <w:r w:rsidRPr="000F4453">
        <w:t xml:space="preserve">MBS items </w:t>
      </w:r>
      <w:r w:rsidR="00AC29A6">
        <w:t xml:space="preserve">specifically </w:t>
      </w:r>
      <w:r w:rsidRPr="000F4453">
        <w:t>for complex CMF procedures</w:t>
      </w:r>
      <w:r w:rsidR="009D0409">
        <w:t xml:space="preserve">, the department continues to work with expert clinicians to look </w:t>
      </w:r>
      <w:r w:rsidR="00D14972">
        <w:t>at ways in which the condition could more accurately target these procedures.</w:t>
      </w:r>
    </w:p>
    <w:p w14:paraId="63202B51" w14:textId="264697FC" w:rsidR="00A30044" w:rsidRDefault="00FB0356" w:rsidP="00996B76">
      <w:pPr>
        <w:widowControl w:val="0"/>
        <w:spacing w:after="240" w:line="276" w:lineRule="auto"/>
      </w:pPr>
      <w:r w:rsidRPr="000F4453">
        <w:t xml:space="preserve">MDHTAC noted the complexity and difficulty in developing an implementable condition reflecting claiming for use of surgical guides and </w:t>
      </w:r>
      <w:proofErr w:type="spellStart"/>
      <w:r w:rsidRPr="000F4453">
        <w:t>biomodels</w:t>
      </w:r>
      <w:proofErr w:type="spellEnd"/>
      <w:r w:rsidRPr="000F4453">
        <w:t xml:space="preserve"> in complex procedures, although asked the department to continue investigating such options. </w:t>
      </w:r>
    </w:p>
    <w:p w14:paraId="253037B9" w14:textId="5F94B1EF" w:rsidR="00763460" w:rsidRPr="00763460" w:rsidRDefault="00AC2F29" w:rsidP="00996B76">
      <w:pPr>
        <w:widowControl w:val="0"/>
        <w:spacing w:after="240" w:line="276" w:lineRule="auto"/>
        <w:rPr>
          <w:u w:val="single"/>
        </w:rPr>
      </w:pPr>
      <w:r w:rsidRPr="00763460">
        <w:rPr>
          <w:u w:val="single"/>
        </w:rPr>
        <w:t>12-month</w:t>
      </w:r>
      <w:r w:rsidR="00763460" w:rsidRPr="00763460">
        <w:rPr>
          <w:u w:val="single"/>
        </w:rPr>
        <w:t xml:space="preserve"> data analysis</w:t>
      </w:r>
    </w:p>
    <w:p w14:paraId="42A278C9" w14:textId="6C771C90" w:rsidR="00261182" w:rsidRDefault="00D21869" w:rsidP="00996B76">
      <w:pPr>
        <w:spacing w:after="240" w:line="276" w:lineRule="auto"/>
      </w:pPr>
      <w:r>
        <w:t xml:space="preserve">The department completed </w:t>
      </w:r>
      <w:r w:rsidR="00D85CA0">
        <w:t>a</w:t>
      </w:r>
      <w:r w:rsidR="00302F88">
        <w:t xml:space="preserve"> </w:t>
      </w:r>
      <w:r>
        <w:t xml:space="preserve">12-month data analysis on claims and separations post the </w:t>
      </w:r>
      <w:r w:rsidR="003D1CE6">
        <w:t>February</w:t>
      </w:r>
      <w:r>
        <w:t xml:space="preserve"> 2024 condition</w:t>
      </w:r>
      <w:r w:rsidR="004734F8">
        <w:t xml:space="preserve"> in October 2025</w:t>
      </w:r>
      <w:r>
        <w:t xml:space="preserve">. </w:t>
      </w:r>
      <w:r w:rsidR="006E1ECE">
        <w:t>The 12</w:t>
      </w:r>
      <w:r w:rsidR="00041A01">
        <w:t>-</w:t>
      </w:r>
      <w:r w:rsidR="006E1ECE">
        <w:t xml:space="preserve">month analysis followed the </w:t>
      </w:r>
      <w:r w:rsidR="003F1834">
        <w:t xml:space="preserve">similar </w:t>
      </w:r>
      <w:r w:rsidR="006E1ECE">
        <w:t xml:space="preserve">patterns as the </w:t>
      </w:r>
      <w:r w:rsidR="00A265CA">
        <w:t>6</w:t>
      </w:r>
      <w:r w:rsidR="00622B3F">
        <w:t>-</w:t>
      </w:r>
      <w:r w:rsidR="00A265CA">
        <w:t>month</w:t>
      </w:r>
      <w:r w:rsidR="006E1ECE">
        <w:t xml:space="preserve"> analysis</w:t>
      </w:r>
      <w:r w:rsidR="003F1834">
        <w:t xml:space="preserve"> demonstrating a</w:t>
      </w:r>
      <w:r w:rsidR="00A057DF">
        <w:t xml:space="preserve"> 32% reduction is claims for surgical guides, </w:t>
      </w:r>
      <w:r w:rsidR="0067678B">
        <w:t xml:space="preserve">a 21% reduction in claims for </w:t>
      </w:r>
      <w:proofErr w:type="spellStart"/>
      <w:r w:rsidR="0067678B">
        <w:t>biomodels</w:t>
      </w:r>
      <w:proofErr w:type="spellEnd"/>
      <w:r w:rsidR="0067678B">
        <w:t xml:space="preserve"> and a</w:t>
      </w:r>
      <w:r w:rsidR="008D2119">
        <w:t xml:space="preserve"> 28% reduction in device claims</w:t>
      </w:r>
      <w:r w:rsidR="0067678B">
        <w:t xml:space="preserve"> </w:t>
      </w:r>
      <w:r w:rsidR="0067678B">
        <w:lastRenderedPageBreak/>
        <w:t>overall</w:t>
      </w:r>
      <w:r w:rsidR="006E1ECE">
        <w:t xml:space="preserve">. </w:t>
      </w:r>
      <w:r w:rsidR="00834159" w:rsidRPr="005D0D4C">
        <w:t xml:space="preserve">Figure </w:t>
      </w:r>
      <w:r w:rsidR="005D0D4C" w:rsidRPr="005D0D4C">
        <w:t>1</w:t>
      </w:r>
      <w:r w:rsidR="00834159" w:rsidRPr="005D0D4C">
        <w:t xml:space="preserve"> </w:t>
      </w:r>
      <w:r w:rsidR="005561DD" w:rsidRPr="005D0D4C">
        <w:t xml:space="preserve">compares </w:t>
      </w:r>
      <w:r w:rsidR="005561DD">
        <w:t xml:space="preserve">claiming patterns of </w:t>
      </w:r>
      <w:r w:rsidR="00AA4F5A">
        <w:t xml:space="preserve">surgical guides and </w:t>
      </w:r>
      <w:proofErr w:type="spellStart"/>
      <w:r w:rsidR="00AA4F5A">
        <w:t>biomodels</w:t>
      </w:r>
      <w:proofErr w:type="spellEnd"/>
      <w:r w:rsidR="00AA4F5A">
        <w:t xml:space="preserve"> </w:t>
      </w:r>
      <w:r w:rsidR="0067678B">
        <w:t xml:space="preserve">(combined) per separation </w:t>
      </w:r>
      <w:r w:rsidR="00FE01A6">
        <w:t>pre and post the condition.</w:t>
      </w:r>
      <w:r w:rsidR="0067678B">
        <w:t xml:space="preserve"> </w:t>
      </w:r>
      <w:r w:rsidR="002F4A1B">
        <w:t>Claims for 2, 3 and 4 SGB</w:t>
      </w:r>
      <w:r w:rsidR="00B965BC">
        <w:t xml:space="preserve"> combined</w:t>
      </w:r>
      <w:r w:rsidR="002F4A1B">
        <w:t xml:space="preserve"> have reduced, claims for 5 and 6 SGB combined, have increased</w:t>
      </w:r>
      <w:r w:rsidR="00B965BC">
        <w:t>. Claims for greater than 7 SGB have decreased.</w:t>
      </w:r>
    </w:p>
    <w:p w14:paraId="7D558D5A" w14:textId="77777777" w:rsidR="003A0F23" w:rsidRDefault="007B4E1B" w:rsidP="003A0F23">
      <w:pPr>
        <w:keepNext/>
        <w:spacing w:line="276" w:lineRule="auto"/>
      </w:pPr>
      <w:r>
        <w:rPr>
          <w:noProof/>
        </w:rPr>
        <w:drawing>
          <wp:inline distT="0" distB="0" distL="0" distR="0" wp14:anchorId="4C14710D" wp14:editId="0442217B">
            <wp:extent cx="5741251" cy="2784102"/>
            <wp:effectExtent l="0" t="0" r="0" b="0"/>
            <wp:docPr id="1191562774" name="Picture 3" descr="Figure 1 is a line chart that compares claiming patterns of surgical guides and biomodels (combined) per separation pre and post the condition. Claims for 2, 3 and 4 SGB combined have reduced, claims for 5 and 6 SGB combined, have increased. Claims for greater than 7 SGB have decreas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62774" name="Picture 3" descr="Figure 1 is a line chart that compares claiming patterns of surgical guides and biomodels (combined) per separation pre and post the condition. Claims for 2, 3 and 4 SGB combined have reduced, claims for 5 and 6 SGB combined, have increased. Claims for greater than 7 SGB have decreased.&#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8033" cy="2797089"/>
                    </a:xfrm>
                    <a:prstGeom prst="rect">
                      <a:avLst/>
                    </a:prstGeom>
                    <a:noFill/>
                  </pic:spPr>
                </pic:pic>
              </a:graphicData>
            </a:graphic>
          </wp:inline>
        </w:drawing>
      </w:r>
    </w:p>
    <w:p w14:paraId="5B21181F" w14:textId="78723CFC" w:rsidR="00261182" w:rsidRDefault="003A0F23" w:rsidP="003A0F23">
      <w:pPr>
        <w:pStyle w:val="Caption"/>
      </w:pPr>
      <w:r>
        <w:t xml:space="preserve">Figure </w:t>
      </w:r>
      <w:r>
        <w:fldChar w:fldCharType="begin"/>
      </w:r>
      <w:r>
        <w:instrText xml:space="preserve"> SEQ Figure \* ARABIC </w:instrText>
      </w:r>
      <w:r>
        <w:fldChar w:fldCharType="separate"/>
      </w:r>
      <w:r w:rsidR="003D3281">
        <w:rPr>
          <w:noProof/>
        </w:rPr>
        <w:t>1</w:t>
      </w:r>
      <w:r>
        <w:fldChar w:fldCharType="end"/>
      </w:r>
      <w:r>
        <w:t xml:space="preserve">: </w:t>
      </w:r>
      <w:r w:rsidRPr="008002E1">
        <w:t xml:space="preserve">separations by number of surgical guides and </w:t>
      </w:r>
      <w:proofErr w:type="spellStart"/>
      <w:r w:rsidRPr="008002E1">
        <w:t>biomodels</w:t>
      </w:r>
      <w:proofErr w:type="spellEnd"/>
      <w:r w:rsidRPr="008002E1">
        <w:t xml:space="preserve"> claimed in a separation</w:t>
      </w:r>
      <w:r w:rsidR="0079112A">
        <w:rPr>
          <w:rStyle w:val="FootnoteReference"/>
        </w:rPr>
        <w:footnoteReference w:id="2"/>
      </w:r>
      <w:r>
        <w:t>.</w:t>
      </w:r>
    </w:p>
    <w:p w14:paraId="7C98E19F" w14:textId="600426EE" w:rsidR="00D21BEC" w:rsidRPr="00996B76" w:rsidRDefault="009E1DDA" w:rsidP="00996B76">
      <w:pPr>
        <w:spacing w:after="240" w:line="276" w:lineRule="auto"/>
      </w:pPr>
      <w:r>
        <w:t xml:space="preserve">Figure 2 compares </w:t>
      </w:r>
      <w:r w:rsidR="00E9307A">
        <w:t>separations co-claimed with</w:t>
      </w:r>
      <w:r>
        <w:t xml:space="preserve"> a device from</w:t>
      </w:r>
      <w:r w:rsidR="006E1ECE" w:rsidRPr="006E1ECE">
        <w:rPr>
          <w:lang w:val="en-GB"/>
        </w:rPr>
        <w:t xml:space="preserve"> 07.03.03.03 – implants and fixtures</w:t>
      </w:r>
      <w:r>
        <w:rPr>
          <w:lang w:val="en-GB"/>
        </w:rPr>
        <w:t xml:space="preserve"> pre and post the condition</w:t>
      </w:r>
      <w:r w:rsidR="00893F93">
        <w:rPr>
          <w:lang w:val="en-GB"/>
        </w:rPr>
        <w:t xml:space="preserve">. </w:t>
      </w:r>
      <w:r w:rsidR="00C529E7">
        <w:t xml:space="preserve">Despite an overall reduction in device claims, the number of SGB claimed in combination with a device from 07.03.03.03 remained relatively stable. </w:t>
      </w:r>
    </w:p>
    <w:p w14:paraId="718545FA" w14:textId="77777777" w:rsidR="003A0F23" w:rsidRDefault="003754CD" w:rsidP="003A0F23">
      <w:pPr>
        <w:keepNext/>
        <w:spacing w:line="276" w:lineRule="auto"/>
      </w:pPr>
      <w:r>
        <w:rPr>
          <w:noProof/>
          <w:lang w:val="en-GB"/>
        </w:rPr>
        <w:drawing>
          <wp:inline distT="0" distB="0" distL="0" distR="0" wp14:anchorId="44470276" wp14:editId="3E6E4084">
            <wp:extent cx="5773420" cy="2700655"/>
            <wp:effectExtent l="0" t="0" r="0" b="4445"/>
            <wp:docPr id="982464099" name="Picture 2" descr="Figure 2 is a column chart comparing number of SGB claimed with a device from 07.03.03.03 - implants and fixtures pre-condition and post-condition. In both periods, SGB claimed in combination are highest, with most items claimed without implants and fixtures. Biomodels claimed with implants and fixtures is significantly 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64099" name="Picture 2" descr="Figure 2 is a column chart comparing number of SGB claimed with a device from 07.03.03.03 - implants and fixtures pre-condition and post-condition. In both periods, SGB claimed in combination are highest, with most items claimed without implants and fixtures. Biomodels claimed with implants and fixtures is significantly low.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3420" cy="2700655"/>
                    </a:xfrm>
                    <a:prstGeom prst="rect">
                      <a:avLst/>
                    </a:prstGeom>
                    <a:noFill/>
                  </pic:spPr>
                </pic:pic>
              </a:graphicData>
            </a:graphic>
          </wp:inline>
        </w:drawing>
      </w:r>
    </w:p>
    <w:p w14:paraId="7EDADC22" w14:textId="00D05569" w:rsidR="001E664E" w:rsidRPr="00996B76" w:rsidRDefault="003A0F23" w:rsidP="00996B76">
      <w:pPr>
        <w:pStyle w:val="Caption"/>
        <w:rPr>
          <w:lang w:val="en-GB"/>
        </w:rPr>
      </w:pPr>
      <w:r>
        <w:t xml:space="preserve">Figure </w:t>
      </w:r>
      <w:r>
        <w:fldChar w:fldCharType="begin"/>
      </w:r>
      <w:r>
        <w:instrText xml:space="preserve"> SEQ Figure \* ARABIC </w:instrText>
      </w:r>
      <w:r>
        <w:fldChar w:fldCharType="separate"/>
      </w:r>
      <w:r w:rsidR="003D3281">
        <w:rPr>
          <w:noProof/>
        </w:rPr>
        <w:t>2</w:t>
      </w:r>
      <w:r>
        <w:fldChar w:fldCharType="end"/>
      </w:r>
      <w:r>
        <w:t>:</w:t>
      </w:r>
      <w:r w:rsidRPr="006334AB">
        <w:t xml:space="preserve"> </w:t>
      </w:r>
      <w:r>
        <w:t>n</w:t>
      </w:r>
      <w:r w:rsidRPr="006334AB">
        <w:t>umber of SGB claimed, with and without any device from 07.07.03.03 – Implants and Fixtures</w:t>
      </w:r>
      <w:r w:rsidR="00F8176F">
        <w:rPr>
          <w:vertAlign w:val="superscript"/>
        </w:rPr>
        <w:t>1</w:t>
      </w:r>
      <w:r>
        <w:rPr>
          <w:noProof/>
        </w:rPr>
        <w:t>.</w:t>
      </w:r>
    </w:p>
    <w:p w14:paraId="003B5D4E" w14:textId="757A03FB" w:rsidR="2C558F81" w:rsidRDefault="009851AD" w:rsidP="26BAB804">
      <w:pPr>
        <w:spacing w:line="276" w:lineRule="auto"/>
      </w:pPr>
      <w:r>
        <w:lastRenderedPageBreak/>
        <w:t>The department</w:t>
      </w:r>
      <w:r w:rsidR="00D04FA9">
        <w:t xml:space="preserve"> </w:t>
      </w:r>
      <w:r w:rsidR="00316F50">
        <w:t xml:space="preserve">sought targeted stakeholder feedback on the </w:t>
      </w:r>
      <w:r w:rsidR="00C71127">
        <w:t>12-month</w:t>
      </w:r>
      <w:r w:rsidR="00316F50">
        <w:t xml:space="preserve"> data analysis.</w:t>
      </w:r>
      <w:r w:rsidR="00CD01CC">
        <w:t xml:space="preserve"> </w:t>
      </w:r>
      <w:r w:rsidR="2C558F81">
        <w:t xml:space="preserve">Stakeholders </w:t>
      </w:r>
      <w:r w:rsidR="005D1EE6">
        <w:t>shared the following anecdotal evidence about SGB claims and supply</w:t>
      </w:r>
      <w:r w:rsidR="2C558F81">
        <w:t>:</w:t>
      </w:r>
    </w:p>
    <w:p w14:paraId="2554CEAA" w14:textId="3F78C540" w:rsidR="006C153E" w:rsidRDefault="007E5452" w:rsidP="004D1654">
      <w:pPr>
        <w:pStyle w:val="ListParagraph"/>
        <w:numPr>
          <w:ilvl w:val="0"/>
          <w:numId w:val="36"/>
        </w:numPr>
        <w:spacing w:line="276" w:lineRule="auto"/>
      </w:pPr>
      <w:r>
        <w:t xml:space="preserve">some </w:t>
      </w:r>
      <w:r w:rsidR="00483F8E">
        <w:t xml:space="preserve">sponsors </w:t>
      </w:r>
      <w:r w:rsidR="0020785B">
        <w:t>have</w:t>
      </w:r>
      <w:r w:rsidR="006C153E">
        <w:t xml:space="preserve"> </w:t>
      </w:r>
      <w:r w:rsidR="00483F8E">
        <w:t>compassionately suppl</w:t>
      </w:r>
      <w:r w:rsidR="0020785B">
        <w:t>ied</w:t>
      </w:r>
      <w:r w:rsidR="00483F8E">
        <w:t xml:space="preserve"> additional surgical guides and/or </w:t>
      </w:r>
      <w:proofErr w:type="spellStart"/>
      <w:r w:rsidR="00483F8E">
        <w:t>biomodels</w:t>
      </w:r>
      <w:proofErr w:type="spellEnd"/>
      <w:r w:rsidR="00483F8E">
        <w:t xml:space="preserve"> above the cap</w:t>
      </w:r>
    </w:p>
    <w:p w14:paraId="794A8B94" w14:textId="049D0D06" w:rsidR="00D04FA9" w:rsidRDefault="006C153E" w:rsidP="004D1654">
      <w:pPr>
        <w:pStyle w:val="ListParagraph"/>
        <w:numPr>
          <w:ilvl w:val="0"/>
          <w:numId w:val="36"/>
        </w:numPr>
        <w:spacing w:line="276" w:lineRule="auto"/>
      </w:pPr>
      <w:r>
        <w:t xml:space="preserve">some </w:t>
      </w:r>
      <w:r w:rsidR="006851B5">
        <w:t>insurers</w:t>
      </w:r>
      <w:r w:rsidR="00852E86">
        <w:t xml:space="preserve"> </w:t>
      </w:r>
      <w:r w:rsidR="006851B5">
        <w:t>provid</w:t>
      </w:r>
      <w:r w:rsidR="00852E86">
        <w:t>e</w:t>
      </w:r>
      <w:r w:rsidR="006851B5">
        <w:t xml:space="preserve"> ex</w:t>
      </w:r>
      <w:r w:rsidR="00681B2A">
        <w:t>-</w:t>
      </w:r>
      <w:r w:rsidR="006851B5">
        <w:t xml:space="preserve">gratia payments for devices </w:t>
      </w:r>
      <w:r w:rsidR="00681B2A">
        <w:t xml:space="preserve">claimed </w:t>
      </w:r>
      <w:r w:rsidR="006851B5">
        <w:t>above the cap</w:t>
      </w:r>
    </w:p>
    <w:p w14:paraId="0CEFD5CD" w14:textId="4B8A8B1D" w:rsidR="005D1EE6" w:rsidRDefault="005D1EE6" w:rsidP="004D1654">
      <w:pPr>
        <w:pStyle w:val="ListParagraph"/>
        <w:numPr>
          <w:ilvl w:val="0"/>
          <w:numId w:val="36"/>
        </w:numPr>
        <w:spacing w:line="276" w:lineRule="auto"/>
      </w:pPr>
      <w:r>
        <w:t>some insurers reject ex-gratia payments for devices claimed above the cap</w:t>
      </w:r>
    </w:p>
    <w:p w14:paraId="55456602" w14:textId="4F81D8A4" w:rsidR="00852E86" w:rsidRDefault="00852E86" w:rsidP="004D1654">
      <w:pPr>
        <w:pStyle w:val="ListParagraph"/>
        <w:numPr>
          <w:ilvl w:val="0"/>
          <w:numId w:val="36"/>
        </w:numPr>
        <w:spacing w:line="276" w:lineRule="auto"/>
      </w:pPr>
      <w:r>
        <w:t>some hospitals have absorbed the cost of extra devices above the cap</w:t>
      </w:r>
    </w:p>
    <w:p w14:paraId="4CA230BC" w14:textId="6559690D" w:rsidR="005D1EE6" w:rsidRDefault="00F22B84" w:rsidP="005D1EE6">
      <w:pPr>
        <w:pStyle w:val="ListParagraph"/>
        <w:numPr>
          <w:ilvl w:val="0"/>
          <w:numId w:val="36"/>
        </w:numPr>
        <w:spacing w:after="240" w:line="276" w:lineRule="auto"/>
      </w:pPr>
      <w:r>
        <w:t>conditions can create uncertainty for hospitals.</w:t>
      </w:r>
    </w:p>
    <w:p w14:paraId="4B7B246A" w14:textId="481629BF" w:rsidR="005D1EE6" w:rsidRDefault="005D1EE6" w:rsidP="005D1EE6">
      <w:pPr>
        <w:spacing w:line="276" w:lineRule="auto"/>
      </w:pPr>
      <w:r>
        <w:t>We anticipate a</w:t>
      </w:r>
      <w:r w:rsidR="00F15CB4">
        <w:t>ny</w:t>
      </w:r>
      <w:r>
        <w:t xml:space="preserve"> further data analysis </w:t>
      </w:r>
      <w:r w:rsidR="00F15CB4">
        <w:t xml:space="preserve">would be feasible from </w:t>
      </w:r>
      <w:r>
        <w:t>mid-2027</w:t>
      </w:r>
      <w:r w:rsidR="00F15CB4">
        <w:t xml:space="preserve"> onwards.</w:t>
      </w:r>
    </w:p>
    <w:p w14:paraId="736A7916" w14:textId="53790E95" w:rsidR="00EA5E5B" w:rsidRPr="00996B76" w:rsidRDefault="003A6370" w:rsidP="00996B76">
      <w:pPr>
        <w:pStyle w:val="Heading2"/>
        <w:rPr>
          <w:iCs w:val="0"/>
          <w:sz w:val="36"/>
        </w:rPr>
      </w:pPr>
      <w:bookmarkStart w:id="26" w:name="_Toc224302057"/>
      <w:bookmarkStart w:id="27" w:name="_Toc227235496"/>
      <w:r w:rsidRPr="00437511">
        <w:rPr>
          <w:iCs w:val="0"/>
          <w:sz w:val="36"/>
        </w:rPr>
        <w:t>Stage 2</w:t>
      </w:r>
      <w:r w:rsidR="00970FB7" w:rsidRPr="00437511">
        <w:rPr>
          <w:iCs w:val="0"/>
          <w:sz w:val="36"/>
        </w:rPr>
        <w:t>: review of benefits</w:t>
      </w:r>
      <w:bookmarkEnd w:id="26"/>
      <w:bookmarkEnd w:id="27"/>
    </w:p>
    <w:bookmarkEnd w:id="23"/>
    <w:p w14:paraId="77E1E2A6" w14:textId="2D574EC3" w:rsidR="004D6110" w:rsidRDefault="00F9164F" w:rsidP="00996B76">
      <w:pPr>
        <w:spacing w:before="240" w:after="240" w:line="276" w:lineRule="auto"/>
      </w:pPr>
      <w:r>
        <w:t>A</w:t>
      </w:r>
      <w:r w:rsidR="00970FB7">
        <w:t>t the December 2024</w:t>
      </w:r>
      <w:r>
        <w:t xml:space="preserve"> </w:t>
      </w:r>
      <w:r w:rsidR="00FE501A">
        <w:t xml:space="preserve">MDHTAC </w:t>
      </w:r>
      <w:r>
        <w:t xml:space="preserve">meeting, the department advised MDHTAC </w:t>
      </w:r>
      <w:r w:rsidR="00970FB7">
        <w:t xml:space="preserve">that </w:t>
      </w:r>
      <w:r>
        <w:t>s</w:t>
      </w:r>
      <w:r w:rsidR="00970FB7">
        <w:t>tage 2 of the review had commenced.</w:t>
      </w:r>
      <w:r w:rsidR="007875AE">
        <w:t xml:space="preserve"> </w:t>
      </w:r>
    </w:p>
    <w:p w14:paraId="7AE3333A" w14:textId="05438BC0" w:rsidR="004D6110" w:rsidRDefault="00010191" w:rsidP="000A3D5C">
      <w:pPr>
        <w:spacing w:line="276" w:lineRule="auto"/>
      </w:pPr>
      <w:r>
        <w:t>The department engaged an external HTA consultant to</w:t>
      </w:r>
      <w:r w:rsidR="003469D3">
        <w:t>:</w:t>
      </w:r>
    </w:p>
    <w:p w14:paraId="1103F807" w14:textId="1ACEBA23" w:rsidR="00513571" w:rsidRPr="00513571" w:rsidRDefault="00513571" w:rsidP="000A3D5C">
      <w:pPr>
        <w:pStyle w:val="ListParagraph"/>
        <w:numPr>
          <w:ilvl w:val="0"/>
          <w:numId w:val="25"/>
        </w:numPr>
        <w:spacing w:after="160" w:line="276" w:lineRule="auto"/>
      </w:pPr>
      <w:r w:rsidRPr="00513571">
        <w:t xml:space="preserve">Review the evidence for the use of </w:t>
      </w:r>
      <w:r w:rsidR="00FE501A">
        <w:t>SGB</w:t>
      </w:r>
      <w:r w:rsidRPr="00513571">
        <w:t xml:space="preserve"> currently listed on the PL, with a focus on cost-effectiveness to nominated comparator in complex and non-complex CMF procedures. </w:t>
      </w:r>
    </w:p>
    <w:p w14:paraId="604EEF3F" w14:textId="77777777" w:rsidR="00513571" w:rsidRPr="00513571" w:rsidRDefault="00513571" w:rsidP="000A3D5C">
      <w:pPr>
        <w:pStyle w:val="ListParagraph"/>
        <w:numPr>
          <w:ilvl w:val="0"/>
          <w:numId w:val="25"/>
        </w:numPr>
        <w:spacing w:after="160" w:line="276" w:lineRule="auto"/>
      </w:pPr>
      <w:r w:rsidRPr="00513571">
        <w:t>Conduct an appropriate economic analysis of the devices in scope:</w:t>
      </w:r>
    </w:p>
    <w:p w14:paraId="4F3D2166" w14:textId="7DDB6887" w:rsidR="00513571" w:rsidRPr="00513571" w:rsidRDefault="00513571" w:rsidP="000A3D5C">
      <w:pPr>
        <w:pStyle w:val="ListParagraph"/>
        <w:numPr>
          <w:ilvl w:val="1"/>
          <w:numId w:val="25"/>
        </w:numPr>
        <w:spacing w:after="160" w:line="276" w:lineRule="auto"/>
      </w:pPr>
      <w:r w:rsidRPr="00513571">
        <w:t>Surgical guides used for implanting a device in CMF procedures on the PL</w:t>
      </w:r>
      <w:r w:rsidR="008458D0">
        <w:t>.</w:t>
      </w:r>
    </w:p>
    <w:p w14:paraId="773713E7" w14:textId="65460B43" w:rsidR="00513571" w:rsidRPr="00513571" w:rsidRDefault="00513571" w:rsidP="000A3D5C">
      <w:pPr>
        <w:pStyle w:val="ListParagraph"/>
        <w:numPr>
          <w:ilvl w:val="1"/>
          <w:numId w:val="25"/>
        </w:numPr>
        <w:spacing w:after="160" w:line="276" w:lineRule="auto"/>
      </w:pPr>
      <w:proofErr w:type="spellStart"/>
      <w:r w:rsidRPr="00513571">
        <w:t>Biomodels</w:t>
      </w:r>
      <w:proofErr w:type="spellEnd"/>
      <w:r w:rsidRPr="00513571">
        <w:t xml:space="preserve"> used for implanting a device in CMF procedures on the PL</w:t>
      </w:r>
      <w:r w:rsidR="008458D0">
        <w:t>.</w:t>
      </w:r>
    </w:p>
    <w:p w14:paraId="17037A8F" w14:textId="4B2AEBDF" w:rsidR="00513571" w:rsidRPr="00513571" w:rsidRDefault="00FE501A" w:rsidP="000A3D5C">
      <w:pPr>
        <w:pStyle w:val="ListParagraph"/>
        <w:numPr>
          <w:ilvl w:val="1"/>
          <w:numId w:val="25"/>
        </w:numPr>
        <w:spacing w:after="160" w:line="276" w:lineRule="auto"/>
      </w:pPr>
      <w:r>
        <w:t>SGB</w:t>
      </w:r>
      <w:r w:rsidR="00513571" w:rsidRPr="00513571">
        <w:t xml:space="preserve"> in combination for implanting a device in CMF procedures on the PL</w:t>
      </w:r>
      <w:r w:rsidR="008458D0">
        <w:t>.</w:t>
      </w:r>
    </w:p>
    <w:p w14:paraId="7B817A51" w14:textId="77777777" w:rsidR="00513571" w:rsidRPr="00DA378B" w:rsidRDefault="00513571" w:rsidP="000A3D5C">
      <w:pPr>
        <w:pStyle w:val="ListParagraph"/>
        <w:numPr>
          <w:ilvl w:val="0"/>
          <w:numId w:val="25"/>
        </w:numPr>
        <w:spacing w:after="160" w:line="276" w:lineRule="auto"/>
      </w:pPr>
      <w:r w:rsidRPr="00513571">
        <w:t xml:space="preserve">Subject to findings from </w:t>
      </w:r>
      <w:proofErr w:type="spellStart"/>
      <w:r w:rsidRPr="00513571">
        <w:t>ToRs</w:t>
      </w:r>
      <w:proofErr w:type="spellEnd"/>
      <w:r w:rsidRPr="00513571">
        <w:t xml:space="preserve"> 1-2, provide recommendations on appropriate benefits for surgical guides and </w:t>
      </w:r>
      <w:proofErr w:type="spellStart"/>
      <w:r w:rsidRPr="00513571">
        <w:t>biomodels</w:t>
      </w:r>
      <w:proofErr w:type="spellEnd"/>
      <w:r w:rsidRPr="00513571">
        <w:t xml:space="preserve"> on the PL.</w:t>
      </w:r>
    </w:p>
    <w:p w14:paraId="62C352F2" w14:textId="5899FA0F" w:rsidR="00A420DC" w:rsidRDefault="00646FC9" w:rsidP="00996B76">
      <w:pPr>
        <w:spacing w:after="240" w:line="276" w:lineRule="auto"/>
      </w:pPr>
      <w:r w:rsidRPr="00646FC9">
        <w:t xml:space="preserve">Targeted stakeholders contributed information to inform stage 2 of the review in December 2024. </w:t>
      </w:r>
      <w:r w:rsidR="00C50281" w:rsidRPr="00C50281">
        <w:t xml:space="preserve">The department </w:t>
      </w:r>
      <w:r w:rsidR="00C50281">
        <w:t>published</w:t>
      </w:r>
      <w:r w:rsidR="00C50281" w:rsidRPr="00C50281">
        <w:t xml:space="preserve"> the draft report for stakeholder feedback in April 2025 and provided the </w:t>
      </w:r>
      <w:r w:rsidR="00C50281">
        <w:t>report</w:t>
      </w:r>
      <w:r w:rsidR="00C50281" w:rsidRPr="00C50281">
        <w:t xml:space="preserve"> to MDHTAC for its May 2025 meeting. The external consultant delivered the final report in August 2025.</w:t>
      </w:r>
      <w:r w:rsidR="00696E5D">
        <w:t xml:space="preserve"> </w:t>
      </w:r>
      <w:r w:rsidR="00A0689E">
        <w:rPr>
          <w:szCs w:val="22"/>
        </w:rPr>
        <w:t xml:space="preserve">The </w:t>
      </w:r>
      <w:hyperlink r:id="rId30" w:history="1">
        <w:r w:rsidR="00A0689E" w:rsidRPr="00FD60BE">
          <w:rPr>
            <w:rStyle w:val="Hyperlink"/>
            <w:szCs w:val="22"/>
          </w:rPr>
          <w:t xml:space="preserve">stage </w:t>
        </w:r>
        <w:r w:rsidR="00A0689E" w:rsidRPr="00FD60BE">
          <w:rPr>
            <w:rStyle w:val="Hyperlink"/>
          </w:rPr>
          <w:t>2 report</w:t>
        </w:r>
      </w:hyperlink>
      <w:r w:rsidR="00A0689E" w:rsidRPr="00A43D82">
        <w:rPr>
          <w:szCs w:val="22"/>
        </w:rPr>
        <w:t xml:space="preserve"> </w:t>
      </w:r>
      <w:r w:rsidR="00A0689E">
        <w:rPr>
          <w:szCs w:val="22"/>
        </w:rPr>
        <w:t>is available on our website.</w:t>
      </w:r>
    </w:p>
    <w:p w14:paraId="58C1B4A1" w14:textId="261AFACD" w:rsidR="00533CA4" w:rsidRDefault="00A420DC" w:rsidP="00996B76">
      <w:pPr>
        <w:spacing w:after="240" w:line="276" w:lineRule="auto"/>
      </w:pPr>
      <w:r>
        <w:t xml:space="preserve">The report found: </w:t>
      </w:r>
    </w:p>
    <w:p w14:paraId="708309CD" w14:textId="3C32B25E" w:rsidR="00B04948" w:rsidRPr="00B04948" w:rsidRDefault="00B04948" w:rsidP="000A3D5C">
      <w:pPr>
        <w:pStyle w:val="ListParagraph"/>
        <w:numPr>
          <w:ilvl w:val="0"/>
          <w:numId w:val="32"/>
        </w:numPr>
        <w:spacing w:line="276" w:lineRule="auto"/>
      </w:pPr>
      <w:r>
        <w:t xml:space="preserve">The evidence for </w:t>
      </w:r>
      <w:r w:rsidR="00C50B14">
        <w:t>SGB</w:t>
      </w:r>
      <w:r>
        <w:t xml:space="preserve"> is difficult to interpret due to the complexity of the intervention, which often includes virtual surgical planning, multiple 3D</w:t>
      </w:r>
      <w:r w:rsidR="005C2A3E">
        <w:t xml:space="preserve"> </w:t>
      </w:r>
      <w:r>
        <w:t>printed components and patient</w:t>
      </w:r>
      <w:r w:rsidR="2CCE370C">
        <w:t xml:space="preserve"> </w:t>
      </w:r>
      <w:r>
        <w:t xml:space="preserve">matched implants used in combination. This makes it challenging to attribute observed clinical outcomes specifically to the physical guides or </w:t>
      </w:r>
      <w:proofErr w:type="spellStart"/>
      <w:r>
        <w:t>biomodels</w:t>
      </w:r>
      <w:proofErr w:type="spellEnd"/>
      <w:r>
        <w:t>.</w:t>
      </w:r>
    </w:p>
    <w:p w14:paraId="6E1BFAC0" w14:textId="2DCE1C83" w:rsidR="00B04948" w:rsidRPr="00B04948" w:rsidRDefault="00B04948" w:rsidP="000A3D5C">
      <w:pPr>
        <w:pStyle w:val="ListParagraph"/>
        <w:numPr>
          <w:ilvl w:val="0"/>
          <w:numId w:val="32"/>
        </w:numPr>
        <w:spacing w:line="276" w:lineRule="auto"/>
      </w:pPr>
      <w:r w:rsidRPr="00B04948">
        <w:t xml:space="preserve">Most studies did not clearly describe the type or number of surgical guides or </w:t>
      </w:r>
      <w:proofErr w:type="spellStart"/>
      <w:r w:rsidRPr="00B04948">
        <w:t>biomodels</w:t>
      </w:r>
      <w:proofErr w:type="spellEnd"/>
      <w:r w:rsidRPr="00B04948">
        <w:t xml:space="preserve"> used</w:t>
      </w:r>
      <w:r w:rsidR="00C41D95">
        <w:t>, limiting</w:t>
      </w:r>
      <w:r w:rsidRPr="00B04948">
        <w:t xml:space="preserve"> the ability to link findings to devices </w:t>
      </w:r>
      <w:r w:rsidR="00CF73F2">
        <w:t>on the PL.</w:t>
      </w:r>
    </w:p>
    <w:p w14:paraId="426F8C90" w14:textId="7C8B4006" w:rsidR="00B04948" w:rsidRPr="00B04948" w:rsidRDefault="00B04948" w:rsidP="000A3D5C">
      <w:pPr>
        <w:pStyle w:val="ListParagraph"/>
        <w:numPr>
          <w:ilvl w:val="0"/>
          <w:numId w:val="32"/>
        </w:numPr>
        <w:spacing w:line="276" w:lineRule="auto"/>
      </w:pPr>
      <w:r w:rsidRPr="00B04948">
        <w:t>Evidence is concentrated in orthognathic osteotomies and maxilla and mandibular reconstructions, which are complex CMF procedures within scope of the review. By contrast, dental implant surgery</w:t>
      </w:r>
      <w:r w:rsidR="007F65A3">
        <w:t xml:space="preserve">, </w:t>
      </w:r>
      <w:r w:rsidRPr="00B04948">
        <w:t>generally considered a simple procedure</w:t>
      </w:r>
      <w:r w:rsidR="007F65A3">
        <w:t xml:space="preserve">, </w:t>
      </w:r>
      <w:r w:rsidR="007823A3">
        <w:t>represents</w:t>
      </w:r>
      <w:r w:rsidRPr="00B04948">
        <w:t xml:space="preserve"> a large proportion of the published literature but does not demonstrate clear added value from </w:t>
      </w:r>
      <w:r w:rsidR="00C63FE2">
        <w:t xml:space="preserve">surgical </w:t>
      </w:r>
      <w:r w:rsidRPr="00B04948">
        <w:t xml:space="preserve">guides or </w:t>
      </w:r>
      <w:proofErr w:type="spellStart"/>
      <w:r w:rsidRPr="00B04948">
        <w:t>biomodels</w:t>
      </w:r>
      <w:proofErr w:type="spellEnd"/>
      <w:r w:rsidRPr="00B04948">
        <w:t>.</w:t>
      </w:r>
    </w:p>
    <w:p w14:paraId="4C70510B" w14:textId="179A4DCD" w:rsidR="00B04948" w:rsidRPr="00B04948" w:rsidRDefault="00B04948" w:rsidP="000A3D5C">
      <w:pPr>
        <w:pStyle w:val="ListParagraph"/>
        <w:numPr>
          <w:ilvl w:val="0"/>
          <w:numId w:val="32"/>
        </w:numPr>
        <w:spacing w:line="276" w:lineRule="auto"/>
      </w:pPr>
      <w:r>
        <w:t>For other CMF indications identified in Stage 1 as appropriate for surgical guide use, there is little evidence on cost</w:t>
      </w:r>
      <w:r w:rsidR="3A6A5105">
        <w:t xml:space="preserve"> </w:t>
      </w:r>
      <w:r>
        <w:t xml:space="preserve">effectiveness. These surgeries are rare and highly </w:t>
      </w:r>
      <w:r>
        <w:lastRenderedPageBreak/>
        <w:t xml:space="preserve">individualised, making prospective comparative studies difficult and limiting the likelihood of future </w:t>
      </w:r>
      <w:r w:rsidR="2ECA8853">
        <w:t>high-quality</w:t>
      </w:r>
      <w:r>
        <w:t xml:space="preserve"> trials.</w:t>
      </w:r>
    </w:p>
    <w:p w14:paraId="0BE1FFF2" w14:textId="7FA8FDCD" w:rsidR="00B04948" w:rsidRPr="00B04948" w:rsidRDefault="00B04948" w:rsidP="000A3D5C">
      <w:pPr>
        <w:pStyle w:val="ListParagraph"/>
        <w:numPr>
          <w:ilvl w:val="0"/>
          <w:numId w:val="32"/>
        </w:numPr>
        <w:spacing w:line="276" w:lineRule="auto"/>
      </w:pPr>
      <w:r w:rsidRPr="00B04948">
        <w:t xml:space="preserve">Costs associated with </w:t>
      </w:r>
      <w:r w:rsidR="00D60E0D">
        <w:t>SGB</w:t>
      </w:r>
      <w:r w:rsidRPr="00B04948">
        <w:t xml:space="preserve"> generally exceed those of usual </w:t>
      </w:r>
      <w:proofErr w:type="gramStart"/>
      <w:r w:rsidRPr="00B04948">
        <w:t>care,</w:t>
      </w:r>
      <w:proofErr w:type="gramEnd"/>
      <w:r w:rsidRPr="00B04948">
        <w:t xml:space="preserve"> </w:t>
      </w:r>
      <w:r w:rsidR="00F01393">
        <w:t>however,</w:t>
      </w:r>
      <w:r w:rsidRPr="00B04948">
        <w:t xml:space="preserve"> reporting is inconsistent and often does not separate device costs from virtual surgical planning costs. </w:t>
      </w:r>
    </w:p>
    <w:p w14:paraId="78249E6F" w14:textId="3F2DB258" w:rsidR="00B04948" w:rsidRPr="00B04948" w:rsidRDefault="00B04948" w:rsidP="000A3D5C">
      <w:pPr>
        <w:pStyle w:val="ListParagraph"/>
        <w:numPr>
          <w:ilvl w:val="0"/>
          <w:numId w:val="32"/>
        </w:numPr>
        <w:spacing w:line="276" w:lineRule="auto"/>
      </w:pPr>
      <w:r>
        <w:t xml:space="preserve">No </w:t>
      </w:r>
      <w:r w:rsidR="007D69CA">
        <w:t>reliable</w:t>
      </w:r>
      <w:r w:rsidR="00400E04">
        <w:t xml:space="preserve"> </w:t>
      </w:r>
      <w:r w:rsidR="00E4669D">
        <w:t>data</w:t>
      </w:r>
      <w:r>
        <w:t xml:space="preserve"> was identified to show that patient</w:t>
      </w:r>
      <w:r w:rsidR="061A3970">
        <w:t xml:space="preserve"> </w:t>
      </w:r>
      <w:r>
        <w:t xml:space="preserve">matched surgical guides or </w:t>
      </w:r>
      <w:proofErr w:type="spellStart"/>
      <w:r>
        <w:t>biomodels</w:t>
      </w:r>
      <w:proofErr w:type="spellEnd"/>
      <w:r>
        <w:t xml:space="preserve"> are more effective or safer than conventional techniques. This limits the ability to determine whether current PL benefit levels reflect their clinical value and underscores the need for higher</w:t>
      </w:r>
      <w:r w:rsidR="2C39D457">
        <w:t xml:space="preserve"> </w:t>
      </w:r>
      <w:r>
        <w:t>quality evidence.</w:t>
      </w:r>
    </w:p>
    <w:p w14:paraId="6F7356A4" w14:textId="04CB2A11" w:rsidR="00A91E3B" w:rsidRDefault="00B04948" w:rsidP="000A3D5C">
      <w:pPr>
        <w:pStyle w:val="ListParagraph"/>
        <w:numPr>
          <w:ilvl w:val="0"/>
          <w:numId w:val="32"/>
        </w:numPr>
        <w:spacing w:after="240" w:line="276" w:lineRule="auto"/>
      </w:pPr>
      <w:r>
        <w:t xml:space="preserve">Randomised controlled trials indicate that </w:t>
      </w:r>
      <w:r w:rsidR="00540F53">
        <w:t>SGB</w:t>
      </w:r>
      <w:r>
        <w:t xml:space="preserve"> may reduce operative time in complex CMF procedures</w:t>
      </w:r>
      <w:r w:rsidR="00C379B2">
        <w:t>. However,</w:t>
      </w:r>
      <w:r>
        <w:t xml:space="preserve"> similar benefits were not observed for simpler procedures, such as dental implant surgery</w:t>
      </w:r>
      <w:r w:rsidR="00EA513A">
        <w:t xml:space="preserve"> (</w:t>
      </w:r>
      <w:r w:rsidR="00C379B2">
        <w:t>where this</w:t>
      </w:r>
      <w:r w:rsidR="00EA513A">
        <w:t xml:space="preserve"> is not </w:t>
      </w:r>
      <w:r w:rsidR="003D2354">
        <w:t xml:space="preserve">part of a complex CMF procedure </w:t>
      </w:r>
      <w:r w:rsidR="004A1613">
        <w:t>involving</w:t>
      </w:r>
      <w:r w:rsidR="003D2354">
        <w:t xml:space="preserve"> facial reconstruction or correction of significant jaw </w:t>
      </w:r>
      <w:r w:rsidR="004A1613">
        <w:t>deformities</w:t>
      </w:r>
      <w:r w:rsidR="003D2354">
        <w:t>)</w:t>
      </w:r>
      <w:r>
        <w:t xml:space="preserve">. This raises questions about their value in </w:t>
      </w:r>
      <w:r w:rsidR="00DB1507">
        <w:t xml:space="preserve">settings with </w:t>
      </w:r>
      <w:r w:rsidR="5DE2F605">
        <w:t>lower complexity</w:t>
      </w:r>
      <w:r>
        <w:t>.</w:t>
      </w:r>
    </w:p>
    <w:p w14:paraId="767694D1" w14:textId="49CD451F" w:rsidR="00A91E3B" w:rsidRDefault="00A91E3B" w:rsidP="000A3D5C">
      <w:pPr>
        <w:spacing w:line="276" w:lineRule="auto"/>
      </w:pPr>
      <w:r>
        <w:t xml:space="preserve">The report </w:t>
      </w:r>
      <w:r w:rsidR="00DA3A34">
        <w:t>outlined</w:t>
      </w:r>
      <w:r>
        <w:t xml:space="preserve"> </w:t>
      </w:r>
      <w:r w:rsidR="00A04F20">
        <w:t>several</w:t>
      </w:r>
      <w:r>
        <w:t xml:space="preserve"> options for the department to con</w:t>
      </w:r>
      <w:r w:rsidR="00EB68E4">
        <w:t xml:space="preserve">sider. </w:t>
      </w:r>
      <w:r w:rsidR="0053605D">
        <w:t>The department</w:t>
      </w:r>
      <w:r w:rsidR="00D76F14">
        <w:t xml:space="preserve"> sought </w:t>
      </w:r>
      <w:r w:rsidR="00BA4293">
        <w:t>MDHTAC</w:t>
      </w:r>
      <w:r w:rsidR="0053605D">
        <w:t>’s advice</w:t>
      </w:r>
      <w:r w:rsidR="00D76F14">
        <w:t xml:space="preserve"> on the</w:t>
      </w:r>
      <w:r w:rsidR="009B31F9">
        <w:t>se</w:t>
      </w:r>
      <w:r w:rsidR="00D76F14">
        <w:t xml:space="preserve"> </w:t>
      </w:r>
      <w:r w:rsidR="00BA4293">
        <w:t xml:space="preserve">options at the May 2025 meeting. MDHTAC </w:t>
      </w:r>
      <w:r w:rsidR="008A75F5">
        <w:t xml:space="preserve">advised the department to consider the following options </w:t>
      </w:r>
      <w:r w:rsidR="00FC5E86">
        <w:t>(</w:t>
      </w:r>
      <w:r w:rsidR="008A75F5">
        <w:t>not</w:t>
      </w:r>
      <w:r w:rsidR="00DB0C93">
        <w:t>ing that</w:t>
      </w:r>
      <w:r w:rsidR="008A75F5">
        <w:t xml:space="preserve"> not all options were </w:t>
      </w:r>
      <w:r w:rsidR="00FC5E86">
        <w:t>discussed</w:t>
      </w:r>
      <w:r w:rsidR="008A75F5">
        <w:t xml:space="preserve"> in detail</w:t>
      </w:r>
      <w:r w:rsidR="00184037">
        <w:t xml:space="preserve"> at </w:t>
      </w:r>
      <w:r w:rsidR="00DB0C93">
        <w:t>that</w:t>
      </w:r>
      <w:r w:rsidR="00184037">
        <w:t xml:space="preserve"> meeting</w:t>
      </w:r>
      <w:r w:rsidR="00FC5E86">
        <w:t>)</w:t>
      </w:r>
      <w:r w:rsidR="008A75F5">
        <w:t>:</w:t>
      </w:r>
    </w:p>
    <w:p w14:paraId="3E9B49DB" w14:textId="7D48E208" w:rsidR="00A93825" w:rsidRPr="00F00401" w:rsidRDefault="00A93825" w:rsidP="00F00401">
      <w:pPr>
        <w:pStyle w:val="ListParagraph"/>
        <w:numPr>
          <w:ilvl w:val="0"/>
          <w:numId w:val="11"/>
        </w:numPr>
        <w:tabs>
          <w:tab w:val="num" w:pos="720"/>
        </w:tabs>
        <w:spacing w:before="120" w:after="120" w:line="276" w:lineRule="auto"/>
        <w:rPr>
          <w:color w:val="000000" w:themeColor="text1"/>
        </w:rPr>
      </w:pPr>
      <w:r w:rsidRPr="00F00401">
        <w:rPr>
          <w:color w:val="000000" w:themeColor="text1"/>
        </w:rPr>
        <w:t xml:space="preserve">Remove </w:t>
      </w:r>
      <w:r w:rsidR="005139CD">
        <w:rPr>
          <w:color w:val="000000" w:themeColor="text1"/>
        </w:rPr>
        <w:t>SGB</w:t>
      </w:r>
      <w:r w:rsidRPr="00F00401">
        <w:rPr>
          <w:color w:val="000000" w:themeColor="text1"/>
        </w:rPr>
        <w:t xml:space="preserve"> for dental implant surgery from the PL</w:t>
      </w:r>
      <w:r w:rsidR="00CE6E19">
        <w:rPr>
          <w:color w:val="000000" w:themeColor="text1"/>
        </w:rPr>
        <w:t>.</w:t>
      </w:r>
    </w:p>
    <w:p w14:paraId="45F55BF8" w14:textId="597E18C2" w:rsidR="00FF07D5" w:rsidRPr="00CE6E19" w:rsidRDefault="00A93825" w:rsidP="00CE6E19">
      <w:pPr>
        <w:pStyle w:val="ListParagraph"/>
        <w:numPr>
          <w:ilvl w:val="0"/>
          <w:numId w:val="11"/>
        </w:numPr>
        <w:spacing w:before="120" w:after="120" w:line="276" w:lineRule="auto"/>
        <w:rPr>
          <w:color w:val="000000" w:themeColor="text1"/>
        </w:rPr>
      </w:pPr>
      <w:r w:rsidRPr="00CE6E19">
        <w:rPr>
          <w:color w:val="000000" w:themeColor="text1"/>
        </w:rPr>
        <w:t xml:space="preserve">Establish benefits relative to the clinical effectiveness of </w:t>
      </w:r>
      <w:r w:rsidR="00CE5A4F">
        <w:rPr>
          <w:color w:val="000000" w:themeColor="text1"/>
        </w:rPr>
        <w:t>SGB.</w:t>
      </w:r>
    </w:p>
    <w:p w14:paraId="36272570" w14:textId="17EADF8A" w:rsidR="008A75F5" w:rsidRPr="00F00401" w:rsidRDefault="00A93825" w:rsidP="00F00401">
      <w:pPr>
        <w:pStyle w:val="ListParagraph"/>
        <w:numPr>
          <w:ilvl w:val="0"/>
          <w:numId w:val="11"/>
        </w:numPr>
        <w:tabs>
          <w:tab w:val="num" w:pos="720"/>
        </w:tabs>
        <w:spacing w:before="120" w:after="120" w:line="276" w:lineRule="auto"/>
        <w:rPr>
          <w:color w:val="000000" w:themeColor="text1"/>
        </w:rPr>
      </w:pPr>
      <w:r w:rsidRPr="00F00401">
        <w:rPr>
          <w:color w:val="000000" w:themeColor="text1"/>
        </w:rPr>
        <w:t xml:space="preserve">Align PL benefits for </w:t>
      </w:r>
      <w:r w:rsidR="002835D6">
        <w:rPr>
          <w:color w:val="000000" w:themeColor="text1"/>
        </w:rPr>
        <w:t>SGB</w:t>
      </w:r>
      <w:r w:rsidRPr="00F00401">
        <w:rPr>
          <w:color w:val="000000" w:themeColor="text1"/>
        </w:rPr>
        <w:t xml:space="preserve"> with the public sector or with internationally reimbursed prices</w:t>
      </w:r>
      <w:r w:rsidR="00CE6E19">
        <w:rPr>
          <w:color w:val="000000" w:themeColor="text1"/>
        </w:rPr>
        <w:t xml:space="preserve">. </w:t>
      </w:r>
    </w:p>
    <w:p w14:paraId="39B9BB73" w14:textId="4C2D8C04" w:rsidR="00160ED8" w:rsidRPr="001521F1" w:rsidRDefault="00160ED8" w:rsidP="001521F1">
      <w:pPr>
        <w:spacing w:before="120" w:after="120" w:line="276" w:lineRule="auto"/>
        <w:rPr>
          <w:color w:val="000000" w:themeColor="text1"/>
        </w:rPr>
      </w:pPr>
      <w:r w:rsidRPr="001521F1">
        <w:rPr>
          <w:color w:val="000000" w:themeColor="text1"/>
        </w:rPr>
        <w:t xml:space="preserve">The department </w:t>
      </w:r>
      <w:r w:rsidR="00F744A1" w:rsidRPr="001521F1">
        <w:rPr>
          <w:color w:val="000000" w:themeColor="text1"/>
        </w:rPr>
        <w:t>considered</w:t>
      </w:r>
      <w:r w:rsidR="004C4303" w:rsidRPr="001521F1">
        <w:rPr>
          <w:color w:val="000000" w:themeColor="text1"/>
        </w:rPr>
        <w:t xml:space="preserve"> the options advised by MDHTAC</w:t>
      </w:r>
      <w:r w:rsidR="00C0310A" w:rsidRPr="001521F1">
        <w:rPr>
          <w:color w:val="000000" w:themeColor="text1"/>
        </w:rPr>
        <w:t xml:space="preserve"> and </w:t>
      </w:r>
      <w:r w:rsidR="00505403">
        <w:rPr>
          <w:color w:val="000000" w:themeColor="text1"/>
        </w:rPr>
        <w:t>sought further advice</w:t>
      </w:r>
      <w:r w:rsidR="00A457D6">
        <w:rPr>
          <w:color w:val="000000" w:themeColor="text1"/>
        </w:rPr>
        <w:t xml:space="preserve"> on those options as well as other options in the </w:t>
      </w:r>
      <w:r w:rsidR="00891CB3">
        <w:rPr>
          <w:color w:val="000000" w:themeColor="text1"/>
        </w:rPr>
        <w:t>s</w:t>
      </w:r>
      <w:r w:rsidR="00A457D6">
        <w:rPr>
          <w:color w:val="000000" w:themeColor="text1"/>
        </w:rPr>
        <w:t xml:space="preserve">tage 2 external consultant report </w:t>
      </w:r>
      <w:r w:rsidR="00505403">
        <w:rPr>
          <w:color w:val="000000" w:themeColor="text1"/>
        </w:rPr>
        <w:t>at the December 2025</w:t>
      </w:r>
      <w:r w:rsidR="00C0310A" w:rsidRPr="001521F1">
        <w:rPr>
          <w:color w:val="000000" w:themeColor="text1"/>
        </w:rPr>
        <w:t xml:space="preserve"> MDHTAC meeting:</w:t>
      </w:r>
    </w:p>
    <w:p w14:paraId="333E23F2" w14:textId="486789FB" w:rsidR="001A7F9D" w:rsidRPr="00565DCD" w:rsidRDefault="00C0310A" w:rsidP="00565DCD">
      <w:pPr>
        <w:spacing w:before="120" w:after="120" w:line="276" w:lineRule="auto"/>
        <w:rPr>
          <w:b/>
          <w:bCs/>
          <w:color w:val="000000" w:themeColor="text1"/>
        </w:rPr>
      </w:pPr>
      <w:r w:rsidRPr="00565DCD">
        <w:rPr>
          <w:b/>
          <w:bCs/>
          <w:color w:val="000000" w:themeColor="text1"/>
        </w:rPr>
        <w:t xml:space="preserve">Remove surgical guides and </w:t>
      </w:r>
      <w:proofErr w:type="spellStart"/>
      <w:r w:rsidRPr="00565DCD">
        <w:rPr>
          <w:b/>
          <w:bCs/>
          <w:color w:val="000000" w:themeColor="text1"/>
        </w:rPr>
        <w:t>biomodels</w:t>
      </w:r>
      <w:proofErr w:type="spellEnd"/>
      <w:r w:rsidRPr="00565DCD">
        <w:rPr>
          <w:b/>
          <w:bCs/>
          <w:color w:val="000000" w:themeColor="text1"/>
        </w:rPr>
        <w:t xml:space="preserve"> for dental implant surgery from the PL</w:t>
      </w:r>
      <w:r w:rsidR="00575552" w:rsidRPr="00565DCD">
        <w:rPr>
          <w:b/>
          <w:bCs/>
          <w:color w:val="000000" w:themeColor="text1"/>
        </w:rPr>
        <w:t>.</w:t>
      </w:r>
    </w:p>
    <w:p w14:paraId="1031741B" w14:textId="358EB645" w:rsidR="00446D6E" w:rsidRPr="00D4756B" w:rsidRDefault="003D548D" w:rsidP="00D4756B">
      <w:pPr>
        <w:pStyle w:val="ListParagraph"/>
        <w:numPr>
          <w:ilvl w:val="0"/>
          <w:numId w:val="11"/>
        </w:numPr>
        <w:spacing w:before="120" w:after="120" w:line="276" w:lineRule="auto"/>
        <w:rPr>
          <w:color w:val="000000" w:themeColor="text1"/>
        </w:rPr>
      </w:pPr>
      <w:r w:rsidRPr="00CE6E19">
        <w:rPr>
          <w:color w:val="000000" w:themeColor="text1"/>
        </w:rPr>
        <w:t xml:space="preserve">MDHTAC agreed it may have merit to keep </w:t>
      </w:r>
      <w:r>
        <w:rPr>
          <w:color w:val="000000" w:themeColor="text1"/>
        </w:rPr>
        <w:t>SGB</w:t>
      </w:r>
      <w:r w:rsidRPr="00CE6E19">
        <w:rPr>
          <w:color w:val="000000" w:themeColor="text1"/>
        </w:rPr>
        <w:t xml:space="preserve"> designed for dental implants on the PL when used in complex procedures and advised the department to consider this further</w:t>
      </w:r>
      <w:r>
        <w:rPr>
          <w:color w:val="000000" w:themeColor="text1"/>
        </w:rPr>
        <w:t>.</w:t>
      </w:r>
      <w:r w:rsidR="00D4756B">
        <w:rPr>
          <w:color w:val="000000" w:themeColor="text1"/>
        </w:rPr>
        <w:t xml:space="preserve"> </w:t>
      </w:r>
      <w:r w:rsidR="006445D5" w:rsidRPr="00D4756B">
        <w:rPr>
          <w:color w:val="000000" w:themeColor="text1"/>
        </w:rPr>
        <w:t>This option was</w:t>
      </w:r>
      <w:r w:rsidR="00446D6E" w:rsidRPr="00D4756B">
        <w:rPr>
          <w:color w:val="000000" w:themeColor="text1"/>
        </w:rPr>
        <w:t xml:space="preserve"> considered in the context of defining complex CMF procedures, noting that dental implants can form part of some complex CMF procedures. There is no agreed definition of complex procedures, so removing these items from the PL is not a </w:t>
      </w:r>
      <w:r w:rsidR="004A56CA">
        <w:rPr>
          <w:color w:val="000000" w:themeColor="text1"/>
        </w:rPr>
        <w:t>viable</w:t>
      </w:r>
      <w:r w:rsidR="00446D6E" w:rsidRPr="00D4756B">
        <w:rPr>
          <w:color w:val="000000" w:themeColor="text1"/>
        </w:rPr>
        <w:t xml:space="preserve"> option </w:t>
      </w:r>
      <w:proofErr w:type="gramStart"/>
      <w:r w:rsidR="00446D6E" w:rsidRPr="00D4756B">
        <w:rPr>
          <w:color w:val="000000" w:themeColor="text1"/>
        </w:rPr>
        <w:t>at this time</w:t>
      </w:r>
      <w:proofErr w:type="gramEnd"/>
      <w:r w:rsidR="00446D6E" w:rsidRPr="00D4756B">
        <w:rPr>
          <w:color w:val="000000" w:themeColor="text1"/>
        </w:rPr>
        <w:t>.</w:t>
      </w:r>
    </w:p>
    <w:p w14:paraId="05EAB412" w14:textId="692158B2" w:rsidR="006C769B" w:rsidRPr="006C769B" w:rsidRDefault="00325B2C" w:rsidP="006C769B">
      <w:pPr>
        <w:pStyle w:val="ListParagraph"/>
        <w:numPr>
          <w:ilvl w:val="0"/>
          <w:numId w:val="11"/>
        </w:numPr>
        <w:spacing w:before="120" w:after="120" w:line="276" w:lineRule="auto"/>
        <w:rPr>
          <w:color w:val="000000" w:themeColor="text1"/>
        </w:rPr>
      </w:pPr>
      <w:r w:rsidRPr="409D1214">
        <w:rPr>
          <w:color w:val="000000" w:themeColor="text1"/>
        </w:rPr>
        <w:t xml:space="preserve">MDHTAC noted </w:t>
      </w:r>
      <w:r w:rsidR="00753881" w:rsidRPr="409D1214">
        <w:rPr>
          <w:color w:val="000000" w:themeColor="text1"/>
        </w:rPr>
        <w:t xml:space="preserve">that further </w:t>
      </w:r>
      <w:r w:rsidR="5BE0A488" w:rsidRPr="409D1214">
        <w:rPr>
          <w:color w:val="000000" w:themeColor="text1"/>
        </w:rPr>
        <w:t>consideration by</w:t>
      </w:r>
      <w:r w:rsidRPr="409D1214">
        <w:rPr>
          <w:color w:val="000000" w:themeColor="text1"/>
        </w:rPr>
        <w:t xml:space="preserve"> GSECAG </w:t>
      </w:r>
      <w:r w:rsidR="00753881" w:rsidRPr="409D1214">
        <w:rPr>
          <w:color w:val="000000" w:themeColor="text1"/>
        </w:rPr>
        <w:t xml:space="preserve">is required </w:t>
      </w:r>
      <w:r w:rsidRPr="409D1214">
        <w:rPr>
          <w:color w:val="000000" w:themeColor="text1"/>
        </w:rPr>
        <w:t xml:space="preserve">to explore whether the condition </w:t>
      </w:r>
      <w:r w:rsidR="00753881" w:rsidRPr="409D1214">
        <w:rPr>
          <w:color w:val="000000" w:themeColor="text1"/>
        </w:rPr>
        <w:t>can</w:t>
      </w:r>
      <w:r w:rsidRPr="409D1214">
        <w:rPr>
          <w:color w:val="000000" w:themeColor="text1"/>
        </w:rPr>
        <w:t xml:space="preserve"> reference specific MBS items</w:t>
      </w:r>
      <w:r w:rsidR="006E5DCF" w:rsidRPr="409D1214">
        <w:rPr>
          <w:color w:val="000000" w:themeColor="text1"/>
        </w:rPr>
        <w:t xml:space="preserve">. </w:t>
      </w:r>
      <w:r w:rsidR="006C769B" w:rsidRPr="409D1214">
        <w:rPr>
          <w:color w:val="000000" w:themeColor="text1"/>
        </w:rPr>
        <w:t>This issue has been considered previously. While several MBS items may be relevant to complex CMF procedures, the department will further discuss this with GSECAG and continue exploring the feasibility of linking the condition to specific MBS items. This work will form part of the ongoing monitoring of the condition.</w:t>
      </w:r>
    </w:p>
    <w:p w14:paraId="64B561D9" w14:textId="77777777" w:rsidR="00194862" w:rsidRDefault="00194862">
      <w:pPr>
        <w:rPr>
          <w:b/>
          <w:bCs/>
          <w:color w:val="000000" w:themeColor="text1"/>
        </w:rPr>
      </w:pPr>
      <w:r>
        <w:rPr>
          <w:b/>
          <w:bCs/>
          <w:color w:val="000000" w:themeColor="text1"/>
        </w:rPr>
        <w:br w:type="page"/>
      </w:r>
    </w:p>
    <w:p w14:paraId="735B50DC" w14:textId="25951E3A" w:rsidR="00C0310A" w:rsidRPr="006C769B" w:rsidRDefault="00C0310A" w:rsidP="00E30933">
      <w:pPr>
        <w:spacing w:before="120" w:after="120" w:line="276" w:lineRule="auto"/>
        <w:rPr>
          <w:b/>
          <w:bCs/>
          <w:color w:val="000000" w:themeColor="text1"/>
        </w:rPr>
      </w:pPr>
      <w:r w:rsidRPr="006C769B">
        <w:rPr>
          <w:b/>
          <w:bCs/>
          <w:color w:val="000000" w:themeColor="text1"/>
        </w:rPr>
        <w:lastRenderedPageBreak/>
        <w:t xml:space="preserve">Establish benefits relative to the clinical effectiveness of surgical guides and </w:t>
      </w:r>
      <w:proofErr w:type="spellStart"/>
      <w:r w:rsidRPr="006C769B">
        <w:rPr>
          <w:b/>
          <w:bCs/>
          <w:color w:val="000000" w:themeColor="text1"/>
        </w:rPr>
        <w:t>biomodels</w:t>
      </w:r>
      <w:proofErr w:type="spellEnd"/>
      <w:r w:rsidR="00575552" w:rsidRPr="006C769B">
        <w:rPr>
          <w:b/>
          <w:bCs/>
          <w:color w:val="000000" w:themeColor="text1"/>
        </w:rPr>
        <w:t>.</w:t>
      </w:r>
    </w:p>
    <w:p w14:paraId="4F2BAA23" w14:textId="33CA4D97" w:rsidR="004025C9" w:rsidRPr="004025C9" w:rsidRDefault="006C79C4" w:rsidP="004025C9">
      <w:pPr>
        <w:pStyle w:val="ListParagraph"/>
        <w:numPr>
          <w:ilvl w:val="0"/>
          <w:numId w:val="35"/>
        </w:numPr>
        <w:spacing w:before="120" w:after="120" w:line="276" w:lineRule="auto"/>
        <w:rPr>
          <w:color w:val="000000" w:themeColor="text1"/>
        </w:rPr>
      </w:pPr>
      <w:r>
        <w:rPr>
          <w:color w:val="000000" w:themeColor="text1"/>
        </w:rPr>
        <w:t>Both</w:t>
      </w:r>
      <w:r w:rsidR="004025C9" w:rsidRPr="004025C9">
        <w:rPr>
          <w:color w:val="000000" w:themeColor="text1"/>
        </w:rPr>
        <w:t xml:space="preserve"> external </w:t>
      </w:r>
      <w:r>
        <w:rPr>
          <w:color w:val="000000" w:themeColor="text1"/>
        </w:rPr>
        <w:t xml:space="preserve">HTA </w:t>
      </w:r>
      <w:r w:rsidR="004025C9" w:rsidRPr="004025C9">
        <w:rPr>
          <w:color w:val="000000" w:themeColor="text1"/>
        </w:rPr>
        <w:t>consultant report</w:t>
      </w:r>
      <w:r>
        <w:rPr>
          <w:color w:val="000000" w:themeColor="text1"/>
        </w:rPr>
        <w:t>s</w:t>
      </w:r>
      <w:r w:rsidR="004025C9" w:rsidRPr="004025C9">
        <w:rPr>
          <w:color w:val="000000" w:themeColor="text1"/>
        </w:rPr>
        <w:t xml:space="preserve"> found there </w:t>
      </w:r>
      <w:r>
        <w:rPr>
          <w:color w:val="000000" w:themeColor="text1"/>
        </w:rPr>
        <w:t>was</w:t>
      </w:r>
      <w:r w:rsidR="004025C9" w:rsidRPr="004025C9">
        <w:rPr>
          <w:color w:val="000000" w:themeColor="text1"/>
        </w:rPr>
        <w:t xml:space="preserve"> not enough high</w:t>
      </w:r>
      <w:r w:rsidR="004025C9" w:rsidRPr="004025C9">
        <w:rPr>
          <w:rFonts w:ascii="Cambria Math" w:hAnsi="Cambria Math" w:cs="Cambria Math"/>
          <w:color w:val="000000" w:themeColor="text1"/>
        </w:rPr>
        <w:t>‑</w:t>
      </w:r>
      <w:r w:rsidR="004025C9" w:rsidRPr="004025C9">
        <w:rPr>
          <w:color w:val="000000" w:themeColor="text1"/>
        </w:rPr>
        <w:t>quality evidence to determine the cost</w:t>
      </w:r>
      <w:r w:rsidR="004025C9" w:rsidRPr="004025C9">
        <w:rPr>
          <w:rFonts w:ascii="Cambria Math" w:hAnsi="Cambria Math" w:cs="Cambria Math"/>
          <w:color w:val="000000" w:themeColor="text1"/>
        </w:rPr>
        <w:t>‑</w:t>
      </w:r>
      <w:r w:rsidR="004025C9" w:rsidRPr="004025C9">
        <w:rPr>
          <w:color w:val="000000" w:themeColor="text1"/>
        </w:rPr>
        <w:t xml:space="preserve">effectiveness of surgical guides and </w:t>
      </w:r>
      <w:proofErr w:type="spellStart"/>
      <w:r w:rsidR="004025C9" w:rsidRPr="004025C9">
        <w:rPr>
          <w:color w:val="000000" w:themeColor="text1"/>
        </w:rPr>
        <w:t>biomodels</w:t>
      </w:r>
      <w:proofErr w:type="spellEnd"/>
      <w:r w:rsidR="004025C9" w:rsidRPr="004025C9">
        <w:rPr>
          <w:color w:val="000000" w:themeColor="text1"/>
        </w:rPr>
        <w:t>. The department may reconsider this option in the future if higher</w:t>
      </w:r>
      <w:r w:rsidR="004025C9" w:rsidRPr="004025C9">
        <w:rPr>
          <w:rFonts w:ascii="Cambria Math" w:hAnsi="Cambria Math" w:cs="Cambria Math"/>
          <w:color w:val="000000" w:themeColor="text1"/>
        </w:rPr>
        <w:t>‑</w:t>
      </w:r>
      <w:r w:rsidR="004025C9" w:rsidRPr="004025C9">
        <w:rPr>
          <w:color w:val="000000" w:themeColor="text1"/>
        </w:rPr>
        <w:t xml:space="preserve">quality evidence on clinical effectiveness and </w:t>
      </w:r>
      <w:r w:rsidR="008D588A">
        <w:rPr>
          <w:color w:val="000000" w:themeColor="text1"/>
        </w:rPr>
        <w:t xml:space="preserve">comparative </w:t>
      </w:r>
      <w:r w:rsidR="004025C9" w:rsidRPr="004025C9">
        <w:rPr>
          <w:color w:val="000000" w:themeColor="text1"/>
        </w:rPr>
        <w:t>costs becomes available.</w:t>
      </w:r>
    </w:p>
    <w:p w14:paraId="2FEC816E" w14:textId="77777777" w:rsidR="00DF695B" w:rsidRDefault="00C0310A" w:rsidP="00565DCD">
      <w:pPr>
        <w:spacing w:before="120" w:after="120" w:line="276" w:lineRule="auto"/>
        <w:rPr>
          <w:b/>
          <w:bCs/>
          <w:color w:val="000000" w:themeColor="text1"/>
        </w:rPr>
      </w:pPr>
      <w:r w:rsidRPr="00565DCD">
        <w:rPr>
          <w:b/>
          <w:bCs/>
          <w:color w:val="000000" w:themeColor="text1"/>
        </w:rPr>
        <w:t xml:space="preserve">Align PL benefits for surgical guides and </w:t>
      </w:r>
      <w:proofErr w:type="spellStart"/>
      <w:r w:rsidRPr="00565DCD">
        <w:rPr>
          <w:b/>
          <w:bCs/>
          <w:color w:val="000000" w:themeColor="text1"/>
        </w:rPr>
        <w:t>biomodels</w:t>
      </w:r>
      <w:proofErr w:type="spellEnd"/>
      <w:r w:rsidRPr="00565DCD">
        <w:rPr>
          <w:b/>
          <w:bCs/>
          <w:color w:val="000000" w:themeColor="text1"/>
        </w:rPr>
        <w:t xml:space="preserve"> with the public sector or with internationally reimbursed prices</w:t>
      </w:r>
      <w:r w:rsidR="00870FA2" w:rsidRPr="00565DCD">
        <w:rPr>
          <w:b/>
          <w:bCs/>
          <w:color w:val="000000" w:themeColor="text1"/>
        </w:rPr>
        <w:t xml:space="preserve">. </w:t>
      </w:r>
    </w:p>
    <w:p w14:paraId="52653D7B" w14:textId="56674487" w:rsidR="00AE5699" w:rsidRPr="00AE5699" w:rsidRDefault="00AE5699" w:rsidP="00565DCD">
      <w:pPr>
        <w:spacing w:before="120" w:after="120" w:line="276" w:lineRule="auto"/>
        <w:rPr>
          <w:color w:val="000000" w:themeColor="text1"/>
        </w:rPr>
      </w:pPr>
      <w:r w:rsidRPr="00AE5699">
        <w:rPr>
          <w:color w:val="000000" w:themeColor="text1"/>
        </w:rPr>
        <w:t xml:space="preserve">The department considered: </w:t>
      </w:r>
    </w:p>
    <w:p w14:paraId="6EF9FF3B" w14:textId="1383CB6C" w:rsidR="00870FA2" w:rsidRPr="00870FA2" w:rsidRDefault="00B4116C" w:rsidP="00565DCD">
      <w:pPr>
        <w:pStyle w:val="ListParagraph"/>
        <w:numPr>
          <w:ilvl w:val="0"/>
          <w:numId w:val="11"/>
        </w:numPr>
        <w:spacing w:before="120" w:after="120" w:line="276" w:lineRule="auto"/>
        <w:rPr>
          <w:color w:val="000000" w:themeColor="text1"/>
        </w:rPr>
      </w:pPr>
      <w:r>
        <w:rPr>
          <w:color w:val="000000" w:themeColor="text1"/>
        </w:rPr>
        <w:t xml:space="preserve">benefits for most </w:t>
      </w:r>
      <w:r w:rsidR="00337129">
        <w:rPr>
          <w:color w:val="000000" w:themeColor="text1"/>
        </w:rPr>
        <w:t xml:space="preserve">surgical guides </w:t>
      </w:r>
      <w:r w:rsidR="002100A8">
        <w:rPr>
          <w:color w:val="000000" w:themeColor="text1"/>
        </w:rPr>
        <w:t xml:space="preserve">and </w:t>
      </w:r>
      <w:proofErr w:type="spellStart"/>
      <w:r w:rsidR="002100A8">
        <w:rPr>
          <w:color w:val="000000" w:themeColor="text1"/>
        </w:rPr>
        <w:t>biomodels</w:t>
      </w:r>
      <w:proofErr w:type="spellEnd"/>
      <w:r w:rsidR="002100A8">
        <w:rPr>
          <w:color w:val="000000" w:themeColor="text1"/>
        </w:rPr>
        <w:t xml:space="preserve"> </w:t>
      </w:r>
      <w:r w:rsidR="00337129">
        <w:rPr>
          <w:color w:val="000000" w:themeColor="text1"/>
        </w:rPr>
        <w:t xml:space="preserve">were reduced by the recent PL reforms </w:t>
      </w:r>
      <w:r w:rsidR="006E0035" w:rsidRPr="00870FA2">
        <w:rPr>
          <w:color w:val="000000" w:themeColor="text1"/>
        </w:rPr>
        <w:t xml:space="preserve">public sector price benchmarking </w:t>
      </w:r>
    </w:p>
    <w:p w14:paraId="10DABCFF" w14:textId="72A497F7" w:rsidR="00870FA2" w:rsidRDefault="00456B7B" w:rsidP="00565DCD">
      <w:pPr>
        <w:pStyle w:val="ListParagraph"/>
        <w:numPr>
          <w:ilvl w:val="0"/>
          <w:numId w:val="11"/>
        </w:numPr>
        <w:spacing w:before="120" w:after="120" w:line="276" w:lineRule="auto"/>
        <w:rPr>
          <w:color w:val="000000" w:themeColor="text1"/>
        </w:rPr>
      </w:pPr>
      <w:r w:rsidRPr="00870FA2">
        <w:rPr>
          <w:rFonts w:cs="Arial"/>
          <w:szCs w:val="22"/>
        </w:rPr>
        <w:t xml:space="preserve">data on device claims from different PL product groups </w:t>
      </w:r>
      <w:r w:rsidR="00E45496">
        <w:rPr>
          <w:rFonts w:cs="Arial"/>
          <w:szCs w:val="22"/>
        </w:rPr>
        <w:t xml:space="preserve">demonstrated </w:t>
      </w:r>
      <w:r w:rsidR="00151B2B">
        <w:rPr>
          <w:rFonts w:cs="Arial"/>
          <w:szCs w:val="22"/>
        </w:rPr>
        <w:t>most</w:t>
      </w:r>
      <w:r w:rsidR="00E45496">
        <w:rPr>
          <w:rFonts w:cs="Arial"/>
          <w:szCs w:val="22"/>
        </w:rPr>
        <w:t xml:space="preserve"> claims are for devices in</w:t>
      </w:r>
      <w:r w:rsidR="00151B2B">
        <w:rPr>
          <w:rFonts w:cs="Arial"/>
          <w:szCs w:val="22"/>
        </w:rPr>
        <w:t xml:space="preserve"> group</w:t>
      </w:r>
      <w:r w:rsidR="00E45496">
        <w:rPr>
          <w:rFonts w:cs="Arial"/>
          <w:szCs w:val="22"/>
        </w:rPr>
        <w:t xml:space="preserve"> </w:t>
      </w:r>
      <w:r w:rsidRPr="00870FA2">
        <w:rPr>
          <w:rFonts w:cs="Arial"/>
          <w:szCs w:val="22"/>
        </w:rPr>
        <w:t>07.02.05.07 - Mandible, Maxilla and TMJ</w:t>
      </w:r>
    </w:p>
    <w:p w14:paraId="78A89F7B" w14:textId="00182FCC" w:rsidR="00AE5699" w:rsidRPr="00AE5699" w:rsidRDefault="00AE5699" w:rsidP="00AE5699">
      <w:pPr>
        <w:pStyle w:val="ListParagraph"/>
        <w:numPr>
          <w:ilvl w:val="0"/>
          <w:numId w:val="11"/>
        </w:numPr>
        <w:spacing w:before="120" w:after="120" w:line="276" w:lineRule="auto"/>
        <w:rPr>
          <w:color w:val="000000" w:themeColor="text1"/>
        </w:rPr>
      </w:pPr>
      <w:r>
        <w:rPr>
          <w:color w:val="000000" w:themeColor="text1"/>
        </w:rPr>
        <w:t>t</w:t>
      </w:r>
      <w:r w:rsidR="00265D11">
        <w:rPr>
          <w:color w:val="000000" w:themeColor="text1"/>
        </w:rPr>
        <w:t xml:space="preserve">argeted stakeholder </w:t>
      </w:r>
      <w:r>
        <w:rPr>
          <w:color w:val="000000" w:themeColor="text1"/>
        </w:rPr>
        <w:t>feedback about use and claiming patterns for SGB.</w:t>
      </w:r>
    </w:p>
    <w:p w14:paraId="3DB76DE4" w14:textId="15DC87EC" w:rsidR="007F00DD" w:rsidRPr="00AE5699" w:rsidRDefault="0075289E" w:rsidP="00AE5699">
      <w:pPr>
        <w:spacing w:before="120" w:after="120" w:line="276" w:lineRule="auto"/>
        <w:rPr>
          <w:color w:val="000000" w:themeColor="text1"/>
        </w:rPr>
      </w:pPr>
      <w:r w:rsidRPr="00AE5699">
        <w:rPr>
          <w:color w:val="000000" w:themeColor="text1"/>
        </w:rPr>
        <w:t xml:space="preserve">MDHTAC noted the department has already implemented public sector </w:t>
      </w:r>
      <w:r w:rsidR="0062250D">
        <w:rPr>
          <w:color w:val="000000" w:themeColor="text1"/>
        </w:rPr>
        <w:t xml:space="preserve">price </w:t>
      </w:r>
      <w:r w:rsidRPr="00AE5699">
        <w:rPr>
          <w:color w:val="000000" w:themeColor="text1"/>
        </w:rPr>
        <w:t>benchmarking under the PL reforms</w:t>
      </w:r>
      <w:r w:rsidR="00505403" w:rsidRPr="00AE5699">
        <w:rPr>
          <w:color w:val="000000" w:themeColor="text1"/>
        </w:rPr>
        <w:t xml:space="preserve"> and agreed there should not be further changes to the benefits payable for surgical guides and </w:t>
      </w:r>
      <w:proofErr w:type="spellStart"/>
      <w:r w:rsidR="00505403" w:rsidRPr="00AE5699">
        <w:rPr>
          <w:color w:val="000000" w:themeColor="text1"/>
        </w:rPr>
        <w:t>biomodels</w:t>
      </w:r>
      <w:proofErr w:type="spellEnd"/>
      <w:r w:rsidR="00505403" w:rsidRPr="00AE5699">
        <w:rPr>
          <w:color w:val="000000" w:themeColor="text1"/>
        </w:rPr>
        <w:t xml:space="preserve"> listed on the PL.</w:t>
      </w:r>
      <w:r w:rsidR="00F95AB7" w:rsidRPr="00AE5699">
        <w:rPr>
          <w:color w:val="000000" w:themeColor="text1"/>
        </w:rPr>
        <w:t xml:space="preserve"> </w:t>
      </w:r>
      <w:r w:rsidR="00E7130E" w:rsidRPr="00AE5699">
        <w:rPr>
          <w:color w:val="000000" w:themeColor="text1"/>
        </w:rPr>
        <w:t xml:space="preserve">The </w:t>
      </w:r>
      <w:r w:rsidR="00967EF0">
        <w:rPr>
          <w:color w:val="000000" w:themeColor="text1"/>
        </w:rPr>
        <w:t xml:space="preserve">following </w:t>
      </w:r>
      <w:r w:rsidR="00E7130E" w:rsidRPr="00AE5699">
        <w:rPr>
          <w:color w:val="000000" w:themeColor="text1"/>
        </w:rPr>
        <w:t xml:space="preserve">table shows the benefit reductions under the reforms. </w:t>
      </w:r>
    </w:p>
    <w:tbl>
      <w:tblPr>
        <w:tblStyle w:val="DepartmentofHealthtable"/>
        <w:tblW w:w="5265" w:type="pct"/>
        <w:tblLayout w:type="fixed"/>
        <w:tblLook w:val="04A0" w:firstRow="1" w:lastRow="0" w:firstColumn="1" w:lastColumn="0" w:noHBand="0" w:noVBand="1"/>
        <w:tblCaption w:val="Benefit reductions under the reforms "/>
        <w:tblDescription w:val="Table shows the March 2022 and Current Benefit of each PL product group in scope of the review. "/>
      </w:tblPr>
      <w:tblGrid>
        <w:gridCol w:w="2387"/>
        <w:gridCol w:w="2388"/>
        <w:gridCol w:w="2495"/>
        <w:gridCol w:w="2281"/>
      </w:tblGrid>
      <w:tr w:rsidR="007F00DD" w:rsidRPr="00B35AB5" w14:paraId="7A71FDAC" w14:textId="77777777" w:rsidTr="00F9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0FFABC1" w14:textId="77777777" w:rsidR="007F00DD" w:rsidRPr="00F95AB7" w:rsidRDefault="007F00DD" w:rsidP="00F95AB7">
            <w:pPr>
              <w:pStyle w:val="TableHeaderWhite"/>
            </w:pPr>
            <w:r w:rsidRPr="00F95AB7">
              <w:t>PL Product Group</w:t>
            </w:r>
          </w:p>
        </w:tc>
        <w:tc>
          <w:tcPr>
            <w:tcW w:w="1250" w:type="pct"/>
          </w:tcPr>
          <w:p w14:paraId="2B6CE27B" w14:textId="77777777" w:rsidR="007F00DD" w:rsidRPr="00F95AB7" w:rsidRDefault="007F00DD" w:rsidP="00F95AB7">
            <w:pPr>
              <w:pStyle w:val="TableHeaderWhite"/>
              <w:cnfStyle w:val="100000000000" w:firstRow="1" w:lastRow="0" w:firstColumn="0" w:lastColumn="0" w:oddVBand="0" w:evenVBand="0" w:oddHBand="0" w:evenHBand="0" w:firstRowFirstColumn="0" w:firstRowLastColumn="0" w:lastRowFirstColumn="0" w:lastRowLastColumn="0"/>
            </w:pPr>
            <w:r w:rsidRPr="00F95AB7">
              <w:t>Benefit March 2022</w:t>
            </w:r>
          </w:p>
        </w:tc>
        <w:tc>
          <w:tcPr>
            <w:tcW w:w="1306" w:type="pct"/>
          </w:tcPr>
          <w:p w14:paraId="0B395A95" w14:textId="5FDB25EA" w:rsidR="007F00DD" w:rsidRPr="00F95AB7" w:rsidRDefault="007F00DD" w:rsidP="00F95AB7">
            <w:pPr>
              <w:pStyle w:val="TableHeaderWhite"/>
              <w:cnfStyle w:val="100000000000" w:firstRow="1" w:lastRow="0" w:firstColumn="0" w:lastColumn="0" w:oddVBand="0" w:evenVBand="0" w:oddHBand="0" w:evenHBand="0" w:firstRowFirstColumn="0" w:firstRowLastColumn="0" w:lastRowFirstColumn="0" w:lastRowLastColumn="0"/>
            </w:pPr>
            <w:r w:rsidRPr="00F95AB7">
              <w:t xml:space="preserve">Current Benefit </w:t>
            </w:r>
            <w:r w:rsidR="00FD6C68">
              <w:t>April</w:t>
            </w:r>
            <w:r w:rsidRPr="00F95AB7">
              <w:t> 202</w:t>
            </w:r>
            <w:r w:rsidR="00871EE0">
              <w:t>6</w:t>
            </w:r>
          </w:p>
        </w:tc>
        <w:tc>
          <w:tcPr>
            <w:tcW w:w="1195" w:type="pct"/>
          </w:tcPr>
          <w:p w14:paraId="3254CE10" w14:textId="77777777" w:rsidR="007F00DD" w:rsidRPr="00F95AB7" w:rsidRDefault="007F00DD" w:rsidP="00F95AB7">
            <w:pPr>
              <w:pStyle w:val="TableHeaderWhite"/>
              <w:cnfStyle w:val="100000000000" w:firstRow="1" w:lastRow="0" w:firstColumn="0" w:lastColumn="0" w:oddVBand="0" w:evenVBand="0" w:oddHBand="0" w:evenHBand="0" w:firstRowFirstColumn="0" w:firstRowLastColumn="0" w:lastRowFirstColumn="0" w:lastRowLastColumn="0"/>
            </w:pPr>
            <w:r w:rsidRPr="00F95AB7">
              <w:t>Percentage reduction</w:t>
            </w:r>
          </w:p>
        </w:tc>
      </w:tr>
      <w:tr w:rsidR="007F00DD" w:rsidRPr="00B35AB5" w14:paraId="299A1B41" w14:textId="77777777" w:rsidTr="00F9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21DA2BA" w14:textId="77777777" w:rsidR="007F00DD" w:rsidRPr="00F95AB7" w:rsidRDefault="007F00DD" w:rsidP="00F95AB7">
            <w:pPr>
              <w:spacing w:before="120" w:after="120"/>
              <w:rPr>
                <w:rFonts w:eastAsia="Segoe UI"/>
              </w:rPr>
            </w:pPr>
            <w:r w:rsidRPr="00F95AB7">
              <w:rPr>
                <w:rFonts w:eastAsia="Segoe UI"/>
              </w:rPr>
              <w:t>07.02.02.04 - Cranium</w:t>
            </w:r>
          </w:p>
        </w:tc>
        <w:tc>
          <w:tcPr>
            <w:tcW w:w="1250" w:type="pct"/>
          </w:tcPr>
          <w:p w14:paraId="45F87B22"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$2,584</w:t>
            </w:r>
          </w:p>
        </w:tc>
        <w:tc>
          <w:tcPr>
            <w:tcW w:w="1306" w:type="pct"/>
          </w:tcPr>
          <w:p w14:paraId="68989EB8"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$1315</w:t>
            </w:r>
          </w:p>
        </w:tc>
        <w:tc>
          <w:tcPr>
            <w:tcW w:w="1195" w:type="pct"/>
          </w:tcPr>
          <w:p w14:paraId="420DE1BE"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49%</w:t>
            </w:r>
          </w:p>
        </w:tc>
      </w:tr>
      <w:tr w:rsidR="007F00DD" w:rsidRPr="00B35AB5" w14:paraId="6690AA61" w14:textId="77777777" w:rsidTr="00F9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8144F4D" w14:textId="52A65EEC" w:rsidR="007F00DD" w:rsidRPr="00F95AB7" w:rsidRDefault="007F00DD" w:rsidP="00F95AB7">
            <w:pPr>
              <w:spacing w:before="120" w:after="120"/>
              <w:rPr>
                <w:rFonts w:eastAsia="Segoe UI"/>
              </w:rPr>
            </w:pPr>
            <w:r w:rsidRPr="00F95AB7">
              <w:rPr>
                <w:rFonts w:eastAsia="Segoe UI"/>
              </w:rPr>
              <w:t xml:space="preserve">07.02.05.07 - </w:t>
            </w:r>
            <w:r w:rsidRPr="00F95AB7">
              <w:rPr>
                <w:rFonts w:eastAsia="Segoe UI"/>
              </w:rPr>
              <w:br/>
              <w:t>Mandible, Maxilla and TMJ</w:t>
            </w:r>
          </w:p>
        </w:tc>
        <w:tc>
          <w:tcPr>
            <w:tcW w:w="1250" w:type="pct"/>
          </w:tcPr>
          <w:p w14:paraId="5E3309C6"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$2,584</w:t>
            </w:r>
          </w:p>
        </w:tc>
        <w:tc>
          <w:tcPr>
            <w:tcW w:w="1306" w:type="pct"/>
          </w:tcPr>
          <w:p w14:paraId="670AD1BC"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$1450 – 1,495*</w:t>
            </w:r>
          </w:p>
        </w:tc>
        <w:tc>
          <w:tcPr>
            <w:tcW w:w="1195" w:type="pct"/>
          </w:tcPr>
          <w:p w14:paraId="251D0D37"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44%</w:t>
            </w:r>
          </w:p>
        </w:tc>
      </w:tr>
      <w:tr w:rsidR="007F00DD" w:rsidRPr="00B35AB5" w14:paraId="56976C6A" w14:textId="77777777" w:rsidTr="00F9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6E53C4E" w14:textId="77777777" w:rsidR="007F00DD" w:rsidRPr="00F95AB7" w:rsidRDefault="007F00DD" w:rsidP="00F95AB7">
            <w:pPr>
              <w:spacing w:before="120" w:after="120"/>
              <w:rPr>
                <w:rFonts w:eastAsia="Segoe UI"/>
              </w:rPr>
            </w:pPr>
            <w:r w:rsidRPr="00F95AB7">
              <w:rPr>
                <w:rFonts w:eastAsia="Segoe UI"/>
              </w:rPr>
              <w:t>07.02.07.05 - Orbit</w:t>
            </w:r>
          </w:p>
        </w:tc>
        <w:tc>
          <w:tcPr>
            <w:tcW w:w="1250" w:type="pct"/>
          </w:tcPr>
          <w:p w14:paraId="334759D9"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$2,584</w:t>
            </w:r>
          </w:p>
        </w:tc>
        <w:tc>
          <w:tcPr>
            <w:tcW w:w="1306" w:type="pct"/>
          </w:tcPr>
          <w:p w14:paraId="534EA7AF"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$2,584</w:t>
            </w:r>
          </w:p>
        </w:tc>
        <w:tc>
          <w:tcPr>
            <w:tcW w:w="1195" w:type="pct"/>
          </w:tcPr>
          <w:p w14:paraId="0B83B3DA" w14:textId="77777777" w:rsidR="007F00DD" w:rsidRPr="00F95AB7" w:rsidRDefault="007F00DD" w:rsidP="00F95AB7">
            <w:pPr>
              <w:spacing w:before="120" w:after="120"/>
              <w:cnfStyle w:val="000000100000" w:firstRow="0" w:lastRow="0" w:firstColumn="0" w:lastColumn="0" w:oddVBand="0" w:evenVBand="0" w:oddHBand="1" w:evenHBand="0" w:firstRowFirstColumn="0" w:firstRowLastColumn="0" w:lastRowFirstColumn="0" w:lastRowLastColumn="0"/>
              <w:rPr>
                <w:rFonts w:eastAsia="Segoe UI"/>
              </w:rPr>
            </w:pPr>
            <w:r w:rsidRPr="00F95AB7">
              <w:rPr>
                <w:rFonts w:eastAsia="Segoe UI"/>
              </w:rPr>
              <w:t>No change</w:t>
            </w:r>
          </w:p>
        </w:tc>
      </w:tr>
      <w:tr w:rsidR="007F00DD" w:rsidRPr="00B35AB5" w14:paraId="710AEAD1" w14:textId="77777777" w:rsidTr="00F9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A26FD85" w14:textId="77777777" w:rsidR="007F00DD" w:rsidRPr="00F95AB7" w:rsidRDefault="007F00DD" w:rsidP="00F95AB7">
            <w:pPr>
              <w:spacing w:before="120" w:after="120"/>
              <w:rPr>
                <w:rFonts w:eastAsia="Segoe UI"/>
              </w:rPr>
            </w:pPr>
            <w:r w:rsidRPr="00F95AB7">
              <w:rPr>
                <w:rFonts w:eastAsia="Segoe UI"/>
              </w:rPr>
              <w:t xml:space="preserve">07.02.09 - Anatomical </w:t>
            </w:r>
            <w:proofErr w:type="spellStart"/>
            <w:r w:rsidRPr="00F95AB7">
              <w:rPr>
                <w:rFonts w:eastAsia="Segoe UI"/>
              </w:rPr>
              <w:t>Biomodel</w:t>
            </w:r>
            <w:proofErr w:type="spellEnd"/>
          </w:p>
        </w:tc>
        <w:tc>
          <w:tcPr>
            <w:tcW w:w="1250" w:type="pct"/>
          </w:tcPr>
          <w:p w14:paraId="14D89715"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$1,950</w:t>
            </w:r>
          </w:p>
        </w:tc>
        <w:tc>
          <w:tcPr>
            <w:tcW w:w="1306" w:type="pct"/>
          </w:tcPr>
          <w:p w14:paraId="5428CA35"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$1,762</w:t>
            </w:r>
          </w:p>
        </w:tc>
        <w:tc>
          <w:tcPr>
            <w:tcW w:w="1195" w:type="pct"/>
          </w:tcPr>
          <w:p w14:paraId="3BE23B54" w14:textId="77777777" w:rsidR="007F00DD" w:rsidRPr="00F95AB7" w:rsidRDefault="007F00DD" w:rsidP="00F95AB7">
            <w:pPr>
              <w:spacing w:before="120" w:after="120"/>
              <w:cnfStyle w:val="000000010000" w:firstRow="0" w:lastRow="0" w:firstColumn="0" w:lastColumn="0" w:oddVBand="0" w:evenVBand="0" w:oddHBand="0" w:evenHBand="1" w:firstRowFirstColumn="0" w:firstRowLastColumn="0" w:lastRowFirstColumn="0" w:lastRowLastColumn="0"/>
              <w:rPr>
                <w:rFonts w:eastAsia="Segoe UI"/>
              </w:rPr>
            </w:pPr>
            <w:r w:rsidRPr="00F95AB7">
              <w:rPr>
                <w:rFonts w:eastAsia="Segoe UI"/>
              </w:rPr>
              <w:t>10%</w:t>
            </w:r>
          </w:p>
        </w:tc>
      </w:tr>
    </w:tbl>
    <w:p w14:paraId="233EDBAB" w14:textId="5931717B" w:rsidR="00F437E2" w:rsidRPr="001F532D" w:rsidRDefault="007F00DD" w:rsidP="001F532D">
      <w:pPr>
        <w:widowControl w:val="0"/>
        <w:spacing w:after="120"/>
      </w:pPr>
      <w:r w:rsidRPr="00F95AB7">
        <w:t>*The current benefit for item 07.02.05.07 - Mandible, Maxilla and TMJ is either $1,450 or $1,495</w:t>
      </w:r>
      <w:r w:rsidR="00F437E2">
        <w:t>.</w:t>
      </w:r>
    </w:p>
    <w:p w14:paraId="25646B79" w14:textId="24781FE5" w:rsidR="00F437E2" w:rsidRPr="001F532D" w:rsidRDefault="00F437E2" w:rsidP="001F532D">
      <w:pPr>
        <w:spacing w:before="120" w:after="120" w:line="276" w:lineRule="auto"/>
        <w:rPr>
          <w:color w:val="000000" w:themeColor="text1"/>
        </w:rPr>
      </w:pPr>
      <w:r w:rsidRPr="001F532D">
        <w:rPr>
          <w:color w:val="000000" w:themeColor="text1"/>
        </w:rPr>
        <w:t>These reductions</w:t>
      </w:r>
      <w:r w:rsidR="000403E0" w:rsidRPr="001F532D">
        <w:rPr>
          <w:color w:val="000000" w:themeColor="text1"/>
        </w:rPr>
        <w:t>, as well as reductions in the total number of claims</w:t>
      </w:r>
      <w:r w:rsidR="00981829">
        <w:rPr>
          <w:color w:val="000000" w:themeColor="text1"/>
        </w:rPr>
        <w:t>,</w:t>
      </w:r>
      <w:r w:rsidRPr="001F532D">
        <w:rPr>
          <w:color w:val="000000" w:themeColor="text1"/>
        </w:rPr>
        <w:t xml:space="preserve"> have reduced the overall private health insurance spend on </w:t>
      </w:r>
      <w:r w:rsidR="0087767F">
        <w:rPr>
          <w:color w:val="000000" w:themeColor="text1"/>
        </w:rPr>
        <w:t>SGB</w:t>
      </w:r>
      <w:r w:rsidR="00B600BA" w:rsidRPr="001F532D">
        <w:rPr>
          <w:color w:val="000000" w:themeColor="text1"/>
        </w:rPr>
        <w:t xml:space="preserve">. </w:t>
      </w:r>
    </w:p>
    <w:p w14:paraId="3F86D115" w14:textId="77777777" w:rsidR="003D3281" w:rsidRDefault="0087767F" w:rsidP="0087767F">
      <w:pPr>
        <w:spacing w:before="120" w:after="120" w:line="276" w:lineRule="auto"/>
        <w:rPr>
          <w:color w:val="000000" w:themeColor="text1"/>
        </w:rPr>
      </w:pPr>
      <w:r>
        <w:rPr>
          <w:color w:val="000000" w:themeColor="text1"/>
        </w:rPr>
        <w:t xml:space="preserve">Figures </w:t>
      </w:r>
      <w:r w:rsidR="003D3281">
        <w:rPr>
          <w:color w:val="000000" w:themeColor="text1"/>
        </w:rPr>
        <w:t>3</w:t>
      </w:r>
      <w:r>
        <w:rPr>
          <w:color w:val="000000" w:themeColor="text1"/>
        </w:rPr>
        <w:t xml:space="preserve"> </w:t>
      </w:r>
      <w:r w:rsidRPr="001F532D">
        <w:rPr>
          <w:color w:val="000000" w:themeColor="text1"/>
        </w:rPr>
        <w:t>demonstrate</w:t>
      </w:r>
      <w:r w:rsidR="0006755B">
        <w:rPr>
          <w:color w:val="000000" w:themeColor="text1"/>
        </w:rPr>
        <w:t>s</w:t>
      </w:r>
      <w:r w:rsidRPr="001F532D">
        <w:rPr>
          <w:color w:val="000000" w:themeColor="text1"/>
        </w:rPr>
        <w:t xml:space="preserve"> the </w:t>
      </w:r>
      <w:r w:rsidR="00B965BC">
        <w:rPr>
          <w:color w:val="000000" w:themeColor="text1"/>
        </w:rPr>
        <w:t xml:space="preserve">reduction in </w:t>
      </w:r>
      <w:r>
        <w:rPr>
          <w:color w:val="000000" w:themeColor="text1"/>
        </w:rPr>
        <w:t xml:space="preserve">total item benefit amount </w:t>
      </w:r>
      <w:r w:rsidR="0006755B">
        <w:rPr>
          <w:color w:val="000000" w:themeColor="text1"/>
        </w:rPr>
        <w:t xml:space="preserve">for SGB </w:t>
      </w:r>
      <w:r w:rsidRPr="001F532D">
        <w:rPr>
          <w:color w:val="000000" w:themeColor="text1"/>
        </w:rPr>
        <w:t>over the past 4 financial years.</w:t>
      </w:r>
      <w:r w:rsidR="00B965BC">
        <w:rPr>
          <w:color w:val="000000" w:themeColor="text1"/>
        </w:rPr>
        <w:t xml:space="preserve"> </w:t>
      </w:r>
      <w:r w:rsidR="005E789E">
        <w:rPr>
          <w:color w:val="000000" w:themeColor="text1"/>
        </w:rPr>
        <w:t xml:space="preserve">Compared to 23/24 financial year the </w:t>
      </w:r>
      <w:r w:rsidR="0006755B">
        <w:rPr>
          <w:color w:val="000000" w:themeColor="text1"/>
        </w:rPr>
        <w:t>total PL benefit amount for SGB in 24/25 reduced by 18.25%.</w:t>
      </w:r>
    </w:p>
    <w:p w14:paraId="381C31C4" w14:textId="77777777" w:rsidR="003D3281" w:rsidRDefault="0006755B" w:rsidP="003D3281">
      <w:pPr>
        <w:keepNext/>
        <w:spacing w:before="120" w:after="120" w:line="276" w:lineRule="auto"/>
      </w:pPr>
      <w:r>
        <w:rPr>
          <w:color w:val="000000" w:themeColor="text1"/>
        </w:rPr>
        <w:lastRenderedPageBreak/>
        <w:t xml:space="preserve"> </w:t>
      </w:r>
      <w:r w:rsidR="003D3281">
        <w:rPr>
          <w:noProof/>
          <w:color w:val="000000" w:themeColor="text1"/>
        </w:rPr>
        <w:drawing>
          <wp:inline distT="0" distB="0" distL="0" distR="0" wp14:anchorId="5809F4F5" wp14:editId="0401E04E">
            <wp:extent cx="4718685" cy="2603500"/>
            <wp:effectExtent l="0" t="0" r="5715" b="6350"/>
            <wp:docPr id="1845699423" name="Picture 1" descr="Figure 3 is a line chart demonstrating the reduction in total item benefit amount so SGB over the past 4 financial years. Compared to 23/24 financial year the total PL benefit amount for SGB in 24/25 reduced by 18.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99423" name="Picture 1" descr="Figure 3 is a line chart demonstrating the reduction in total item benefit amount so SGB over the past 4 financial years. Compared to 23/24 financial year the total PL benefit amount for SGB in 24/25 reduced by 18.25%.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18685" cy="2603500"/>
                    </a:xfrm>
                    <a:prstGeom prst="rect">
                      <a:avLst/>
                    </a:prstGeom>
                    <a:noFill/>
                  </pic:spPr>
                </pic:pic>
              </a:graphicData>
            </a:graphic>
          </wp:inline>
        </w:drawing>
      </w:r>
    </w:p>
    <w:p w14:paraId="382C1033" w14:textId="09B8DCA9" w:rsidR="0006755B" w:rsidRPr="003D3281" w:rsidRDefault="003D3281" w:rsidP="003D3281">
      <w:pPr>
        <w:pStyle w:val="Caption"/>
        <w:rPr>
          <w:color w:val="000000" w:themeColor="text1"/>
        </w:rPr>
      </w:pPr>
      <w:r>
        <w:t xml:space="preserve">Figure </w:t>
      </w:r>
      <w:r>
        <w:fldChar w:fldCharType="begin"/>
      </w:r>
      <w:r>
        <w:instrText xml:space="preserve"> SEQ Figure \* ARABIC </w:instrText>
      </w:r>
      <w:r>
        <w:fldChar w:fldCharType="separate"/>
      </w:r>
      <w:r>
        <w:rPr>
          <w:noProof/>
        </w:rPr>
        <w:t>3</w:t>
      </w:r>
      <w:r>
        <w:fldChar w:fldCharType="end"/>
      </w:r>
      <w:r w:rsidRPr="008277EC">
        <w:t>: item benefit amount per financial year</w:t>
      </w:r>
      <w:r>
        <w:rPr>
          <w:rStyle w:val="FootnoteReference"/>
        </w:rPr>
        <w:footnoteReference w:id="3"/>
      </w:r>
      <w:r w:rsidRPr="008277EC">
        <w:t>.</w:t>
      </w:r>
    </w:p>
    <w:p w14:paraId="438A7820" w14:textId="01198E05" w:rsidR="003D3281" w:rsidRDefault="0006755B" w:rsidP="00996B76">
      <w:pPr>
        <w:widowControl w:val="0"/>
        <w:spacing w:after="240"/>
        <w:rPr>
          <w:color w:val="000000" w:themeColor="text1"/>
        </w:rPr>
      </w:pPr>
      <w:r>
        <w:rPr>
          <w:color w:val="000000" w:themeColor="text1"/>
        </w:rPr>
        <w:t xml:space="preserve">Figure </w:t>
      </w:r>
      <w:r w:rsidR="00CF70FB">
        <w:rPr>
          <w:color w:val="000000" w:themeColor="text1"/>
        </w:rPr>
        <w:t>4</w:t>
      </w:r>
      <w:r>
        <w:rPr>
          <w:color w:val="000000" w:themeColor="text1"/>
        </w:rPr>
        <w:t xml:space="preserve"> demonstrates the reduction in </w:t>
      </w:r>
      <w:r w:rsidRPr="001F532D">
        <w:rPr>
          <w:color w:val="000000" w:themeColor="text1"/>
        </w:rPr>
        <w:t xml:space="preserve">private health insurance spend for </w:t>
      </w:r>
      <w:r>
        <w:rPr>
          <w:color w:val="000000" w:themeColor="text1"/>
        </w:rPr>
        <w:t xml:space="preserve">SGB over the </w:t>
      </w:r>
      <w:r w:rsidR="00C76913">
        <w:rPr>
          <w:color w:val="000000" w:themeColor="text1"/>
        </w:rPr>
        <w:t>past 4 financial years. Compared to 2</w:t>
      </w:r>
      <w:r w:rsidR="00220E48">
        <w:rPr>
          <w:color w:val="000000" w:themeColor="text1"/>
        </w:rPr>
        <w:t>2</w:t>
      </w:r>
      <w:r w:rsidR="00C76913">
        <w:rPr>
          <w:color w:val="000000" w:themeColor="text1"/>
        </w:rPr>
        <w:t xml:space="preserve">/23 the private health insurance spend on SGB has decreased </w:t>
      </w:r>
      <w:r w:rsidR="00A77F0F">
        <w:rPr>
          <w:color w:val="000000" w:themeColor="text1"/>
        </w:rPr>
        <w:t>by 19.24%.</w:t>
      </w:r>
    </w:p>
    <w:p w14:paraId="736CEC75" w14:textId="77777777" w:rsidR="003D3281" w:rsidRDefault="003D3281" w:rsidP="003D3281">
      <w:pPr>
        <w:keepNext/>
        <w:widowControl w:val="0"/>
      </w:pPr>
      <w:r>
        <w:rPr>
          <w:noProof/>
          <w:color w:val="000000" w:themeColor="text1"/>
        </w:rPr>
        <w:drawing>
          <wp:inline distT="0" distB="0" distL="0" distR="0" wp14:anchorId="7A0AF132" wp14:editId="2CE7F614">
            <wp:extent cx="4688205" cy="2664460"/>
            <wp:effectExtent l="0" t="0" r="0" b="2540"/>
            <wp:docPr id="1954006431" name="Picture 2" descr="Figure 4 is a line chart that demonstrates the reduction in private health insurance spend for SGB over the past 4 financial years. After 22/23 the private health insurance spend on SGB has steadily decreased by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06431" name="Picture 2" descr="Figure 4 is a line chart that demonstrates the reduction in private health insurance spend for SGB over the past 4 financial years. After 22/23 the private health insurance spend on SGB has steadily decreased by 19.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88205" cy="2664460"/>
                    </a:xfrm>
                    <a:prstGeom prst="rect">
                      <a:avLst/>
                    </a:prstGeom>
                    <a:noFill/>
                  </pic:spPr>
                </pic:pic>
              </a:graphicData>
            </a:graphic>
          </wp:inline>
        </w:drawing>
      </w:r>
    </w:p>
    <w:p w14:paraId="56FD0AEE" w14:textId="6ED187E4" w:rsidR="003D3281" w:rsidRDefault="003D3281" w:rsidP="003D3281">
      <w:pPr>
        <w:pStyle w:val="Caption"/>
        <w:rPr>
          <w:color w:val="000000" w:themeColor="text1"/>
        </w:rPr>
      </w:pPr>
      <w:r>
        <w:t xml:space="preserve">Figure </w:t>
      </w:r>
      <w:r>
        <w:fldChar w:fldCharType="begin"/>
      </w:r>
      <w:r>
        <w:instrText xml:space="preserve"> SEQ Figure \* ARABIC </w:instrText>
      </w:r>
      <w:r>
        <w:fldChar w:fldCharType="separate"/>
      </w:r>
      <w:r>
        <w:rPr>
          <w:noProof/>
        </w:rPr>
        <w:t>4</w:t>
      </w:r>
      <w:r>
        <w:fldChar w:fldCharType="end"/>
      </w:r>
      <w:r w:rsidRPr="00835101">
        <w:t>: item total charge amount per financial year</w:t>
      </w:r>
      <w:r w:rsidRPr="003D3281">
        <w:rPr>
          <w:vertAlign w:val="superscript"/>
        </w:rPr>
        <w:t>2</w:t>
      </w:r>
      <w:r w:rsidRPr="00835101">
        <w:t>.</w:t>
      </w:r>
    </w:p>
    <w:p w14:paraId="02D91B92" w14:textId="6A941F4E" w:rsidR="005A749C" w:rsidRPr="0081734B" w:rsidRDefault="005A749C" w:rsidP="005A749C">
      <w:pPr>
        <w:spacing w:after="120" w:line="276" w:lineRule="auto"/>
        <w:rPr>
          <w:rFonts w:eastAsia="Calibri" w:cs="Calibri"/>
          <w:lang w:val="en-GB"/>
        </w:rPr>
      </w:pPr>
      <w:bookmarkStart w:id="28" w:name="_Toc224302058"/>
      <w:bookmarkStart w:id="29" w:name="_Toc227235497"/>
      <w:r>
        <w:rPr>
          <w:color w:val="000000" w:themeColor="text1"/>
        </w:rPr>
        <w:t>As per MDHTAC advice the department considered if specific MBS item numbers were relevant to complex CMF procedures. The department reviewed data on MBS items numbers and SGB claims</w:t>
      </w:r>
      <w:r w:rsidR="00F22B84">
        <w:rPr>
          <w:color w:val="000000" w:themeColor="text1"/>
        </w:rPr>
        <w:t xml:space="preserve"> and </w:t>
      </w:r>
      <w:r>
        <w:rPr>
          <w:color w:val="000000" w:themeColor="text1"/>
        </w:rPr>
        <w:t xml:space="preserve">sought expert clinical advice on MBS item numbers claimed in complex procedures. The department sought </w:t>
      </w:r>
      <w:r w:rsidRPr="409D1214">
        <w:rPr>
          <w:color w:val="000000" w:themeColor="text1"/>
        </w:rPr>
        <w:t xml:space="preserve">GSECAG </w:t>
      </w:r>
      <w:r>
        <w:rPr>
          <w:color w:val="000000" w:themeColor="text1"/>
        </w:rPr>
        <w:t xml:space="preserve">advice at the March 2026 meeting. </w:t>
      </w:r>
      <w:r w:rsidRPr="0E8C6F4B">
        <w:rPr>
          <w:rFonts w:eastAsia="Segoe UI" w:cs="Segoe UI"/>
          <w:lang w:val="en-GB"/>
        </w:rPr>
        <w:t xml:space="preserve">The GSECAG advised that MBS item numbers are not a suitable coding system to determine when more than 6 surgical guides and </w:t>
      </w:r>
      <w:proofErr w:type="spellStart"/>
      <w:r w:rsidRPr="0E8C6F4B">
        <w:rPr>
          <w:rFonts w:eastAsia="Segoe UI" w:cs="Segoe UI"/>
          <w:lang w:val="en-GB"/>
        </w:rPr>
        <w:t>biomodels</w:t>
      </w:r>
      <w:proofErr w:type="spellEnd"/>
      <w:r w:rsidRPr="0E8C6F4B">
        <w:rPr>
          <w:rFonts w:eastAsia="Segoe UI" w:cs="Segoe UI"/>
          <w:lang w:val="en-GB"/>
        </w:rPr>
        <w:t xml:space="preserve"> could be claimed as they do not define procedural complexity.</w:t>
      </w:r>
      <w:r>
        <w:rPr>
          <w:rFonts w:eastAsia="Segoe UI" w:cs="Segoe UI"/>
          <w:lang w:val="en-GB"/>
        </w:rPr>
        <w:t xml:space="preserve"> The department </w:t>
      </w:r>
      <w:r w:rsidR="00920BA1">
        <w:rPr>
          <w:rFonts w:eastAsia="Segoe UI" w:cs="Segoe UI"/>
          <w:lang w:val="en-GB"/>
        </w:rPr>
        <w:t>considered GSECAG’s advice and will not progress this further at this time.</w:t>
      </w:r>
    </w:p>
    <w:p w14:paraId="3E8ED0C5" w14:textId="073D4AA8" w:rsidR="004923FF" w:rsidRPr="001F7E0A" w:rsidRDefault="004923FF" w:rsidP="001F7E0A">
      <w:pPr>
        <w:pStyle w:val="Heading1"/>
        <w:spacing w:line="276" w:lineRule="auto"/>
        <w:rPr>
          <w:b/>
          <w:sz w:val="44"/>
        </w:rPr>
      </w:pPr>
      <w:r w:rsidRPr="001F7E0A">
        <w:rPr>
          <w:b/>
          <w:sz w:val="44"/>
        </w:rPr>
        <w:lastRenderedPageBreak/>
        <w:t>Proposed outcomes</w:t>
      </w:r>
      <w:bookmarkEnd w:id="28"/>
      <w:bookmarkEnd w:id="29"/>
    </w:p>
    <w:p w14:paraId="69A7C674" w14:textId="30F655C4" w:rsidR="008C7C1C" w:rsidRDefault="004923FF" w:rsidP="00996B76">
      <w:pPr>
        <w:spacing w:after="240"/>
      </w:pPr>
      <w:r>
        <w:t>The department considered MDHTAC</w:t>
      </w:r>
      <w:r w:rsidR="000D21E0">
        <w:t>’s</w:t>
      </w:r>
      <w:r>
        <w:t xml:space="preserve"> advice </w:t>
      </w:r>
      <w:r w:rsidR="008C7C1C">
        <w:t xml:space="preserve">and </w:t>
      </w:r>
      <w:r w:rsidR="00CA2144">
        <w:t>propose</w:t>
      </w:r>
      <w:r w:rsidR="005C2D00">
        <w:t>d</w:t>
      </w:r>
      <w:r w:rsidR="008C7C1C">
        <w:t xml:space="preserve"> no further changes to the PL benefits for surgical guides and </w:t>
      </w:r>
      <w:proofErr w:type="spellStart"/>
      <w:r w:rsidR="008C7C1C">
        <w:t>biomodels</w:t>
      </w:r>
      <w:proofErr w:type="spellEnd"/>
      <w:r w:rsidR="008C7C1C">
        <w:t>.</w:t>
      </w:r>
      <w:r w:rsidR="003E7754">
        <w:t xml:space="preserve"> </w:t>
      </w:r>
      <w:r w:rsidR="004A633E">
        <w:t>A further review of CMF splints is outline</w:t>
      </w:r>
      <w:r w:rsidR="00220E48">
        <w:t>d</w:t>
      </w:r>
      <w:r w:rsidR="004A633E">
        <w:t xml:space="preserve"> </w:t>
      </w:r>
      <w:r w:rsidR="00220E48">
        <w:t>i</w:t>
      </w:r>
      <w:r w:rsidR="004A633E">
        <w:t xml:space="preserve">n the </w:t>
      </w:r>
      <w:hyperlink r:id="rId33" w:anchor="annual-workplan" w:history="1">
        <w:r w:rsidR="004A633E" w:rsidRPr="00EF612F">
          <w:rPr>
            <w:rStyle w:val="Hyperlink"/>
          </w:rPr>
          <w:t xml:space="preserve">post listing review </w:t>
        </w:r>
        <w:r w:rsidR="00EF612F" w:rsidRPr="00EF612F">
          <w:rPr>
            <w:rStyle w:val="Hyperlink"/>
          </w:rPr>
          <w:t>annual workplan</w:t>
        </w:r>
      </w:hyperlink>
      <w:r w:rsidR="00EF612F">
        <w:t>.</w:t>
      </w:r>
    </w:p>
    <w:p w14:paraId="01AC87C2" w14:textId="6E0F5B7A" w:rsidR="008C7C1C" w:rsidRPr="00EA5E5B" w:rsidRDefault="008C7C1C" w:rsidP="00EA5E5B">
      <w:r>
        <w:t xml:space="preserve">The department will monitor </w:t>
      </w:r>
      <w:r w:rsidR="005D1EE6">
        <w:t xml:space="preserve">data on claims for SGB to ensure the condition continues to meet the policy intent. Any further updates will be provided on our </w:t>
      </w:r>
      <w:hyperlink r:id="rId34" w:history="1">
        <w:r w:rsidR="005D1EE6" w:rsidRPr="005D1EE6">
          <w:rPr>
            <w:rStyle w:val="Hyperlink"/>
          </w:rPr>
          <w:t>webpage</w:t>
        </w:r>
      </w:hyperlink>
      <w:r w:rsidR="005D1EE6">
        <w:t>.</w:t>
      </w:r>
    </w:p>
    <w:sectPr w:rsidR="008C7C1C" w:rsidRPr="00EA5E5B" w:rsidSect="00D45D94">
      <w:headerReference w:type="default" r:id="rId35"/>
      <w:footerReference w:type="default" r:id="rId36"/>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34E4" w14:textId="77777777" w:rsidR="00830F09" w:rsidRDefault="00830F09" w:rsidP="006B56BB">
      <w:r>
        <w:separator/>
      </w:r>
    </w:p>
    <w:p w14:paraId="5C4BCB85" w14:textId="77777777" w:rsidR="00830F09" w:rsidRDefault="00830F09"/>
    <w:p w14:paraId="62CB8C19" w14:textId="77777777" w:rsidR="00830F09" w:rsidRDefault="00830F09"/>
  </w:endnote>
  <w:endnote w:type="continuationSeparator" w:id="0">
    <w:p w14:paraId="37698011" w14:textId="77777777" w:rsidR="00830F09" w:rsidRDefault="00830F09" w:rsidP="006B56BB">
      <w:r>
        <w:continuationSeparator/>
      </w:r>
    </w:p>
    <w:p w14:paraId="6562CCC3" w14:textId="77777777" w:rsidR="00830F09" w:rsidRDefault="00830F09"/>
    <w:p w14:paraId="1A5644B6" w14:textId="77777777" w:rsidR="00830F09" w:rsidRDefault="00830F09"/>
  </w:endnote>
  <w:endnote w:type="continuationNotice" w:id="1">
    <w:p w14:paraId="02A5455A" w14:textId="77777777" w:rsidR="00830F09" w:rsidRDefault="00830F09"/>
    <w:p w14:paraId="196230B1" w14:textId="77777777" w:rsidR="00830F09" w:rsidRDefault="00830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87" w14:textId="0F7C5D66" w:rsidR="006D20FF" w:rsidRDefault="006D20FF">
    <w:pPr>
      <w:pStyle w:val="Footer"/>
    </w:pPr>
    <w:r>
      <w:rPr>
        <w:noProof/>
      </w:rPr>
      <mc:AlternateContent>
        <mc:Choice Requires="wps">
          <w:drawing>
            <wp:anchor distT="0" distB="0" distL="0" distR="0" simplePos="0" relativeHeight="251657216" behindDoc="0" locked="0" layoutInCell="1" allowOverlap="1" wp14:anchorId="3117D138" wp14:editId="3EFD5180">
              <wp:simplePos x="635" y="635"/>
              <wp:positionH relativeFrom="page">
                <wp:align>center</wp:align>
              </wp:positionH>
              <wp:positionV relativeFrom="page">
                <wp:align>bottom</wp:align>
              </wp:positionV>
              <wp:extent cx="622300" cy="376555"/>
              <wp:effectExtent l="0" t="0" r="6350" b="0"/>
              <wp:wrapNone/>
              <wp:docPr id="8121972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8F36F7" w14:textId="043C682B" w:rsidR="006D20FF" w:rsidRPr="006D20FF" w:rsidRDefault="006D20FF" w:rsidP="006D20FF">
                          <w:pPr>
                            <w:rPr>
                              <w:rFonts w:ascii="Aptos" w:eastAsia="Aptos" w:hAnsi="Aptos" w:cs="Aptos"/>
                              <w:noProof/>
                              <w:color w:val="FF0000"/>
                              <w:sz w:val="24"/>
                            </w:rPr>
                          </w:pPr>
                          <w:r w:rsidRPr="006D20F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DEE300D">
            <v:shapetype id="_x0000_t202" coordsize="21600,21600" o:spt="202" path="m,l,21600r21600,l21600,xe" w14:anchorId="3117D138">
              <v:stroke joinstyle="miter"/>
              <v:path gradientshapeok="t" o:connecttype="rect"/>
            </v:shapetype>
            <v:shape id="Text Box 7" style="position:absolute;margin-left:0;margin-top:0;width:49pt;height:29.65pt;z-index:25165721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textbox style="mso-fit-shape-to-text:t" inset="0,0,0,15pt">
                <w:txbxContent>
                  <w:p w:rsidRPr="006D20FF" w:rsidR="006D20FF" w:rsidP="006D20FF" w:rsidRDefault="006D20FF" w14:paraId="08CE8BEA" w14:textId="043C682B">
                    <w:pPr>
                      <w:rPr>
                        <w:rFonts w:ascii="Aptos" w:hAnsi="Aptos" w:eastAsia="Aptos" w:cs="Aptos"/>
                        <w:noProof/>
                        <w:color w:val="FF0000"/>
                        <w:sz w:val="24"/>
                      </w:rPr>
                    </w:pPr>
                    <w:r w:rsidRPr="006D20FF">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F654" w14:textId="1E1D2D9C" w:rsidR="006D20FF" w:rsidRDefault="006D20FF">
    <w:pPr>
      <w:pStyle w:val="Footer"/>
    </w:pPr>
    <w:r>
      <w:rPr>
        <w:noProof/>
      </w:rPr>
      <mc:AlternateContent>
        <mc:Choice Requires="wps">
          <w:drawing>
            <wp:anchor distT="0" distB="0" distL="0" distR="0" simplePos="0" relativeHeight="251658240" behindDoc="0" locked="0" layoutInCell="1" allowOverlap="1" wp14:anchorId="606B7BD5" wp14:editId="6A6FF55D">
              <wp:simplePos x="635" y="635"/>
              <wp:positionH relativeFrom="page">
                <wp:align>center</wp:align>
              </wp:positionH>
              <wp:positionV relativeFrom="page">
                <wp:align>bottom</wp:align>
              </wp:positionV>
              <wp:extent cx="622300" cy="376555"/>
              <wp:effectExtent l="0" t="0" r="6350" b="0"/>
              <wp:wrapNone/>
              <wp:docPr id="10658328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4B7515" w14:textId="6BD7990B" w:rsidR="006D20FF" w:rsidRPr="006D20FF" w:rsidRDefault="006D20FF" w:rsidP="006D20FF">
                          <w:pPr>
                            <w:rPr>
                              <w:rFonts w:ascii="Aptos" w:eastAsia="Aptos" w:hAnsi="Aptos" w:cs="Aptos"/>
                              <w:noProof/>
                              <w:color w:val="FF0000"/>
                              <w:sz w:val="24"/>
                            </w:rPr>
                          </w:pPr>
                          <w:r w:rsidRPr="006D20F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6485D45">
            <v:shapetype id="_x0000_t202" coordsize="21600,21600" o:spt="202" path="m,l,21600r21600,l21600,xe" w14:anchorId="606B7BD5">
              <v:stroke joinstyle="miter"/>
              <v:path gradientshapeok="t" o:connecttype="rect"/>
            </v:shapetype>
            <v:shape id="Text Box 8" style="position:absolute;margin-left:0;margin-top:0;width:49pt;height:29.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textbox style="mso-fit-shape-to-text:t" inset="0,0,0,15pt">
                <w:txbxContent>
                  <w:p w:rsidRPr="006D20FF" w:rsidR="006D20FF" w:rsidP="006D20FF" w:rsidRDefault="006D20FF" w14:paraId="6D44D65D" w14:textId="6BD7990B">
                    <w:pPr>
                      <w:rPr>
                        <w:rFonts w:ascii="Aptos" w:hAnsi="Aptos" w:eastAsia="Aptos" w:cs="Aptos"/>
                        <w:noProof/>
                        <w:color w:val="FF0000"/>
                        <w:sz w:val="24"/>
                      </w:rPr>
                    </w:pPr>
                    <w:r w:rsidRPr="006D20FF">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7FD0" w14:textId="271A7D2D" w:rsidR="006D20FF" w:rsidRDefault="006D2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C14" w14:textId="52274C32" w:rsidR="00751A23" w:rsidRPr="00DE3355" w:rsidRDefault="002914C9" w:rsidP="00751A23">
    <w:pPr>
      <w:pStyle w:val="Footer"/>
      <w:tabs>
        <w:tab w:val="clear" w:pos="4513"/>
        <w:tab w:val="center" w:pos="0"/>
      </w:tabs>
      <w:jc w:val="right"/>
    </w:pPr>
    <w:r>
      <w:rPr>
        <w:szCs w:val="20"/>
      </w:rPr>
      <w:t xml:space="preserve">Surgical guides and </w:t>
    </w:r>
    <w:proofErr w:type="spellStart"/>
    <w:r>
      <w:rPr>
        <w:szCs w:val="20"/>
      </w:rPr>
      <w:t>biomodels</w:t>
    </w:r>
    <w:proofErr w:type="spellEnd"/>
    <w:r w:rsidR="008931D2">
      <w:rPr>
        <w:szCs w:val="20"/>
      </w:rPr>
      <w:t xml:space="preserve"> post listing review: draft report </w:t>
    </w:r>
    <w:r w:rsidR="00634D29">
      <w:rPr>
        <w:szCs w:val="20"/>
      </w:rPr>
      <w:t>May</w:t>
    </w:r>
    <w:r w:rsidR="00791C77">
      <w:rPr>
        <w:szCs w:val="20"/>
      </w:rPr>
      <w:t xml:space="preserve"> 2026</w:t>
    </w:r>
    <w:r w:rsidR="00751A23" w:rsidRPr="00751A23">
      <w:rPr>
        <w:szCs w:val="20"/>
      </w:rPr>
      <w:tab/>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3A8" w14:textId="53447D61" w:rsidR="008844BF" w:rsidRPr="00996B76" w:rsidRDefault="008844BF" w:rsidP="008844BF">
    <w:pPr>
      <w:pStyle w:val="Footer"/>
      <w:tabs>
        <w:tab w:val="clear" w:pos="4513"/>
        <w:tab w:val="center" w:pos="0"/>
      </w:tabs>
      <w:jc w:val="center"/>
      <w:rPr>
        <w:color w:val="A20000"/>
        <w:sz w:val="32"/>
        <w:szCs w:val="32"/>
      </w:rPr>
    </w:pPr>
    <w:r w:rsidRPr="00996B76">
      <w:rPr>
        <w:color w:val="A20000"/>
        <w:sz w:val="32"/>
        <w:szCs w:val="32"/>
      </w:rPr>
      <w:t>DRAFT</w:t>
    </w:r>
  </w:p>
  <w:p w14:paraId="0B5EC05F" w14:textId="3F528882" w:rsidR="009F65D6" w:rsidRPr="00FC3192" w:rsidRDefault="00530818" w:rsidP="008844BF">
    <w:pPr>
      <w:pStyle w:val="Footer"/>
      <w:tabs>
        <w:tab w:val="clear" w:pos="4513"/>
        <w:tab w:val="center" w:pos="0"/>
      </w:tabs>
      <w:rPr>
        <w:szCs w:val="20"/>
      </w:rPr>
    </w:pPr>
    <w:r>
      <w:t xml:space="preserve">Surgical guides and </w:t>
    </w:r>
    <w:proofErr w:type="spellStart"/>
    <w:r>
      <w:t>biomodels</w:t>
    </w:r>
    <w:proofErr w:type="spellEnd"/>
    <w:r w:rsidR="00791C77">
      <w:t xml:space="preserve"> </w:t>
    </w:r>
    <w:r>
      <w:t xml:space="preserve">post-listing review </w:t>
    </w:r>
    <w:r w:rsidR="00791C77">
      <w:t>– draft report</w:t>
    </w:r>
    <w:r w:rsidR="00791C77" w:rsidRPr="00751A23">
      <w:rPr>
        <w:szCs w:val="20"/>
      </w:rPr>
      <w:t xml:space="preserve"> </w:t>
    </w:r>
    <w:r w:rsidR="00634D29">
      <w:t>May</w:t>
    </w:r>
    <w:r w:rsidR="00791C77">
      <w:t xml:space="preserve"> 2026</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26FA" w14:textId="77777777" w:rsidR="00830F09" w:rsidRDefault="00830F09" w:rsidP="006B56BB">
      <w:r>
        <w:separator/>
      </w:r>
    </w:p>
    <w:p w14:paraId="6B5F43DC" w14:textId="77777777" w:rsidR="00830F09" w:rsidRDefault="00830F09"/>
    <w:p w14:paraId="40BB3AE5" w14:textId="77777777" w:rsidR="00830F09" w:rsidRDefault="00830F09"/>
  </w:footnote>
  <w:footnote w:type="continuationSeparator" w:id="0">
    <w:p w14:paraId="4CEF7E64" w14:textId="77777777" w:rsidR="00830F09" w:rsidRDefault="00830F09" w:rsidP="006B56BB">
      <w:r>
        <w:continuationSeparator/>
      </w:r>
    </w:p>
    <w:p w14:paraId="1AD09A5F" w14:textId="77777777" w:rsidR="00830F09" w:rsidRDefault="00830F09"/>
    <w:p w14:paraId="4FBEF265" w14:textId="77777777" w:rsidR="00830F09" w:rsidRDefault="00830F09"/>
  </w:footnote>
  <w:footnote w:type="continuationNotice" w:id="1">
    <w:p w14:paraId="428B5B93" w14:textId="77777777" w:rsidR="00830F09" w:rsidRDefault="00830F09"/>
    <w:p w14:paraId="7744E9F2" w14:textId="77777777" w:rsidR="00830F09" w:rsidRDefault="00830F09"/>
  </w:footnote>
  <w:footnote w:id="2">
    <w:p w14:paraId="57316BBD" w14:textId="22BA65C6" w:rsidR="0079112A" w:rsidRPr="0079112A" w:rsidRDefault="0079112A" w:rsidP="0079112A">
      <w:pPr>
        <w:pStyle w:val="Footer"/>
        <w:tabs>
          <w:tab w:val="clear" w:pos="4513"/>
          <w:tab w:val="center" w:pos="0"/>
        </w:tabs>
        <w:rPr>
          <w:sz w:val="18"/>
          <w:szCs w:val="18"/>
        </w:rPr>
      </w:pPr>
      <w:r>
        <w:rPr>
          <w:rStyle w:val="FootnoteReference"/>
        </w:rPr>
        <w:footnoteRef/>
      </w:r>
      <w:r>
        <w:t xml:space="preserve"> </w:t>
      </w:r>
      <w:r w:rsidRPr="00086693">
        <w:rPr>
          <w:sz w:val="18"/>
          <w:szCs w:val="18"/>
        </w:rPr>
        <w:t xml:space="preserve">Data extracted from HCP1 </w:t>
      </w:r>
      <w:r>
        <w:rPr>
          <w:sz w:val="18"/>
          <w:szCs w:val="18"/>
        </w:rPr>
        <w:t xml:space="preserve">on </w:t>
      </w:r>
      <w:r w:rsidRPr="00086693">
        <w:rPr>
          <w:sz w:val="18"/>
          <w:szCs w:val="18"/>
        </w:rPr>
        <w:t xml:space="preserve">28 August 2025. </w:t>
      </w:r>
      <w:r>
        <w:rPr>
          <w:sz w:val="18"/>
          <w:szCs w:val="18"/>
        </w:rPr>
        <w:t>D</w:t>
      </w:r>
      <w:r w:rsidRPr="00086693">
        <w:rPr>
          <w:sz w:val="18"/>
          <w:szCs w:val="18"/>
        </w:rPr>
        <w:t>ata completeness for each year</w:t>
      </w:r>
      <w:r>
        <w:rPr>
          <w:sz w:val="18"/>
          <w:szCs w:val="18"/>
        </w:rPr>
        <w:t>:</w:t>
      </w:r>
      <w:r w:rsidRPr="00086693">
        <w:rPr>
          <w:sz w:val="18"/>
          <w:szCs w:val="18"/>
        </w:rPr>
        <w:t xml:space="preserve"> separations 95.4% (2023), 91% (2024) and 44.6% (2025)</w:t>
      </w:r>
      <w:r>
        <w:rPr>
          <w:sz w:val="18"/>
          <w:szCs w:val="18"/>
        </w:rPr>
        <w:t xml:space="preserve">; </w:t>
      </w:r>
      <w:r w:rsidRPr="00086693">
        <w:rPr>
          <w:sz w:val="18"/>
          <w:szCs w:val="18"/>
        </w:rPr>
        <w:t>pro</w:t>
      </w:r>
      <w:r>
        <w:rPr>
          <w:sz w:val="18"/>
          <w:szCs w:val="18"/>
        </w:rPr>
        <w:t>th</w:t>
      </w:r>
      <w:r w:rsidRPr="00086693">
        <w:rPr>
          <w:sz w:val="18"/>
          <w:szCs w:val="18"/>
        </w:rPr>
        <w:t>eses items 92% (2023), 87.3% (2024) and 41.6% (2025).</w:t>
      </w:r>
    </w:p>
  </w:footnote>
  <w:footnote w:id="3">
    <w:p w14:paraId="66308B7E" w14:textId="77777777" w:rsidR="003D3281" w:rsidRDefault="003D3281" w:rsidP="003D3281">
      <w:pPr>
        <w:pStyle w:val="FootnoteText"/>
      </w:pPr>
      <w:r>
        <w:rPr>
          <w:rStyle w:val="FootnoteReference"/>
        </w:rPr>
        <w:footnoteRef/>
      </w:r>
      <w:r>
        <w:t xml:space="preserve"> </w:t>
      </w:r>
      <w:r w:rsidRPr="00086693">
        <w:rPr>
          <w:sz w:val="18"/>
          <w:szCs w:val="18"/>
        </w:rPr>
        <w:t>Data extracted from HCP1</w:t>
      </w:r>
      <w:r>
        <w:rPr>
          <w:sz w:val="18"/>
          <w:szCs w:val="18"/>
        </w:rPr>
        <w:t xml:space="preserve"> on 5 March 2026</w:t>
      </w:r>
      <w:r w:rsidRPr="00086693">
        <w:rPr>
          <w:sz w:val="18"/>
          <w:szCs w:val="18"/>
        </w:rPr>
        <w:t xml:space="preserve">. </w:t>
      </w:r>
      <w:r>
        <w:rPr>
          <w:sz w:val="18"/>
          <w:szCs w:val="18"/>
        </w:rPr>
        <w:t>D</w:t>
      </w:r>
      <w:r w:rsidRPr="00086693">
        <w:rPr>
          <w:sz w:val="18"/>
          <w:szCs w:val="18"/>
        </w:rPr>
        <w:t xml:space="preserve">ata completeness </w:t>
      </w:r>
      <w:r>
        <w:rPr>
          <w:sz w:val="18"/>
          <w:szCs w:val="18"/>
        </w:rPr>
        <w:t>2024-25 financial year: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77F0" w14:textId="3F98CD9B" w:rsidR="006D20FF" w:rsidRDefault="006D20FF">
    <w:pPr>
      <w:pStyle w:val="Header"/>
    </w:pPr>
    <w:r>
      <w:rPr>
        <w:noProof/>
      </w:rPr>
      <mc:AlternateContent>
        <mc:Choice Requires="wps">
          <w:drawing>
            <wp:anchor distT="0" distB="0" distL="0" distR="0" simplePos="0" relativeHeight="251653120" behindDoc="0" locked="0" layoutInCell="1" allowOverlap="1" wp14:anchorId="64148428" wp14:editId="60E7FB3D">
              <wp:simplePos x="635" y="635"/>
              <wp:positionH relativeFrom="page">
                <wp:align>center</wp:align>
              </wp:positionH>
              <wp:positionV relativeFrom="page">
                <wp:align>top</wp:align>
              </wp:positionV>
              <wp:extent cx="622300" cy="376555"/>
              <wp:effectExtent l="0" t="0" r="6350" b="4445"/>
              <wp:wrapNone/>
              <wp:docPr id="16255262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61503" w14:textId="4640F785" w:rsidR="006D20FF" w:rsidRPr="006D20FF" w:rsidRDefault="006D20FF" w:rsidP="006D20FF">
                          <w:pPr>
                            <w:rPr>
                              <w:rFonts w:ascii="Aptos" w:eastAsia="Aptos" w:hAnsi="Aptos" w:cs="Aptos"/>
                              <w:noProof/>
                              <w:color w:val="FF0000"/>
                              <w:sz w:val="24"/>
                            </w:rPr>
                          </w:pPr>
                          <w:r w:rsidRPr="006D20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4078C87">
            <v:shapetype id="_x0000_t202" coordsize="21600,21600" o:spt="202" path="m,l,21600r21600,l21600,xe" w14:anchorId="64148428">
              <v:stroke joinstyle="miter"/>
              <v:path gradientshapeok="t" o:connecttype="rect"/>
            </v:shapetype>
            <v:shape id="Text Box 2" style="position:absolute;margin-left:0;margin-top:0;width:49pt;height:29.65pt;z-index:25165312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6D20FF" w:rsidR="006D20FF" w:rsidP="006D20FF" w:rsidRDefault="006D20FF" w14:paraId="2CCFEE10" w14:textId="4640F785">
                    <w:pPr>
                      <w:rPr>
                        <w:rFonts w:ascii="Aptos" w:hAnsi="Aptos" w:eastAsia="Aptos" w:cs="Aptos"/>
                        <w:noProof/>
                        <w:color w:val="FF0000"/>
                        <w:sz w:val="24"/>
                      </w:rPr>
                    </w:pPr>
                    <w:r w:rsidRPr="006D20FF">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3C79" w14:textId="572B13E9" w:rsidR="006D20FF" w:rsidRDefault="006D20FF">
    <w:pPr>
      <w:pStyle w:val="Header"/>
    </w:pPr>
    <w:r>
      <w:rPr>
        <w:noProof/>
      </w:rPr>
      <mc:AlternateContent>
        <mc:Choice Requires="wps">
          <w:drawing>
            <wp:anchor distT="0" distB="0" distL="0" distR="0" simplePos="0" relativeHeight="251654144" behindDoc="0" locked="0" layoutInCell="1" allowOverlap="1" wp14:anchorId="2AA7AEA2" wp14:editId="324B9BE1">
              <wp:simplePos x="635" y="635"/>
              <wp:positionH relativeFrom="page">
                <wp:align>center</wp:align>
              </wp:positionH>
              <wp:positionV relativeFrom="page">
                <wp:align>top</wp:align>
              </wp:positionV>
              <wp:extent cx="622300" cy="376555"/>
              <wp:effectExtent l="0" t="0" r="6350" b="4445"/>
              <wp:wrapNone/>
              <wp:docPr id="16855210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259D9D" w14:textId="4D1C684D" w:rsidR="006D20FF" w:rsidRPr="006D20FF" w:rsidRDefault="006D20FF" w:rsidP="006D20FF">
                          <w:pPr>
                            <w:rPr>
                              <w:rFonts w:ascii="Aptos" w:eastAsia="Aptos" w:hAnsi="Aptos" w:cs="Aptos"/>
                              <w:noProof/>
                              <w:color w:val="FF0000"/>
                              <w:sz w:val="24"/>
                            </w:rPr>
                          </w:pPr>
                          <w:r w:rsidRPr="006D20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EA85CE">
            <v:shapetype id="_x0000_t202" coordsize="21600,21600" o:spt="202" path="m,l,21600r21600,l21600,xe" w14:anchorId="2AA7AEA2">
              <v:stroke joinstyle="miter"/>
              <v:path gradientshapeok="t" o:connecttype="rect"/>
            </v:shapetype>
            <v:shape id="Text Box 3" style="position:absolute;margin-left:0;margin-top:0;width:49pt;height:29.65pt;z-index:2516541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6D20FF" w:rsidR="006D20FF" w:rsidP="006D20FF" w:rsidRDefault="006D20FF" w14:paraId="75F360E3" w14:textId="4D1C684D">
                    <w:pPr>
                      <w:rPr>
                        <w:rFonts w:ascii="Aptos" w:hAnsi="Aptos" w:eastAsia="Aptos" w:cs="Aptos"/>
                        <w:noProof/>
                        <w:color w:val="FF0000"/>
                        <w:sz w:val="24"/>
                      </w:rPr>
                    </w:pPr>
                    <w:r w:rsidRPr="006D20FF">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8335" w14:textId="13FD9779" w:rsidR="00751A23" w:rsidRDefault="00000000">
    <w:pPr>
      <w:pStyle w:val="Header"/>
    </w:pPr>
    <w:sdt>
      <w:sdtPr>
        <w:id w:val="1005091857"/>
        <w:docPartObj>
          <w:docPartGallery w:val="Watermarks"/>
          <w:docPartUnique/>
        </w:docPartObj>
      </w:sdtPr>
      <w:sdtContent>
        <w:r>
          <w:pict w14:anchorId="3FDC8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917B6">
      <w:rPr>
        <w:noProof/>
        <w:lang w:eastAsia="en-AU"/>
      </w:rPr>
      <w:drawing>
        <wp:anchor distT="0" distB="0" distL="114300" distR="114300" simplePos="0" relativeHeight="251660288" behindDoc="1" locked="0" layoutInCell="1" allowOverlap="1" wp14:anchorId="015BBA6B" wp14:editId="3A5EAFB1">
          <wp:simplePos x="0" y="0"/>
          <wp:positionH relativeFrom="page">
            <wp:align>right</wp:align>
          </wp:positionH>
          <wp:positionV relativeFrom="margin">
            <wp:align>center</wp:align>
          </wp:positionV>
          <wp:extent cx="7559245" cy="10692673"/>
          <wp:effectExtent l="0" t="0" r="3810" b="0"/>
          <wp:wrapNone/>
          <wp:docPr id="1776058686" name="Picture 17760586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A1FD" w14:textId="0B7BD0CD" w:rsidR="00751A23" w:rsidRDefault="00751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543A" w14:textId="35D522CA" w:rsidR="008E0C77" w:rsidRDefault="008E0C77" w:rsidP="008E0C77">
    <w:pPr>
      <w:pStyle w:val="Headertext"/>
      <w:spacing w:after="180"/>
      <w:jc w:val="left"/>
    </w:pPr>
  </w:p>
  <w:p w14:paraId="16217DA5" w14:textId="5717CED1" w:rsidR="009F65D6" w:rsidRPr="008844BF" w:rsidRDefault="008844BF" w:rsidP="008844BF">
    <w:pPr>
      <w:jc w:val="center"/>
      <w:rPr>
        <w:b/>
        <w:bCs/>
        <w:color w:val="FF0000"/>
        <w:sz w:val="32"/>
        <w:szCs w:val="32"/>
      </w:rPr>
    </w:pPr>
    <w:r w:rsidRPr="008844BF">
      <w:rPr>
        <w:b/>
        <w:bCs/>
        <w:color w:val="FF0000"/>
        <w:sz w:val="32"/>
        <w:szCs w:val="3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A1092"/>
    <w:multiLevelType w:val="hybridMultilevel"/>
    <w:tmpl w:val="24E4B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AD20B0"/>
    <w:multiLevelType w:val="hybridMultilevel"/>
    <w:tmpl w:val="3BF69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54318"/>
    <w:multiLevelType w:val="hybridMultilevel"/>
    <w:tmpl w:val="DF00BAB8"/>
    <w:lvl w:ilvl="0" w:tplc="FAEA78AC">
      <w:start w:val="201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D7D26"/>
    <w:multiLevelType w:val="hybridMultilevel"/>
    <w:tmpl w:val="CD781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D2C3B"/>
    <w:multiLevelType w:val="hybridMultilevel"/>
    <w:tmpl w:val="C9D6C6EC"/>
    <w:lvl w:ilvl="0" w:tplc="C5D286C8">
      <w:start w:val="1"/>
      <w:numFmt w:val="bullet"/>
      <w:lvlText w:val=""/>
      <w:lvlJc w:val="left"/>
      <w:pPr>
        <w:ind w:left="587" w:hanging="360"/>
      </w:pPr>
      <w:rPr>
        <w:rFonts w:ascii="Symbol" w:hAnsi="Symbol" w:hint="default"/>
      </w:rPr>
    </w:lvl>
    <w:lvl w:ilvl="1" w:tplc="3E3CCEFA">
      <w:start w:val="1"/>
      <w:numFmt w:val="bullet"/>
      <w:lvlText w:val="o"/>
      <w:lvlJc w:val="left"/>
      <w:pPr>
        <w:ind w:left="1307" w:hanging="360"/>
      </w:pPr>
      <w:rPr>
        <w:rFonts w:ascii="Courier New" w:hAnsi="Courier New" w:hint="default"/>
      </w:rPr>
    </w:lvl>
    <w:lvl w:ilvl="2" w:tplc="F7889F8C">
      <w:start w:val="1"/>
      <w:numFmt w:val="bullet"/>
      <w:lvlText w:val=""/>
      <w:lvlJc w:val="left"/>
      <w:pPr>
        <w:ind w:left="2027" w:hanging="360"/>
      </w:pPr>
      <w:rPr>
        <w:rFonts w:ascii="Wingdings" w:hAnsi="Wingdings" w:hint="default"/>
      </w:rPr>
    </w:lvl>
    <w:lvl w:ilvl="3" w:tplc="4468E0D0">
      <w:start w:val="1"/>
      <w:numFmt w:val="bullet"/>
      <w:lvlText w:val=""/>
      <w:lvlJc w:val="left"/>
      <w:pPr>
        <w:ind w:left="2747" w:hanging="360"/>
      </w:pPr>
      <w:rPr>
        <w:rFonts w:ascii="Symbol" w:hAnsi="Symbol" w:hint="default"/>
      </w:rPr>
    </w:lvl>
    <w:lvl w:ilvl="4" w:tplc="503EBF28">
      <w:start w:val="1"/>
      <w:numFmt w:val="bullet"/>
      <w:lvlText w:val="o"/>
      <w:lvlJc w:val="left"/>
      <w:pPr>
        <w:ind w:left="3467" w:hanging="360"/>
      </w:pPr>
      <w:rPr>
        <w:rFonts w:ascii="Courier New" w:hAnsi="Courier New" w:hint="default"/>
      </w:rPr>
    </w:lvl>
    <w:lvl w:ilvl="5" w:tplc="DCD0AFBC">
      <w:start w:val="1"/>
      <w:numFmt w:val="bullet"/>
      <w:lvlText w:val=""/>
      <w:lvlJc w:val="left"/>
      <w:pPr>
        <w:ind w:left="4187" w:hanging="360"/>
      </w:pPr>
      <w:rPr>
        <w:rFonts w:ascii="Wingdings" w:hAnsi="Wingdings" w:hint="default"/>
      </w:rPr>
    </w:lvl>
    <w:lvl w:ilvl="6" w:tplc="6F9E589A">
      <w:start w:val="1"/>
      <w:numFmt w:val="bullet"/>
      <w:lvlText w:val=""/>
      <w:lvlJc w:val="left"/>
      <w:pPr>
        <w:ind w:left="4907" w:hanging="360"/>
      </w:pPr>
      <w:rPr>
        <w:rFonts w:ascii="Symbol" w:hAnsi="Symbol" w:hint="default"/>
      </w:rPr>
    </w:lvl>
    <w:lvl w:ilvl="7" w:tplc="852A32E6">
      <w:start w:val="1"/>
      <w:numFmt w:val="bullet"/>
      <w:lvlText w:val="o"/>
      <w:lvlJc w:val="left"/>
      <w:pPr>
        <w:ind w:left="5627" w:hanging="360"/>
      </w:pPr>
      <w:rPr>
        <w:rFonts w:ascii="Courier New" w:hAnsi="Courier New" w:hint="default"/>
      </w:rPr>
    </w:lvl>
    <w:lvl w:ilvl="8" w:tplc="0AB4E202">
      <w:start w:val="1"/>
      <w:numFmt w:val="bullet"/>
      <w:lvlText w:val=""/>
      <w:lvlJc w:val="left"/>
      <w:pPr>
        <w:ind w:left="6347" w:hanging="360"/>
      </w:pPr>
      <w:rPr>
        <w:rFonts w:ascii="Wingdings" w:hAnsi="Wingdings" w:hint="default"/>
      </w:rPr>
    </w:lvl>
  </w:abstractNum>
  <w:abstractNum w:abstractNumId="7" w15:restartNumberingAfterBreak="0">
    <w:nsid w:val="2CBFF74F"/>
    <w:multiLevelType w:val="hybridMultilevel"/>
    <w:tmpl w:val="5008AFD2"/>
    <w:lvl w:ilvl="0" w:tplc="8C80B5C8">
      <w:start w:val="1"/>
      <w:numFmt w:val="bullet"/>
      <w:lvlText w:val=""/>
      <w:lvlJc w:val="left"/>
      <w:pPr>
        <w:ind w:left="1080" w:hanging="360"/>
      </w:pPr>
      <w:rPr>
        <w:rFonts w:ascii="Symbol" w:hAnsi="Symbol" w:hint="default"/>
      </w:rPr>
    </w:lvl>
    <w:lvl w:ilvl="1" w:tplc="550E7D50">
      <w:start w:val="1"/>
      <w:numFmt w:val="bullet"/>
      <w:lvlText w:val="o"/>
      <w:lvlJc w:val="left"/>
      <w:pPr>
        <w:ind w:left="1800" w:hanging="360"/>
      </w:pPr>
      <w:rPr>
        <w:rFonts w:ascii="Courier New" w:hAnsi="Courier New" w:hint="default"/>
      </w:rPr>
    </w:lvl>
    <w:lvl w:ilvl="2" w:tplc="CBECAA1C">
      <w:start w:val="1"/>
      <w:numFmt w:val="bullet"/>
      <w:lvlText w:val=""/>
      <w:lvlJc w:val="left"/>
      <w:pPr>
        <w:ind w:left="2520" w:hanging="360"/>
      </w:pPr>
      <w:rPr>
        <w:rFonts w:ascii="Wingdings" w:hAnsi="Wingdings" w:hint="default"/>
      </w:rPr>
    </w:lvl>
    <w:lvl w:ilvl="3" w:tplc="94EA7DD0">
      <w:start w:val="1"/>
      <w:numFmt w:val="bullet"/>
      <w:lvlText w:val=""/>
      <w:lvlJc w:val="left"/>
      <w:pPr>
        <w:ind w:left="3240" w:hanging="360"/>
      </w:pPr>
      <w:rPr>
        <w:rFonts w:ascii="Symbol" w:hAnsi="Symbol" w:hint="default"/>
      </w:rPr>
    </w:lvl>
    <w:lvl w:ilvl="4" w:tplc="0018F314">
      <w:start w:val="1"/>
      <w:numFmt w:val="bullet"/>
      <w:lvlText w:val="o"/>
      <w:lvlJc w:val="left"/>
      <w:pPr>
        <w:ind w:left="3960" w:hanging="360"/>
      </w:pPr>
      <w:rPr>
        <w:rFonts w:ascii="Courier New" w:hAnsi="Courier New" w:hint="default"/>
      </w:rPr>
    </w:lvl>
    <w:lvl w:ilvl="5" w:tplc="C6682B44">
      <w:start w:val="1"/>
      <w:numFmt w:val="bullet"/>
      <w:lvlText w:val=""/>
      <w:lvlJc w:val="left"/>
      <w:pPr>
        <w:ind w:left="4680" w:hanging="360"/>
      </w:pPr>
      <w:rPr>
        <w:rFonts w:ascii="Wingdings" w:hAnsi="Wingdings" w:hint="default"/>
      </w:rPr>
    </w:lvl>
    <w:lvl w:ilvl="6" w:tplc="47A4BBF0">
      <w:start w:val="1"/>
      <w:numFmt w:val="bullet"/>
      <w:lvlText w:val=""/>
      <w:lvlJc w:val="left"/>
      <w:pPr>
        <w:ind w:left="5400" w:hanging="360"/>
      </w:pPr>
      <w:rPr>
        <w:rFonts w:ascii="Symbol" w:hAnsi="Symbol" w:hint="default"/>
      </w:rPr>
    </w:lvl>
    <w:lvl w:ilvl="7" w:tplc="73E80F46">
      <w:start w:val="1"/>
      <w:numFmt w:val="bullet"/>
      <w:lvlText w:val="o"/>
      <w:lvlJc w:val="left"/>
      <w:pPr>
        <w:ind w:left="6120" w:hanging="360"/>
      </w:pPr>
      <w:rPr>
        <w:rFonts w:ascii="Courier New" w:hAnsi="Courier New" w:hint="default"/>
      </w:rPr>
    </w:lvl>
    <w:lvl w:ilvl="8" w:tplc="6F440A9C">
      <w:start w:val="1"/>
      <w:numFmt w:val="bullet"/>
      <w:lvlText w:val=""/>
      <w:lvlJc w:val="left"/>
      <w:pPr>
        <w:ind w:left="6840" w:hanging="360"/>
      </w:pPr>
      <w:rPr>
        <w:rFonts w:ascii="Wingdings" w:hAnsi="Wingdings" w:hint="default"/>
      </w:rPr>
    </w:lvl>
  </w:abstractNum>
  <w:abstractNum w:abstractNumId="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5986DC8"/>
    <w:multiLevelType w:val="hybridMultilevel"/>
    <w:tmpl w:val="EF8430B8"/>
    <w:lvl w:ilvl="0" w:tplc="0C09000F">
      <w:start w:val="1"/>
      <w:numFmt w:val="decimal"/>
      <w:lvlText w:val="%1."/>
      <w:lvlJc w:val="left"/>
      <w:pPr>
        <w:ind w:left="720" w:hanging="360"/>
      </w:pPr>
    </w:lvl>
    <w:lvl w:ilvl="1" w:tplc="E7180D8E">
      <w:start w:val="1"/>
      <w:numFmt w:val="lowerLetter"/>
      <w:lvlText w:val="%2."/>
      <w:lvlJc w:val="left"/>
      <w:pPr>
        <w:ind w:left="1440" w:hanging="360"/>
      </w:pPr>
    </w:lvl>
    <w:lvl w:ilvl="2" w:tplc="6548FBDA">
      <w:start w:val="1"/>
      <w:numFmt w:val="lowerRoman"/>
      <w:lvlText w:val="%3."/>
      <w:lvlJc w:val="right"/>
      <w:pPr>
        <w:ind w:left="2160" w:hanging="180"/>
      </w:pPr>
    </w:lvl>
    <w:lvl w:ilvl="3" w:tplc="8AF0A97A">
      <w:start w:val="1"/>
      <w:numFmt w:val="decimal"/>
      <w:lvlText w:val="%4."/>
      <w:lvlJc w:val="left"/>
      <w:pPr>
        <w:ind w:left="2880" w:hanging="360"/>
      </w:pPr>
    </w:lvl>
    <w:lvl w:ilvl="4" w:tplc="3C666F50">
      <w:start w:val="1"/>
      <w:numFmt w:val="lowerLetter"/>
      <w:lvlText w:val="%5."/>
      <w:lvlJc w:val="left"/>
      <w:pPr>
        <w:ind w:left="3600" w:hanging="360"/>
      </w:pPr>
    </w:lvl>
    <w:lvl w:ilvl="5" w:tplc="C4986EDA">
      <w:start w:val="1"/>
      <w:numFmt w:val="lowerRoman"/>
      <w:lvlText w:val="%6."/>
      <w:lvlJc w:val="right"/>
      <w:pPr>
        <w:ind w:left="4320" w:hanging="180"/>
      </w:pPr>
    </w:lvl>
    <w:lvl w:ilvl="6" w:tplc="1E4465E8">
      <w:start w:val="1"/>
      <w:numFmt w:val="decimal"/>
      <w:lvlText w:val="%7."/>
      <w:lvlJc w:val="left"/>
      <w:pPr>
        <w:ind w:left="5040" w:hanging="360"/>
      </w:pPr>
    </w:lvl>
    <w:lvl w:ilvl="7" w:tplc="F6B05772">
      <w:start w:val="1"/>
      <w:numFmt w:val="lowerLetter"/>
      <w:lvlText w:val="%8."/>
      <w:lvlJc w:val="left"/>
      <w:pPr>
        <w:ind w:left="5760" w:hanging="360"/>
      </w:pPr>
    </w:lvl>
    <w:lvl w:ilvl="8" w:tplc="3D6A8258">
      <w:start w:val="1"/>
      <w:numFmt w:val="lowerRoman"/>
      <w:lvlText w:val="%9."/>
      <w:lvlJc w:val="right"/>
      <w:pPr>
        <w:ind w:left="6480" w:hanging="180"/>
      </w:pPr>
    </w:lvl>
  </w:abstractNum>
  <w:abstractNum w:abstractNumId="10" w15:restartNumberingAfterBreak="0">
    <w:nsid w:val="35F358FE"/>
    <w:multiLevelType w:val="hybridMultilevel"/>
    <w:tmpl w:val="8F36B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070F3B"/>
    <w:multiLevelType w:val="multilevel"/>
    <w:tmpl w:val="E4A2D70E"/>
    <w:lvl w:ilvl="0">
      <w:start w:val="1"/>
      <w:numFmt w:val="decimal"/>
      <w:lvlText w:val="%1."/>
      <w:lvlJc w:val="left"/>
      <w:pPr>
        <w:ind w:left="587" w:hanging="360"/>
      </w:pPr>
    </w:lvl>
    <w:lvl w:ilvl="1">
      <w:start w:val="1"/>
      <w:numFmt w:val="decimal"/>
      <w:lvlText w:val="%1.%2."/>
      <w:lvlJc w:val="left"/>
      <w:pPr>
        <w:ind w:left="1307" w:hanging="360"/>
      </w:pPr>
    </w:lvl>
    <w:lvl w:ilvl="2">
      <w:start w:val="1"/>
      <w:numFmt w:val="decimal"/>
      <w:lvlText w:val="%1.%2.%3."/>
      <w:lvlJc w:val="left"/>
      <w:pPr>
        <w:ind w:left="2027" w:hanging="180"/>
      </w:pPr>
    </w:lvl>
    <w:lvl w:ilvl="3">
      <w:start w:val="1"/>
      <w:numFmt w:val="decimal"/>
      <w:lvlText w:val="%1.%2.%3.%4."/>
      <w:lvlJc w:val="left"/>
      <w:pPr>
        <w:ind w:left="2747" w:hanging="360"/>
      </w:pPr>
    </w:lvl>
    <w:lvl w:ilvl="4">
      <w:start w:val="1"/>
      <w:numFmt w:val="decimal"/>
      <w:lvlText w:val="%1.%2.%3.%4.%5."/>
      <w:lvlJc w:val="left"/>
      <w:pPr>
        <w:ind w:left="3467" w:hanging="360"/>
      </w:pPr>
    </w:lvl>
    <w:lvl w:ilvl="5">
      <w:start w:val="1"/>
      <w:numFmt w:val="decimal"/>
      <w:lvlText w:val="%1.%2.%3.%4.%5.%6."/>
      <w:lvlJc w:val="left"/>
      <w:pPr>
        <w:ind w:left="4187" w:hanging="180"/>
      </w:pPr>
    </w:lvl>
    <w:lvl w:ilvl="6">
      <w:start w:val="1"/>
      <w:numFmt w:val="decimal"/>
      <w:lvlText w:val="%1.%2.%3.%4.%5.%6.%7."/>
      <w:lvlJc w:val="left"/>
      <w:pPr>
        <w:ind w:left="4907" w:hanging="360"/>
      </w:pPr>
    </w:lvl>
    <w:lvl w:ilvl="7">
      <w:start w:val="1"/>
      <w:numFmt w:val="decimal"/>
      <w:lvlText w:val="%1.%2.%3.%4.%5.%6.%7.%8."/>
      <w:lvlJc w:val="left"/>
      <w:pPr>
        <w:ind w:left="5627" w:hanging="360"/>
      </w:pPr>
    </w:lvl>
    <w:lvl w:ilvl="8">
      <w:start w:val="1"/>
      <w:numFmt w:val="decimal"/>
      <w:lvlText w:val="%1.%2.%3.%4.%5.%6.%7.%8.%9."/>
      <w:lvlJc w:val="left"/>
      <w:pPr>
        <w:ind w:left="6347" w:hanging="180"/>
      </w:pPr>
    </w:lvl>
  </w:abstractNum>
  <w:abstractNum w:abstractNumId="12" w15:restartNumberingAfterBreak="0">
    <w:nsid w:val="374A6158"/>
    <w:multiLevelType w:val="hybridMultilevel"/>
    <w:tmpl w:val="FE640E22"/>
    <w:lvl w:ilvl="0" w:tplc="2264CAD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91722"/>
    <w:multiLevelType w:val="hybridMultilevel"/>
    <w:tmpl w:val="55064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BF0179"/>
    <w:multiLevelType w:val="hybridMultilevel"/>
    <w:tmpl w:val="10423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717229"/>
    <w:multiLevelType w:val="hybridMultilevel"/>
    <w:tmpl w:val="FC807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9C6D54"/>
    <w:multiLevelType w:val="hybridMultilevel"/>
    <w:tmpl w:val="06C4D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8A2203"/>
    <w:multiLevelType w:val="hybridMultilevel"/>
    <w:tmpl w:val="83582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7975F0"/>
    <w:multiLevelType w:val="hybridMultilevel"/>
    <w:tmpl w:val="CEDA1A6E"/>
    <w:lvl w:ilvl="0" w:tplc="23A00A5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362EDD"/>
    <w:multiLevelType w:val="hybridMultilevel"/>
    <w:tmpl w:val="3848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133E95"/>
    <w:multiLevelType w:val="hybridMultilevel"/>
    <w:tmpl w:val="50DEBA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6016391"/>
    <w:multiLevelType w:val="hybridMultilevel"/>
    <w:tmpl w:val="FDFE9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D90E72"/>
    <w:multiLevelType w:val="hybridMultilevel"/>
    <w:tmpl w:val="DAD0F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9F1C53"/>
    <w:multiLevelType w:val="hybridMultilevel"/>
    <w:tmpl w:val="F8547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754E93"/>
    <w:multiLevelType w:val="hybridMultilevel"/>
    <w:tmpl w:val="55CA8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C1518"/>
    <w:multiLevelType w:val="hybridMultilevel"/>
    <w:tmpl w:val="DF1E1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67410C"/>
    <w:multiLevelType w:val="hybridMultilevel"/>
    <w:tmpl w:val="670C948C"/>
    <w:lvl w:ilvl="0" w:tplc="5364863A">
      <w:start w:val="1"/>
      <w:numFmt w:val="lowerRoman"/>
      <w:lvlText w:val="(%1)"/>
      <w:lvlJc w:val="righ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0163F4"/>
    <w:multiLevelType w:val="hybridMultilevel"/>
    <w:tmpl w:val="A1CA5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4703A2"/>
    <w:multiLevelType w:val="hybridMultilevel"/>
    <w:tmpl w:val="0BB6A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4E034F"/>
    <w:multiLevelType w:val="hybridMultilevel"/>
    <w:tmpl w:val="36B6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727355"/>
    <w:multiLevelType w:val="hybridMultilevel"/>
    <w:tmpl w:val="85D4A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03907025">
    <w:abstractNumId w:val="6"/>
  </w:num>
  <w:num w:numId="2" w16cid:durableId="803277452">
    <w:abstractNumId w:val="11"/>
  </w:num>
  <w:num w:numId="3" w16cid:durableId="234635366">
    <w:abstractNumId w:val="23"/>
  </w:num>
  <w:num w:numId="4" w16cid:durableId="1185246948">
    <w:abstractNumId w:val="27"/>
  </w:num>
  <w:num w:numId="5" w16cid:durableId="1967540447">
    <w:abstractNumId w:val="0"/>
  </w:num>
  <w:num w:numId="6" w16cid:durableId="302077439">
    <w:abstractNumId w:val="33"/>
  </w:num>
  <w:num w:numId="7" w16cid:durableId="1772312533">
    <w:abstractNumId w:val="5"/>
  </w:num>
  <w:num w:numId="8" w16cid:durableId="1746343388">
    <w:abstractNumId w:val="8"/>
  </w:num>
  <w:num w:numId="9" w16cid:durableId="172184281">
    <w:abstractNumId w:val="4"/>
  </w:num>
  <w:num w:numId="10" w16cid:durableId="1508665819">
    <w:abstractNumId w:val="20"/>
  </w:num>
  <w:num w:numId="11" w16cid:durableId="380785297">
    <w:abstractNumId w:val="17"/>
  </w:num>
  <w:num w:numId="12" w16cid:durableId="107623845">
    <w:abstractNumId w:val="16"/>
  </w:num>
  <w:num w:numId="13" w16cid:durableId="694814373">
    <w:abstractNumId w:val="2"/>
  </w:num>
  <w:num w:numId="14" w16cid:durableId="817653866">
    <w:abstractNumId w:val="3"/>
  </w:num>
  <w:num w:numId="15" w16cid:durableId="1670786595">
    <w:abstractNumId w:val="5"/>
  </w:num>
  <w:num w:numId="16" w16cid:durableId="1440446725">
    <w:abstractNumId w:val="5"/>
  </w:num>
  <w:num w:numId="17" w16cid:durableId="21324722">
    <w:abstractNumId w:val="15"/>
  </w:num>
  <w:num w:numId="18" w16cid:durableId="64187341">
    <w:abstractNumId w:val="28"/>
  </w:num>
  <w:num w:numId="19" w16cid:durableId="830145233">
    <w:abstractNumId w:val="21"/>
  </w:num>
  <w:num w:numId="20" w16cid:durableId="1729037127">
    <w:abstractNumId w:val="25"/>
  </w:num>
  <w:num w:numId="21" w16cid:durableId="1371031596">
    <w:abstractNumId w:val="30"/>
  </w:num>
  <w:num w:numId="22" w16cid:durableId="92433506">
    <w:abstractNumId w:val="1"/>
  </w:num>
  <w:num w:numId="23" w16cid:durableId="204223781">
    <w:abstractNumId w:val="24"/>
  </w:num>
  <w:num w:numId="24" w16cid:durableId="1304383269">
    <w:abstractNumId w:val="32"/>
  </w:num>
  <w:num w:numId="25" w16cid:durableId="609823100">
    <w:abstractNumId w:val="9"/>
  </w:num>
  <w:num w:numId="26" w16cid:durableId="1296377114">
    <w:abstractNumId w:val="7"/>
  </w:num>
  <w:num w:numId="27" w16cid:durableId="1282492506">
    <w:abstractNumId w:val="26"/>
  </w:num>
  <w:num w:numId="28" w16cid:durableId="1905797949">
    <w:abstractNumId w:val="5"/>
  </w:num>
  <w:num w:numId="29" w16cid:durableId="568998688">
    <w:abstractNumId w:val="5"/>
  </w:num>
  <w:num w:numId="30" w16cid:durableId="1978606816">
    <w:abstractNumId w:val="5"/>
  </w:num>
  <w:num w:numId="31" w16cid:durableId="826748673">
    <w:abstractNumId w:val="5"/>
  </w:num>
  <w:num w:numId="32" w16cid:durableId="461003583">
    <w:abstractNumId w:val="13"/>
  </w:num>
  <w:num w:numId="33" w16cid:durableId="6637197">
    <w:abstractNumId w:val="22"/>
  </w:num>
  <w:num w:numId="34" w16cid:durableId="35325759">
    <w:abstractNumId w:val="10"/>
  </w:num>
  <w:num w:numId="35" w16cid:durableId="106974239">
    <w:abstractNumId w:val="31"/>
  </w:num>
  <w:num w:numId="36" w16cid:durableId="1298799443">
    <w:abstractNumId w:val="29"/>
  </w:num>
  <w:num w:numId="37" w16cid:durableId="627970904">
    <w:abstractNumId w:val="19"/>
  </w:num>
  <w:num w:numId="38" w16cid:durableId="348533403">
    <w:abstractNumId w:val="12"/>
  </w:num>
  <w:num w:numId="39" w16cid:durableId="2057656533">
    <w:abstractNumId w:val="14"/>
  </w:num>
  <w:num w:numId="40" w16cid:durableId="45286372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D"/>
    <w:rsid w:val="00002719"/>
    <w:rsid w:val="00003743"/>
    <w:rsid w:val="000047B4"/>
    <w:rsid w:val="00005359"/>
    <w:rsid w:val="00005712"/>
    <w:rsid w:val="00005C9C"/>
    <w:rsid w:val="000060B3"/>
    <w:rsid w:val="00007FD8"/>
    <w:rsid w:val="00010191"/>
    <w:rsid w:val="000104F1"/>
    <w:rsid w:val="000117F8"/>
    <w:rsid w:val="00011A36"/>
    <w:rsid w:val="00011D14"/>
    <w:rsid w:val="00013146"/>
    <w:rsid w:val="000151AF"/>
    <w:rsid w:val="00017532"/>
    <w:rsid w:val="000178D2"/>
    <w:rsid w:val="00017A86"/>
    <w:rsid w:val="000228B1"/>
    <w:rsid w:val="00022A35"/>
    <w:rsid w:val="00024030"/>
    <w:rsid w:val="00024D43"/>
    <w:rsid w:val="00024EAF"/>
    <w:rsid w:val="00026139"/>
    <w:rsid w:val="00027071"/>
    <w:rsid w:val="00027125"/>
    <w:rsid w:val="00027601"/>
    <w:rsid w:val="00031A33"/>
    <w:rsid w:val="00033321"/>
    <w:rsid w:val="000338E5"/>
    <w:rsid w:val="00033ECC"/>
    <w:rsid w:val="0003422F"/>
    <w:rsid w:val="000357BB"/>
    <w:rsid w:val="00035AFD"/>
    <w:rsid w:val="00035C49"/>
    <w:rsid w:val="00036AA7"/>
    <w:rsid w:val="00036B23"/>
    <w:rsid w:val="000371A5"/>
    <w:rsid w:val="000371D8"/>
    <w:rsid w:val="000403E0"/>
    <w:rsid w:val="00040B99"/>
    <w:rsid w:val="00041A01"/>
    <w:rsid w:val="00043C5D"/>
    <w:rsid w:val="00044F03"/>
    <w:rsid w:val="00046BA7"/>
    <w:rsid w:val="00046FF0"/>
    <w:rsid w:val="00050176"/>
    <w:rsid w:val="00050473"/>
    <w:rsid w:val="000509D1"/>
    <w:rsid w:val="000509EE"/>
    <w:rsid w:val="000524A1"/>
    <w:rsid w:val="00052950"/>
    <w:rsid w:val="00052BCC"/>
    <w:rsid w:val="0005362D"/>
    <w:rsid w:val="00053B00"/>
    <w:rsid w:val="00054D5A"/>
    <w:rsid w:val="00056CAC"/>
    <w:rsid w:val="00060806"/>
    <w:rsid w:val="00060D60"/>
    <w:rsid w:val="00062B65"/>
    <w:rsid w:val="00064694"/>
    <w:rsid w:val="00067456"/>
    <w:rsid w:val="0006755B"/>
    <w:rsid w:val="00067673"/>
    <w:rsid w:val="00070059"/>
    <w:rsid w:val="000708EA"/>
    <w:rsid w:val="00071506"/>
    <w:rsid w:val="0007154F"/>
    <w:rsid w:val="00071747"/>
    <w:rsid w:val="00072830"/>
    <w:rsid w:val="00073DDA"/>
    <w:rsid w:val="000765A9"/>
    <w:rsid w:val="00076E8C"/>
    <w:rsid w:val="00077114"/>
    <w:rsid w:val="00077204"/>
    <w:rsid w:val="00081467"/>
    <w:rsid w:val="00081AB1"/>
    <w:rsid w:val="000820B5"/>
    <w:rsid w:val="00083BB1"/>
    <w:rsid w:val="00085885"/>
    <w:rsid w:val="00086693"/>
    <w:rsid w:val="00086AB5"/>
    <w:rsid w:val="00090316"/>
    <w:rsid w:val="00093981"/>
    <w:rsid w:val="00093CD9"/>
    <w:rsid w:val="00093E12"/>
    <w:rsid w:val="00097500"/>
    <w:rsid w:val="000A081E"/>
    <w:rsid w:val="000A1220"/>
    <w:rsid w:val="000A3AED"/>
    <w:rsid w:val="000A3D5C"/>
    <w:rsid w:val="000A4F1E"/>
    <w:rsid w:val="000A68A4"/>
    <w:rsid w:val="000A6C93"/>
    <w:rsid w:val="000A6CEB"/>
    <w:rsid w:val="000A7D0D"/>
    <w:rsid w:val="000B067A"/>
    <w:rsid w:val="000B1540"/>
    <w:rsid w:val="000B1863"/>
    <w:rsid w:val="000B25F7"/>
    <w:rsid w:val="000B26D5"/>
    <w:rsid w:val="000B33FD"/>
    <w:rsid w:val="000B3BD8"/>
    <w:rsid w:val="000B3E03"/>
    <w:rsid w:val="000B4ABA"/>
    <w:rsid w:val="000B5EE3"/>
    <w:rsid w:val="000B66FE"/>
    <w:rsid w:val="000B78CD"/>
    <w:rsid w:val="000C19B3"/>
    <w:rsid w:val="000C2C83"/>
    <w:rsid w:val="000C33BB"/>
    <w:rsid w:val="000C366D"/>
    <w:rsid w:val="000C4356"/>
    <w:rsid w:val="000C4B16"/>
    <w:rsid w:val="000C50C3"/>
    <w:rsid w:val="000C5821"/>
    <w:rsid w:val="000C5B8D"/>
    <w:rsid w:val="000C74C8"/>
    <w:rsid w:val="000D21E0"/>
    <w:rsid w:val="000D21F6"/>
    <w:rsid w:val="000D42C3"/>
    <w:rsid w:val="000D4500"/>
    <w:rsid w:val="000D4DA7"/>
    <w:rsid w:val="000D4F80"/>
    <w:rsid w:val="000D5D91"/>
    <w:rsid w:val="000D7AEA"/>
    <w:rsid w:val="000E01A9"/>
    <w:rsid w:val="000E0B36"/>
    <w:rsid w:val="000E2C66"/>
    <w:rsid w:val="000E38FD"/>
    <w:rsid w:val="000E54C1"/>
    <w:rsid w:val="000E6E7D"/>
    <w:rsid w:val="000E71F7"/>
    <w:rsid w:val="000F0173"/>
    <w:rsid w:val="000F054C"/>
    <w:rsid w:val="000F123C"/>
    <w:rsid w:val="000F14FF"/>
    <w:rsid w:val="000F2FED"/>
    <w:rsid w:val="000F3B20"/>
    <w:rsid w:val="000F3DC9"/>
    <w:rsid w:val="000F4453"/>
    <w:rsid w:val="000F5131"/>
    <w:rsid w:val="000F6511"/>
    <w:rsid w:val="000F7326"/>
    <w:rsid w:val="000F73F2"/>
    <w:rsid w:val="000F7FB3"/>
    <w:rsid w:val="00101367"/>
    <w:rsid w:val="00102014"/>
    <w:rsid w:val="001033BB"/>
    <w:rsid w:val="00105422"/>
    <w:rsid w:val="0010607F"/>
    <w:rsid w:val="0010616D"/>
    <w:rsid w:val="001068ED"/>
    <w:rsid w:val="00110478"/>
    <w:rsid w:val="00110DAD"/>
    <w:rsid w:val="00114BD0"/>
    <w:rsid w:val="001154BD"/>
    <w:rsid w:val="0011671D"/>
    <w:rsid w:val="00116F98"/>
    <w:rsid w:val="0011711B"/>
    <w:rsid w:val="00117F8A"/>
    <w:rsid w:val="0012043B"/>
    <w:rsid w:val="00121B9B"/>
    <w:rsid w:val="00121E36"/>
    <w:rsid w:val="00122ADC"/>
    <w:rsid w:val="00127F4E"/>
    <w:rsid w:val="00130F59"/>
    <w:rsid w:val="00132800"/>
    <w:rsid w:val="00133EC0"/>
    <w:rsid w:val="0013419A"/>
    <w:rsid w:val="00134377"/>
    <w:rsid w:val="00134EA4"/>
    <w:rsid w:val="00141B4B"/>
    <w:rsid w:val="00141CE5"/>
    <w:rsid w:val="001420ED"/>
    <w:rsid w:val="00144172"/>
    <w:rsid w:val="00144908"/>
    <w:rsid w:val="001467BF"/>
    <w:rsid w:val="00147D60"/>
    <w:rsid w:val="00150933"/>
    <w:rsid w:val="00150F2C"/>
    <w:rsid w:val="00151B2B"/>
    <w:rsid w:val="001521F1"/>
    <w:rsid w:val="0015247E"/>
    <w:rsid w:val="00152B1E"/>
    <w:rsid w:val="00152D80"/>
    <w:rsid w:val="00155772"/>
    <w:rsid w:val="001558D8"/>
    <w:rsid w:val="00155FA2"/>
    <w:rsid w:val="0015643B"/>
    <w:rsid w:val="00156993"/>
    <w:rsid w:val="001570E7"/>
    <w:rsid w:val="001571C7"/>
    <w:rsid w:val="00160E40"/>
    <w:rsid w:val="00160ED8"/>
    <w:rsid w:val="00161094"/>
    <w:rsid w:val="0017118F"/>
    <w:rsid w:val="00172A55"/>
    <w:rsid w:val="001734E3"/>
    <w:rsid w:val="001737C7"/>
    <w:rsid w:val="00173A29"/>
    <w:rsid w:val="001758CD"/>
    <w:rsid w:val="0017665C"/>
    <w:rsid w:val="00177AD2"/>
    <w:rsid w:val="001811BE"/>
    <w:rsid w:val="001815A8"/>
    <w:rsid w:val="00181BD9"/>
    <w:rsid w:val="00182707"/>
    <w:rsid w:val="00184037"/>
    <w:rsid w:val="001840FA"/>
    <w:rsid w:val="001855D4"/>
    <w:rsid w:val="001861C7"/>
    <w:rsid w:val="00190079"/>
    <w:rsid w:val="001910CF"/>
    <w:rsid w:val="001916AD"/>
    <w:rsid w:val="00194216"/>
    <w:rsid w:val="0019430B"/>
    <w:rsid w:val="0019454D"/>
    <w:rsid w:val="001945D5"/>
    <w:rsid w:val="00194862"/>
    <w:rsid w:val="0019622E"/>
    <w:rsid w:val="001966A7"/>
    <w:rsid w:val="0019780D"/>
    <w:rsid w:val="0019791E"/>
    <w:rsid w:val="00197D40"/>
    <w:rsid w:val="001A0322"/>
    <w:rsid w:val="001A13CB"/>
    <w:rsid w:val="001A155F"/>
    <w:rsid w:val="001A3413"/>
    <w:rsid w:val="001A34D6"/>
    <w:rsid w:val="001A4627"/>
    <w:rsid w:val="001A4979"/>
    <w:rsid w:val="001A5B4E"/>
    <w:rsid w:val="001A70C0"/>
    <w:rsid w:val="001A7627"/>
    <w:rsid w:val="001A7F9D"/>
    <w:rsid w:val="001B009E"/>
    <w:rsid w:val="001B15D3"/>
    <w:rsid w:val="001B339E"/>
    <w:rsid w:val="001B3443"/>
    <w:rsid w:val="001B3672"/>
    <w:rsid w:val="001B3CDE"/>
    <w:rsid w:val="001B42DC"/>
    <w:rsid w:val="001B446A"/>
    <w:rsid w:val="001C01DD"/>
    <w:rsid w:val="001C0326"/>
    <w:rsid w:val="001C12F4"/>
    <w:rsid w:val="001C1545"/>
    <w:rsid w:val="001C16AD"/>
    <w:rsid w:val="001C192F"/>
    <w:rsid w:val="001C22EF"/>
    <w:rsid w:val="001C3C42"/>
    <w:rsid w:val="001C499D"/>
    <w:rsid w:val="001C4EB7"/>
    <w:rsid w:val="001C5E77"/>
    <w:rsid w:val="001C6D27"/>
    <w:rsid w:val="001C71E5"/>
    <w:rsid w:val="001D01AC"/>
    <w:rsid w:val="001D2F3D"/>
    <w:rsid w:val="001D3324"/>
    <w:rsid w:val="001D4C6B"/>
    <w:rsid w:val="001D4C7C"/>
    <w:rsid w:val="001D70B5"/>
    <w:rsid w:val="001D7869"/>
    <w:rsid w:val="001D7F27"/>
    <w:rsid w:val="001E1A9E"/>
    <w:rsid w:val="001E26A9"/>
    <w:rsid w:val="001E42D0"/>
    <w:rsid w:val="001E4381"/>
    <w:rsid w:val="001E664E"/>
    <w:rsid w:val="001E694C"/>
    <w:rsid w:val="001E78CD"/>
    <w:rsid w:val="001F1534"/>
    <w:rsid w:val="001F1A90"/>
    <w:rsid w:val="001F230A"/>
    <w:rsid w:val="001F233D"/>
    <w:rsid w:val="001F280A"/>
    <w:rsid w:val="001F28A3"/>
    <w:rsid w:val="001F2F78"/>
    <w:rsid w:val="001F323D"/>
    <w:rsid w:val="001F49AA"/>
    <w:rsid w:val="001F532D"/>
    <w:rsid w:val="001F5ECB"/>
    <w:rsid w:val="001F7E0A"/>
    <w:rsid w:val="00200BFA"/>
    <w:rsid w:val="0020163A"/>
    <w:rsid w:val="00201ECB"/>
    <w:rsid w:val="002026CD"/>
    <w:rsid w:val="002033FC"/>
    <w:rsid w:val="0020390C"/>
    <w:rsid w:val="00203AB4"/>
    <w:rsid w:val="002044BB"/>
    <w:rsid w:val="00204694"/>
    <w:rsid w:val="00204943"/>
    <w:rsid w:val="00204DB7"/>
    <w:rsid w:val="002056DC"/>
    <w:rsid w:val="00205BC6"/>
    <w:rsid w:val="00207651"/>
    <w:rsid w:val="0020785B"/>
    <w:rsid w:val="00207B49"/>
    <w:rsid w:val="002100A8"/>
    <w:rsid w:val="00210B09"/>
    <w:rsid w:val="00210C9E"/>
    <w:rsid w:val="00210E86"/>
    <w:rsid w:val="0021171C"/>
    <w:rsid w:val="00211840"/>
    <w:rsid w:val="002131C3"/>
    <w:rsid w:val="00213B91"/>
    <w:rsid w:val="00214045"/>
    <w:rsid w:val="0021423E"/>
    <w:rsid w:val="00215022"/>
    <w:rsid w:val="002200D0"/>
    <w:rsid w:val="00220502"/>
    <w:rsid w:val="00220E48"/>
    <w:rsid w:val="00220E5F"/>
    <w:rsid w:val="002212B5"/>
    <w:rsid w:val="002229E8"/>
    <w:rsid w:val="00223F49"/>
    <w:rsid w:val="002255FA"/>
    <w:rsid w:val="002265DB"/>
    <w:rsid w:val="00226668"/>
    <w:rsid w:val="00227184"/>
    <w:rsid w:val="00227512"/>
    <w:rsid w:val="00227BD3"/>
    <w:rsid w:val="00233809"/>
    <w:rsid w:val="00235424"/>
    <w:rsid w:val="00235D46"/>
    <w:rsid w:val="002364C1"/>
    <w:rsid w:val="00236696"/>
    <w:rsid w:val="00236A7B"/>
    <w:rsid w:val="002370D6"/>
    <w:rsid w:val="00240046"/>
    <w:rsid w:val="0024088B"/>
    <w:rsid w:val="00240BCE"/>
    <w:rsid w:val="002419E2"/>
    <w:rsid w:val="00242E2E"/>
    <w:rsid w:val="002432A9"/>
    <w:rsid w:val="00243444"/>
    <w:rsid w:val="00244E19"/>
    <w:rsid w:val="00244FB8"/>
    <w:rsid w:val="00245BAB"/>
    <w:rsid w:val="0024797F"/>
    <w:rsid w:val="0025023F"/>
    <w:rsid w:val="0025119E"/>
    <w:rsid w:val="00251269"/>
    <w:rsid w:val="002535C0"/>
    <w:rsid w:val="00253C59"/>
    <w:rsid w:val="00254F44"/>
    <w:rsid w:val="00256946"/>
    <w:rsid w:val="00256E19"/>
    <w:rsid w:val="00256F08"/>
    <w:rsid w:val="00257356"/>
    <w:rsid w:val="002579FE"/>
    <w:rsid w:val="002601FE"/>
    <w:rsid w:val="0026067E"/>
    <w:rsid w:val="00261182"/>
    <w:rsid w:val="00261D4C"/>
    <w:rsid w:val="0026232A"/>
    <w:rsid w:val="002627B2"/>
    <w:rsid w:val="0026311C"/>
    <w:rsid w:val="00263170"/>
    <w:rsid w:val="00264838"/>
    <w:rsid w:val="00265D11"/>
    <w:rsid w:val="0026668C"/>
    <w:rsid w:val="00266AC1"/>
    <w:rsid w:val="00267E39"/>
    <w:rsid w:val="0027178C"/>
    <w:rsid w:val="002719FA"/>
    <w:rsid w:val="00272668"/>
    <w:rsid w:val="00272A19"/>
    <w:rsid w:val="0027330B"/>
    <w:rsid w:val="00273CC2"/>
    <w:rsid w:val="00273DAE"/>
    <w:rsid w:val="00274563"/>
    <w:rsid w:val="002747E6"/>
    <w:rsid w:val="00274C99"/>
    <w:rsid w:val="00274DF8"/>
    <w:rsid w:val="0027522B"/>
    <w:rsid w:val="002754CE"/>
    <w:rsid w:val="00277DF8"/>
    <w:rsid w:val="00280045"/>
    <w:rsid w:val="002800A5"/>
    <w:rsid w:val="002803AD"/>
    <w:rsid w:val="00281D57"/>
    <w:rsid w:val="00282052"/>
    <w:rsid w:val="002835D6"/>
    <w:rsid w:val="0028466E"/>
    <w:rsid w:val="0028519E"/>
    <w:rsid w:val="002856A5"/>
    <w:rsid w:val="00286D68"/>
    <w:rsid w:val="00286FA1"/>
    <w:rsid w:val="002872ED"/>
    <w:rsid w:val="00290506"/>
    <w:rsid w:val="002905C2"/>
    <w:rsid w:val="002914C9"/>
    <w:rsid w:val="0029389A"/>
    <w:rsid w:val="00293F01"/>
    <w:rsid w:val="0029429D"/>
    <w:rsid w:val="0029429F"/>
    <w:rsid w:val="00294C37"/>
    <w:rsid w:val="00294FC4"/>
    <w:rsid w:val="00295AF2"/>
    <w:rsid w:val="00295C91"/>
    <w:rsid w:val="0029613D"/>
    <w:rsid w:val="002965C0"/>
    <w:rsid w:val="002970CB"/>
    <w:rsid w:val="00297151"/>
    <w:rsid w:val="00297856"/>
    <w:rsid w:val="00297975"/>
    <w:rsid w:val="00297B2B"/>
    <w:rsid w:val="002A06F2"/>
    <w:rsid w:val="002A112A"/>
    <w:rsid w:val="002A7AA7"/>
    <w:rsid w:val="002B0034"/>
    <w:rsid w:val="002B0043"/>
    <w:rsid w:val="002B0E8B"/>
    <w:rsid w:val="002B1C83"/>
    <w:rsid w:val="002B20E6"/>
    <w:rsid w:val="002B241B"/>
    <w:rsid w:val="002B42A3"/>
    <w:rsid w:val="002B4F94"/>
    <w:rsid w:val="002B548E"/>
    <w:rsid w:val="002B5FDA"/>
    <w:rsid w:val="002B6BB5"/>
    <w:rsid w:val="002B7D04"/>
    <w:rsid w:val="002C0CDD"/>
    <w:rsid w:val="002C2AC0"/>
    <w:rsid w:val="002C3005"/>
    <w:rsid w:val="002C6735"/>
    <w:rsid w:val="002C7031"/>
    <w:rsid w:val="002C728A"/>
    <w:rsid w:val="002D1382"/>
    <w:rsid w:val="002D1A9E"/>
    <w:rsid w:val="002D33B8"/>
    <w:rsid w:val="002D435F"/>
    <w:rsid w:val="002D4A52"/>
    <w:rsid w:val="002D503E"/>
    <w:rsid w:val="002D5548"/>
    <w:rsid w:val="002D607D"/>
    <w:rsid w:val="002D7AF3"/>
    <w:rsid w:val="002D7D7D"/>
    <w:rsid w:val="002E1A1D"/>
    <w:rsid w:val="002E36B0"/>
    <w:rsid w:val="002E38CB"/>
    <w:rsid w:val="002E4081"/>
    <w:rsid w:val="002E4161"/>
    <w:rsid w:val="002E500D"/>
    <w:rsid w:val="002E5B78"/>
    <w:rsid w:val="002E6427"/>
    <w:rsid w:val="002E6881"/>
    <w:rsid w:val="002E7B24"/>
    <w:rsid w:val="002F1CEB"/>
    <w:rsid w:val="002F3AE3"/>
    <w:rsid w:val="002F4A1B"/>
    <w:rsid w:val="002F50A1"/>
    <w:rsid w:val="002F51E8"/>
    <w:rsid w:val="002F60A6"/>
    <w:rsid w:val="002F62C3"/>
    <w:rsid w:val="002F6F62"/>
    <w:rsid w:val="002F7397"/>
    <w:rsid w:val="002F77B9"/>
    <w:rsid w:val="002F78FF"/>
    <w:rsid w:val="003005C0"/>
    <w:rsid w:val="0030258A"/>
    <w:rsid w:val="00302B3E"/>
    <w:rsid w:val="00302F88"/>
    <w:rsid w:val="003033DE"/>
    <w:rsid w:val="0030350A"/>
    <w:rsid w:val="0030464B"/>
    <w:rsid w:val="0030476B"/>
    <w:rsid w:val="0030704A"/>
    <w:rsid w:val="0030747B"/>
    <w:rsid w:val="0030786C"/>
    <w:rsid w:val="00311AEC"/>
    <w:rsid w:val="00311B14"/>
    <w:rsid w:val="003123A5"/>
    <w:rsid w:val="00312C9E"/>
    <w:rsid w:val="003138C5"/>
    <w:rsid w:val="0031520F"/>
    <w:rsid w:val="00315276"/>
    <w:rsid w:val="00316741"/>
    <w:rsid w:val="00316F50"/>
    <w:rsid w:val="00320355"/>
    <w:rsid w:val="00320B31"/>
    <w:rsid w:val="003218F2"/>
    <w:rsid w:val="003223F1"/>
    <w:rsid w:val="00322B59"/>
    <w:rsid w:val="003233DE"/>
    <w:rsid w:val="003236EF"/>
    <w:rsid w:val="00323F70"/>
    <w:rsid w:val="0032466B"/>
    <w:rsid w:val="003251E5"/>
    <w:rsid w:val="00325230"/>
    <w:rsid w:val="00325AA0"/>
    <w:rsid w:val="00325B2C"/>
    <w:rsid w:val="003268AC"/>
    <w:rsid w:val="00327B44"/>
    <w:rsid w:val="00330425"/>
    <w:rsid w:val="00332372"/>
    <w:rsid w:val="003323C0"/>
    <w:rsid w:val="003330EB"/>
    <w:rsid w:val="00333356"/>
    <w:rsid w:val="003354CE"/>
    <w:rsid w:val="00335D89"/>
    <w:rsid w:val="003362BE"/>
    <w:rsid w:val="003364FB"/>
    <w:rsid w:val="00336605"/>
    <w:rsid w:val="003370DE"/>
    <w:rsid w:val="00337129"/>
    <w:rsid w:val="00340A16"/>
    <w:rsid w:val="003415FD"/>
    <w:rsid w:val="00341C84"/>
    <w:rsid w:val="003420F2"/>
    <w:rsid w:val="003429F0"/>
    <w:rsid w:val="00343303"/>
    <w:rsid w:val="003469D3"/>
    <w:rsid w:val="00347A15"/>
    <w:rsid w:val="00347E0C"/>
    <w:rsid w:val="003500A5"/>
    <w:rsid w:val="00350712"/>
    <w:rsid w:val="0035097A"/>
    <w:rsid w:val="003516BC"/>
    <w:rsid w:val="00352F37"/>
    <w:rsid w:val="00353613"/>
    <w:rsid w:val="003540A4"/>
    <w:rsid w:val="0035624F"/>
    <w:rsid w:val="00357B44"/>
    <w:rsid w:val="00360E4E"/>
    <w:rsid w:val="003618C9"/>
    <w:rsid w:val="003621D8"/>
    <w:rsid w:val="003622E6"/>
    <w:rsid w:val="003651D7"/>
    <w:rsid w:val="003654BE"/>
    <w:rsid w:val="00370AAA"/>
    <w:rsid w:val="00371887"/>
    <w:rsid w:val="00372096"/>
    <w:rsid w:val="0037493A"/>
    <w:rsid w:val="003754CD"/>
    <w:rsid w:val="00375F77"/>
    <w:rsid w:val="00377A78"/>
    <w:rsid w:val="00377B51"/>
    <w:rsid w:val="00380405"/>
    <w:rsid w:val="003808C4"/>
    <w:rsid w:val="00380B87"/>
    <w:rsid w:val="0038109F"/>
    <w:rsid w:val="00381BBE"/>
    <w:rsid w:val="00381D59"/>
    <w:rsid w:val="00382478"/>
    <w:rsid w:val="00382903"/>
    <w:rsid w:val="00383BE4"/>
    <w:rsid w:val="003846FF"/>
    <w:rsid w:val="0038543B"/>
    <w:rsid w:val="00385AD4"/>
    <w:rsid w:val="003872A3"/>
    <w:rsid w:val="00387924"/>
    <w:rsid w:val="00387E07"/>
    <w:rsid w:val="00391D17"/>
    <w:rsid w:val="00392F8D"/>
    <w:rsid w:val="0039384D"/>
    <w:rsid w:val="0039413F"/>
    <w:rsid w:val="00394299"/>
    <w:rsid w:val="0039555C"/>
    <w:rsid w:val="00395C23"/>
    <w:rsid w:val="00396164"/>
    <w:rsid w:val="003A02EC"/>
    <w:rsid w:val="003A0F23"/>
    <w:rsid w:val="003A11D2"/>
    <w:rsid w:val="003A2E4F"/>
    <w:rsid w:val="003A38F4"/>
    <w:rsid w:val="003A4438"/>
    <w:rsid w:val="003A5013"/>
    <w:rsid w:val="003A5078"/>
    <w:rsid w:val="003A62DD"/>
    <w:rsid w:val="003A6370"/>
    <w:rsid w:val="003A702E"/>
    <w:rsid w:val="003A775A"/>
    <w:rsid w:val="003B0DAB"/>
    <w:rsid w:val="003B1059"/>
    <w:rsid w:val="003B213A"/>
    <w:rsid w:val="003B43AD"/>
    <w:rsid w:val="003B5216"/>
    <w:rsid w:val="003B6175"/>
    <w:rsid w:val="003B6983"/>
    <w:rsid w:val="003C0FEC"/>
    <w:rsid w:val="003C15B8"/>
    <w:rsid w:val="003C1E32"/>
    <w:rsid w:val="003C1FA9"/>
    <w:rsid w:val="003C2AC8"/>
    <w:rsid w:val="003C33B2"/>
    <w:rsid w:val="003C3DAA"/>
    <w:rsid w:val="003C47E6"/>
    <w:rsid w:val="003C4CE6"/>
    <w:rsid w:val="003C725E"/>
    <w:rsid w:val="003C7FBF"/>
    <w:rsid w:val="003D0D67"/>
    <w:rsid w:val="003D0EF0"/>
    <w:rsid w:val="003D17F9"/>
    <w:rsid w:val="003D1CE6"/>
    <w:rsid w:val="003D2354"/>
    <w:rsid w:val="003D2D88"/>
    <w:rsid w:val="003D3281"/>
    <w:rsid w:val="003D41EA"/>
    <w:rsid w:val="003D4850"/>
    <w:rsid w:val="003D535A"/>
    <w:rsid w:val="003D548D"/>
    <w:rsid w:val="003D55A4"/>
    <w:rsid w:val="003E1505"/>
    <w:rsid w:val="003E30F7"/>
    <w:rsid w:val="003E3143"/>
    <w:rsid w:val="003E3989"/>
    <w:rsid w:val="003E3D03"/>
    <w:rsid w:val="003E437A"/>
    <w:rsid w:val="003E452C"/>
    <w:rsid w:val="003E5265"/>
    <w:rsid w:val="003E6384"/>
    <w:rsid w:val="003E6525"/>
    <w:rsid w:val="003E7754"/>
    <w:rsid w:val="003E78B1"/>
    <w:rsid w:val="003F0955"/>
    <w:rsid w:val="003F1834"/>
    <w:rsid w:val="003F2A49"/>
    <w:rsid w:val="003F5065"/>
    <w:rsid w:val="003F5649"/>
    <w:rsid w:val="003F6F7C"/>
    <w:rsid w:val="003F6FE1"/>
    <w:rsid w:val="004008BE"/>
    <w:rsid w:val="00400E04"/>
    <w:rsid w:val="00400F00"/>
    <w:rsid w:val="00401048"/>
    <w:rsid w:val="00401246"/>
    <w:rsid w:val="0040204B"/>
    <w:rsid w:val="004025C9"/>
    <w:rsid w:val="00403895"/>
    <w:rsid w:val="00404821"/>
    <w:rsid w:val="00404F8B"/>
    <w:rsid w:val="00405256"/>
    <w:rsid w:val="00406FE5"/>
    <w:rsid w:val="004075DD"/>
    <w:rsid w:val="00410031"/>
    <w:rsid w:val="00410AD2"/>
    <w:rsid w:val="004115A2"/>
    <w:rsid w:val="00412278"/>
    <w:rsid w:val="00414C88"/>
    <w:rsid w:val="00414CBC"/>
    <w:rsid w:val="00415C81"/>
    <w:rsid w:val="004161B8"/>
    <w:rsid w:val="0041645B"/>
    <w:rsid w:val="00416731"/>
    <w:rsid w:val="00419960"/>
    <w:rsid w:val="00421ED7"/>
    <w:rsid w:val="00425D87"/>
    <w:rsid w:val="00427B87"/>
    <w:rsid w:val="004301E5"/>
    <w:rsid w:val="004302D4"/>
    <w:rsid w:val="004312F9"/>
    <w:rsid w:val="00432378"/>
    <w:rsid w:val="00433CD0"/>
    <w:rsid w:val="00433F50"/>
    <w:rsid w:val="004345A7"/>
    <w:rsid w:val="00435BDA"/>
    <w:rsid w:val="00436261"/>
    <w:rsid w:val="00437511"/>
    <w:rsid w:val="004405AC"/>
    <w:rsid w:val="00440D65"/>
    <w:rsid w:val="004435E6"/>
    <w:rsid w:val="00445F5B"/>
    <w:rsid w:val="00446D6E"/>
    <w:rsid w:val="00447E31"/>
    <w:rsid w:val="0045070C"/>
    <w:rsid w:val="00451603"/>
    <w:rsid w:val="0045170B"/>
    <w:rsid w:val="00452577"/>
    <w:rsid w:val="004528D6"/>
    <w:rsid w:val="00453923"/>
    <w:rsid w:val="0045433E"/>
    <w:rsid w:val="004548BB"/>
    <w:rsid w:val="00454B9B"/>
    <w:rsid w:val="00455D5A"/>
    <w:rsid w:val="00456366"/>
    <w:rsid w:val="004564B9"/>
    <w:rsid w:val="00456B7B"/>
    <w:rsid w:val="00456E2C"/>
    <w:rsid w:val="00457858"/>
    <w:rsid w:val="00460B0B"/>
    <w:rsid w:val="00461023"/>
    <w:rsid w:val="0046291B"/>
    <w:rsid w:val="00462FAC"/>
    <w:rsid w:val="00464631"/>
    <w:rsid w:val="00464B79"/>
    <w:rsid w:val="004663F2"/>
    <w:rsid w:val="00466C36"/>
    <w:rsid w:val="00467AEF"/>
    <w:rsid w:val="00467BBF"/>
    <w:rsid w:val="00470F70"/>
    <w:rsid w:val="0047113D"/>
    <w:rsid w:val="00473105"/>
    <w:rsid w:val="004734F8"/>
    <w:rsid w:val="004738CE"/>
    <w:rsid w:val="00473B78"/>
    <w:rsid w:val="004743C4"/>
    <w:rsid w:val="0047782D"/>
    <w:rsid w:val="0048068F"/>
    <w:rsid w:val="00483ECE"/>
    <w:rsid w:val="00483F8E"/>
    <w:rsid w:val="004856BB"/>
    <w:rsid w:val="004867E2"/>
    <w:rsid w:val="00487460"/>
    <w:rsid w:val="00487D61"/>
    <w:rsid w:val="004903C1"/>
    <w:rsid w:val="00490541"/>
    <w:rsid w:val="00491E75"/>
    <w:rsid w:val="004923FF"/>
    <w:rsid w:val="004929A9"/>
    <w:rsid w:val="0049320A"/>
    <w:rsid w:val="00493C97"/>
    <w:rsid w:val="00494C99"/>
    <w:rsid w:val="004970C0"/>
    <w:rsid w:val="004A0A40"/>
    <w:rsid w:val="004A120F"/>
    <w:rsid w:val="004A1613"/>
    <w:rsid w:val="004A1F14"/>
    <w:rsid w:val="004A2EBB"/>
    <w:rsid w:val="004A3C2C"/>
    <w:rsid w:val="004A56CA"/>
    <w:rsid w:val="004A633E"/>
    <w:rsid w:val="004A6EE1"/>
    <w:rsid w:val="004B0AA6"/>
    <w:rsid w:val="004B10DC"/>
    <w:rsid w:val="004B34EE"/>
    <w:rsid w:val="004B4180"/>
    <w:rsid w:val="004B4E30"/>
    <w:rsid w:val="004B55BA"/>
    <w:rsid w:val="004B55DE"/>
    <w:rsid w:val="004B76BD"/>
    <w:rsid w:val="004C020C"/>
    <w:rsid w:val="004C1C1C"/>
    <w:rsid w:val="004C2556"/>
    <w:rsid w:val="004C2FEC"/>
    <w:rsid w:val="004C3473"/>
    <w:rsid w:val="004C38BD"/>
    <w:rsid w:val="004C4303"/>
    <w:rsid w:val="004C439D"/>
    <w:rsid w:val="004C5FCB"/>
    <w:rsid w:val="004C6BCF"/>
    <w:rsid w:val="004C7179"/>
    <w:rsid w:val="004C7513"/>
    <w:rsid w:val="004C76C5"/>
    <w:rsid w:val="004D1502"/>
    <w:rsid w:val="004D1654"/>
    <w:rsid w:val="004D20BB"/>
    <w:rsid w:val="004D2DE4"/>
    <w:rsid w:val="004D2EC8"/>
    <w:rsid w:val="004D48CC"/>
    <w:rsid w:val="004D4B37"/>
    <w:rsid w:val="004D5549"/>
    <w:rsid w:val="004D58BF"/>
    <w:rsid w:val="004D6110"/>
    <w:rsid w:val="004D784D"/>
    <w:rsid w:val="004E0091"/>
    <w:rsid w:val="004E0FAE"/>
    <w:rsid w:val="004E2D37"/>
    <w:rsid w:val="004E3973"/>
    <w:rsid w:val="004E4267"/>
    <w:rsid w:val="004E4335"/>
    <w:rsid w:val="004E5ACF"/>
    <w:rsid w:val="004E6035"/>
    <w:rsid w:val="004F043F"/>
    <w:rsid w:val="004F13EE"/>
    <w:rsid w:val="004F2022"/>
    <w:rsid w:val="004F2BD5"/>
    <w:rsid w:val="004F641C"/>
    <w:rsid w:val="004F731F"/>
    <w:rsid w:val="004F7C05"/>
    <w:rsid w:val="00501C94"/>
    <w:rsid w:val="00503F98"/>
    <w:rsid w:val="0050462C"/>
    <w:rsid w:val="00504D0B"/>
    <w:rsid w:val="00505403"/>
    <w:rsid w:val="00506432"/>
    <w:rsid w:val="00510425"/>
    <w:rsid w:val="0051242B"/>
    <w:rsid w:val="00513571"/>
    <w:rsid w:val="005139CD"/>
    <w:rsid w:val="00514233"/>
    <w:rsid w:val="005144FB"/>
    <w:rsid w:val="00517D2C"/>
    <w:rsid w:val="0052051D"/>
    <w:rsid w:val="00520DDA"/>
    <w:rsid w:val="00520EF3"/>
    <w:rsid w:val="00521EF4"/>
    <w:rsid w:val="00522FE0"/>
    <w:rsid w:val="00523C5A"/>
    <w:rsid w:val="00525253"/>
    <w:rsid w:val="00525990"/>
    <w:rsid w:val="00526375"/>
    <w:rsid w:val="005279B9"/>
    <w:rsid w:val="00530818"/>
    <w:rsid w:val="00533C1E"/>
    <w:rsid w:val="00533CA4"/>
    <w:rsid w:val="00533CB5"/>
    <w:rsid w:val="0053605D"/>
    <w:rsid w:val="00536446"/>
    <w:rsid w:val="00536F6E"/>
    <w:rsid w:val="00536F88"/>
    <w:rsid w:val="005371D1"/>
    <w:rsid w:val="005403D8"/>
    <w:rsid w:val="00540F53"/>
    <w:rsid w:val="00541157"/>
    <w:rsid w:val="0054157D"/>
    <w:rsid w:val="005428EB"/>
    <w:rsid w:val="0054293E"/>
    <w:rsid w:val="0054302E"/>
    <w:rsid w:val="00543503"/>
    <w:rsid w:val="00544319"/>
    <w:rsid w:val="00545EE6"/>
    <w:rsid w:val="0054677C"/>
    <w:rsid w:val="005474CC"/>
    <w:rsid w:val="00550A72"/>
    <w:rsid w:val="00550C1A"/>
    <w:rsid w:val="0055476A"/>
    <w:rsid w:val="00554911"/>
    <w:rsid w:val="005550E7"/>
    <w:rsid w:val="005561DD"/>
    <w:rsid w:val="005564FB"/>
    <w:rsid w:val="0055670D"/>
    <w:rsid w:val="00556953"/>
    <w:rsid w:val="00556E8E"/>
    <w:rsid w:val="005572C7"/>
    <w:rsid w:val="0056184F"/>
    <w:rsid w:val="0056302D"/>
    <w:rsid w:val="00563674"/>
    <w:rsid w:val="005650ED"/>
    <w:rsid w:val="005651F0"/>
    <w:rsid w:val="00565AF6"/>
    <w:rsid w:val="00565DCD"/>
    <w:rsid w:val="005662F2"/>
    <w:rsid w:val="005665CA"/>
    <w:rsid w:val="00566822"/>
    <w:rsid w:val="00566B07"/>
    <w:rsid w:val="0056704D"/>
    <w:rsid w:val="005709E7"/>
    <w:rsid w:val="00571557"/>
    <w:rsid w:val="00571B73"/>
    <w:rsid w:val="00571FBA"/>
    <w:rsid w:val="00574A99"/>
    <w:rsid w:val="00574D0F"/>
    <w:rsid w:val="00575552"/>
    <w:rsid w:val="00575754"/>
    <w:rsid w:val="00576E4E"/>
    <w:rsid w:val="00577D52"/>
    <w:rsid w:val="0058065C"/>
    <w:rsid w:val="00580AC3"/>
    <w:rsid w:val="0058157D"/>
    <w:rsid w:val="00582B96"/>
    <w:rsid w:val="005840F2"/>
    <w:rsid w:val="00584319"/>
    <w:rsid w:val="005848A0"/>
    <w:rsid w:val="00584AE1"/>
    <w:rsid w:val="00585104"/>
    <w:rsid w:val="00586431"/>
    <w:rsid w:val="0059102A"/>
    <w:rsid w:val="00591E20"/>
    <w:rsid w:val="005926CB"/>
    <w:rsid w:val="005928E2"/>
    <w:rsid w:val="0059293D"/>
    <w:rsid w:val="005930AB"/>
    <w:rsid w:val="00593E1A"/>
    <w:rsid w:val="005947F3"/>
    <w:rsid w:val="00595408"/>
    <w:rsid w:val="005955CF"/>
    <w:rsid w:val="00595DDA"/>
    <w:rsid w:val="00595E84"/>
    <w:rsid w:val="00596132"/>
    <w:rsid w:val="005A01B9"/>
    <w:rsid w:val="005A0C59"/>
    <w:rsid w:val="005A3001"/>
    <w:rsid w:val="005A3835"/>
    <w:rsid w:val="005A3BE2"/>
    <w:rsid w:val="005A48EB"/>
    <w:rsid w:val="005A553B"/>
    <w:rsid w:val="005A62A4"/>
    <w:rsid w:val="005A6CFB"/>
    <w:rsid w:val="005A701E"/>
    <w:rsid w:val="005A73CF"/>
    <w:rsid w:val="005A749C"/>
    <w:rsid w:val="005B0C1D"/>
    <w:rsid w:val="005B1304"/>
    <w:rsid w:val="005B276F"/>
    <w:rsid w:val="005B39EB"/>
    <w:rsid w:val="005B4201"/>
    <w:rsid w:val="005B50BA"/>
    <w:rsid w:val="005C0D28"/>
    <w:rsid w:val="005C2A3E"/>
    <w:rsid w:val="005C2D00"/>
    <w:rsid w:val="005C38A7"/>
    <w:rsid w:val="005C4E86"/>
    <w:rsid w:val="005C5AEB"/>
    <w:rsid w:val="005C5E9B"/>
    <w:rsid w:val="005C5FEB"/>
    <w:rsid w:val="005C6BB4"/>
    <w:rsid w:val="005C71A6"/>
    <w:rsid w:val="005D005F"/>
    <w:rsid w:val="005D0B21"/>
    <w:rsid w:val="005D0D4C"/>
    <w:rsid w:val="005D1EE6"/>
    <w:rsid w:val="005D5156"/>
    <w:rsid w:val="005D5698"/>
    <w:rsid w:val="005D7E6C"/>
    <w:rsid w:val="005E0355"/>
    <w:rsid w:val="005E0A3F"/>
    <w:rsid w:val="005E0C06"/>
    <w:rsid w:val="005E2610"/>
    <w:rsid w:val="005E2C82"/>
    <w:rsid w:val="005E3756"/>
    <w:rsid w:val="005E39BD"/>
    <w:rsid w:val="005E4754"/>
    <w:rsid w:val="005E4D9E"/>
    <w:rsid w:val="005E517A"/>
    <w:rsid w:val="005E6883"/>
    <w:rsid w:val="005E6FA7"/>
    <w:rsid w:val="005E7251"/>
    <w:rsid w:val="005E772F"/>
    <w:rsid w:val="005E789E"/>
    <w:rsid w:val="005E7D1E"/>
    <w:rsid w:val="005E7EB5"/>
    <w:rsid w:val="005F199E"/>
    <w:rsid w:val="005F2707"/>
    <w:rsid w:val="005F4ECA"/>
    <w:rsid w:val="005F5FBF"/>
    <w:rsid w:val="00600858"/>
    <w:rsid w:val="006012AF"/>
    <w:rsid w:val="006041BE"/>
    <w:rsid w:val="006043C7"/>
    <w:rsid w:val="0060447B"/>
    <w:rsid w:val="0060559C"/>
    <w:rsid w:val="006068C6"/>
    <w:rsid w:val="00606AF4"/>
    <w:rsid w:val="00607165"/>
    <w:rsid w:val="00610520"/>
    <w:rsid w:val="00615206"/>
    <w:rsid w:val="006159C8"/>
    <w:rsid w:val="00615AD1"/>
    <w:rsid w:val="006171DD"/>
    <w:rsid w:val="00620B3C"/>
    <w:rsid w:val="00621BF0"/>
    <w:rsid w:val="0062250D"/>
    <w:rsid w:val="00622895"/>
    <w:rsid w:val="00622B3F"/>
    <w:rsid w:val="00623340"/>
    <w:rsid w:val="00624B52"/>
    <w:rsid w:val="006258DE"/>
    <w:rsid w:val="006268D5"/>
    <w:rsid w:val="0062796C"/>
    <w:rsid w:val="00631DF4"/>
    <w:rsid w:val="00632BF9"/>
    <w:rsid w:val="00634175"/>
    <w:rsid w:val="00634BC4"/>
    <w:rsid w:val="00634D29"/>
    <w:rsid w:val="00635462"/>
    <w:rsid w:val="00635753"/>
    <w:rsid w:val="0063602B"/>
    <w:rsid w:val="006408AC"/>
    <w:rsid w:val="00640F7A"/>
    <w:rsid w:val="00642156"/>
    <w:rsid w:val="006421F9"/>
    <w:rsid w:val="0064256F"/>
    <w:rsid w:val="00642F8C"/>
    <w:rsid w:val="006445D5"/>
    <w:rsid w:val="0064471F"/>
    <w:rsid w:val="006457A9"/>
    <w:rsid w:val="00646FC9"/>
    <w:rsid w:val="006502C3"/>
    <w:rsid w:val="00650ED6"/>
    <w:rsid w:val="006511B6"/>
    <w:rsid w:val="00651A61"/>
    <w:rsid w:val="00652742"/>
    <w:rsid w:val="0065406B"/>
    <w:rsid w:val="00655AA5"/>
    <w:rsid w:val="00657FF8"/>
    <w:rsid w:val="006604A2"/>
    <w:rsid w:val="006620A4"/>
    <w:rsid w:val="006626C6"/>
    <w:rsid w:val="00663323"/>
    <w:rsid w:val="00663FB0"/>
    <w:rsid w:val="0066465F"/>
    <w:rsid w:val="006649D5"/>
    <w:rsid w:val="00670D99"/>
    <w:rsid w:val="00670DFC"/>
    <w:rsid w:val="00670E2B"/>
    <w:rsid w:val="00672882"/>
    <w:rsid w:val="00672B29"/>
    <w:rsid w:val="006732FE"/>
    <w:rsid w:val="006734BB"/>
    <w:rsid w:val="00674148"/>
    <w:rsid w:val="00674330"/>
    <w:rsid w:val="00674EA6"/>
    <w:rsid w:val="00674F23"/>
    <w:rsid w:val="0067535C"/>
    <w:rsid w:val="00676016"/>
    <w:rsid w:val="0067678B"/>
    <w:rsid w:val="006773AB"/>
    <w:rsid w:val="00677E5C"/>
    <w:rsid w:val="00677F80"/>
    <w:rsid w:val="00681A34"/>
    <w:rsid w:val="00681B2A"/>
    <w:rsid w:val="006821EB"/>
    <w:rsid w:val="006822BA"/>
    <w:rsid w:val="00684280"/>
    <w:rsid w:val="00684F09"/>
    <w:rsid w:val="006851B5"/>
    <w:rsid w:val="00685D59"/>
    <w:rsid w:val="00686918"/>
    <w:rsid w:val="0068769D"/>
    <w:rsid w:val="006903C6"/>
    <w:rsid w:val="006905CB"/>
    <w:rsid w:val="0069161A"/>
    <w:rsid w:val="00692105"/>
    <w:rsid w:val="00692ED9"/>
    <w:rsid w:val="006938A8"/>
    <w:rsid w:val="00695341"/>
    <w:rsid w:val="0069557D"/>
    <w:rsid w:val="00696B3B"/>
    <w:rsid w:val="00696E5D"/>
    <w:rsid w:val="006A1AC8"/>
    <w:rsid w:val="006A305F"/>
    <w:rsid w:val="006A3AF9"/>
    <w:rsid w:val="006A3EC0"/>
    <w:rsid w:val="006A4299"/>
    <w:rsid w:val="006A4E19"/>
    <w:rsid w:val="006A5792"/>
    <w:rsid w:val="006A6E91"/>
    <w:rsid w:val="006A74BB"/>
    <w:rsid w:val="006A7EC0"/>
    <w:rsid w:val="006B03CB"/>
    <w:rsid w:val="006B11DB"/>
    <w:rsid w:val="006B1984"/>
    <w:rsid w:val="006B1C4E"/>
    <w:rsid w:val="006B206D"/>
    <w:rsid w:val="006B2286"/>
    <w:rsid w:val="006B2C15"/>
    <w:rsid w:val="006B3585"/>
    <w:rsid w:val="006B4CA0"/>
    <w:rsid w:val="006B4CB5"/>
    <w:rsid w:val="006B56BB"/>
    <w:rsid w:val="006B61BD"/>
    <w:rsid w:val="006B6BE5"/>
    <w:rsid w:val="006C01AA"/>
    <w:rsid w:val="006C075E"/>
    <w:rsid w:val="006C0F82"/>
    <w:rsid w:val="006C153E"/>
    <w:rsid w:val="006C2A21"/>
    <w:rsid w:val="006C33F0"/>
    <w:rsid w:val="006C49F9"/>
    <w:rsid w:val="006C628C"/>
    <w:rsid w:val="006C769B"/>
    <w:rsid w:val="006C77A8"/>
    <w:rsid w:val="006C79C4"/>
    <w:rsid w:val="006D02AF"/>
    <w:rsid w:val="006D0EC1"/>
    <w:rsid w:val="006D1C06"/>
    <w:rsid w:val="006D20FF"/>
    <w:rsid w:val="006D3287"/>
    <w:rsid w:val="006D4098"/>
    <w:rsid w:val="006D414F"/>
    <w:rsid w:val="006D44C9"/>
    <w:rsid w:val="006D510F"/>
    <w:rsid w:val="006D7681"/>
    <w:rsid w:val="006D7B2E"/>
    <w:rsid w:val="006E0035"/>
    <w:rsid w:val="006E02EA"/>
    <w:rsid w:val="006E0968"/>
    <w:rsid w:val="006E1C68"/>
    <w:rsid w:val="006E1ECE"/>
    <w:rsid w:val="006E20D6"/>
    <w:rsid w:val="006E2AF6"/>
    <w:rsid w:val="006E41B3"/>
    <w:rsid w:val="006E50EF"/>
    <w:rsid w:val="006E5CDF"/>
    <w:rsid w:val="006E5D49"/>
    <w:rsid w:val="006E5DCF"/>
    <w:rsid w:val="006E7537"/>
    <w:rsid w:val="006F169B"/>
    <w:rsid w:val="006F1F52"/>
    <w:rsid w:val="006F203A"/>
    <w:rsid w:val="006F266D"/>
    <w:rsid w:val="006F3118"/>
    <w:rsid w:val="006F3231"/>
    <w:rsid w:val="006F34F9"/>
    <w:rsid w:val="006F3565"/>
    <w:rsid w:val="006F3FF0"/>
    <w:rsid w:val="006F704C"/>
    <w:rsid w:val="006F786D"/>
    <w:rsid w:val="006F791A"/>
    <w:rsid w:val="007000B4"/>
    <w:rsid w:val="00701275"/>
    <w:rsid w:val="00701E44"/>
    <w:rsid w:val="00702FAE"/>
    <w:rsid w:val="00703575"/>
    <w:rsid w:val="00703746"/>
    <w:rsid w:val="00703F13"/>
    <w:rsid w:val="00704FD9"/>
    <w:rsid w:val="00707349"/>
    <w:rsid w:val="00707F56"/>
    <w:rsid w:val="0071021F"/>
    <w:rsid w:val="0071238B"/>
    <w:rsid w:val="00713558"/>
    <w:rsid w:val="007158A1"/>
    <w:rsid w:val="00720113"/>
    <w:rsid w:val="00720D08"/>
    <w:rsid w:val="007212D8"/>
    <w:rsid w:val="00723EDB"/>
    <w:rsid w:val="0072540D"/>
    <w:rsid w:val="00725B8C"/>
    <w:rsid w:val="007263B9"/>
    <w:rsid w:val="007267CA"/>
    <w:rsid w:val="00726D9E"/>
    <w:rsid w:val="007272FE"/>
    <w:rsid w:val="007274FC"/>
    <w:rsid w:val="007275F6"/>
    <w:rsid w:val="00727F3B"/>
    <w:rsid w:val="007301CD"/>
    <w:rsid w:val="007308FC"/>
    <w:rsid w:val="00731F97"/>
    <w:rsid w:val="007327F5"/>
    <w:rsid w:val="007328B3"/>
    <w:rsid w:val="0073301E"/>
    <w:rsid w:val="007334F8"/>
    <w:rsid w:val="007339CD"/>
    <w:rsid w:val="00734E71"/>
    <w:rsid w:val="0073512B"/>
    <w:rsid w:val="0073566B"/>
    <w:rsid w:val="007359D8"/>
    <w:rsid w:val="007362D4"/>
    <w:rsid w:val="0073709B"/>
    <w:rsid w:val="007373DC"/>
    <w:rsid w:val="00737B24"/>
    <w:rsid w:val="00737B43"/>
    <w:rsid w:val="007440D8"/>
    <w:rsid w:val="00744314"/>
    <w:rsid w:val="0074474C"/>
    <w:rsid w:val="00744986"/>
    <w:rsid w:val="00744D74"/>
    <w:rsid w:val="007457BB"/>
    <w:rsid w:val="00746F71"/>
    <w:rsid w:val="007475B0"/>
    <w:rsid w:val="00751A23"/>
    <w:rsid w:val="00751C0C"/>
    <w:rsid w:val="007525B9"/>
    <w:rsid w:val="0075289E"/>
    <w:rsid w:val="00753267"/>
    <w:rsid w:val="00753881"/>
    <w:rsid w:val="0075495B"/>
    <w:rsid w:val="00755C52"/>
    <w:rsid w:val="00755E70"/>
    <w:rsid w:val="00756F5B"/>
    <w:rsid w:val="00757AF9"/>
    <w:rsid w:val="00757F8D"/>
    <w:rsid w:val="007607B4"/>
    <w:rsid w:val="00760C17"/>
    <w:rsid w:val="00760CAA"/>
    <w:rsid w:val="00760DD0"/>
    <w:rsid w:val="00762315"/>
    <w:rsid w:val="00762679"/>
    <w:rsid w:val="00763460"/>
    <w:rsid w:val="00763CB3"/>
    <w:rsid w:val="00763CC2"/>
    <w:rsid w:val="0076672A"/>
    <w:rsid w:val="0076682E"/>
    <w:rsid w:val="00767543"/>
    <w:rsid w:val="0077039A"/>
    <w:rsid w:val="00772CA2"/>
    <w:rsid w:val="00772F6A"/>
    <w:rsid w:val="00773787"/>
    <w:rsid w:val="00773D7F"/>
    <w:rsid w:val="00775E45"/>
    <w:rsid w:val="00775EFA"/>
    <w:rsid w:val="0077610F"/>
    <w:rsid w:val="0077672D"/>
    <w:rsid w:val="00776E74"/>
    <w:rsid w:val="00777B65"/>
    <w:rsid w:val="007800DF"/>
    <w:rsid w:val="00781DB1"/>
    <w:rsid w:val="007823A3"/>
    <w:rsid w:val="00782405"/>
    <w:rsid w:val="007831A9"/>
    <w:rsid w:val="00783FD7"/>
    <w:rsid w:val="00784406"/>
    <w:rsid w:val="00785169"/>
    <w:rsid w:val="00786A24"/>
    <w:rsid w:val="007875AE"/>
    <w:rsid w:val="0079088D"/>
    <w:rsid w:val="0079112A"/>
    <w:rsid w:val="00791C77"/>
    <w:rsid w:val="007921C7"/>
    <w:rsid w:val="00792860"/>
    <w:rsid w:val="007934EB"/>
    <w:rsid w:val="007934FA"/>
    <w:rsid w:val="0079420B"/>
    <w:rsid w:val="007954AB"/>
    <w:rsid w:val="0079571E"/>
    <w:rsid w:val="007961B0"/>
    <w:rsid w:val="007A04F1"/>
    <w:rsid w:val="007A064E"/>
    <w:rsid w:val="007A0EA2"/>
    <w:rsid w:val="007A1366"/>
    <w:rsid w:val="007A14C5"/>
    <w:rsid w:val="007A2069"/>
    <w:rsid w:val="007A2279"/>
    <w:rsid w:val="007A2733"/>
    <w:rsid w:val="007A2F5B"/>
    <w:rsid w:val="007A3377"/>
    <w:rsid w:val="007A3E38"/>
    <w:rsid w:val="007A41F4"/>
    <w:rsid w:val="007A42A0"/>
    <w:rsid w:val="007A4582"/>
    <w:rsid w:val="007A4A10"/>
    <w:rsid w:val="007A5A71"/>
    <w:rsid w:val="007B0625"/>
    <w:rsid w:val="007B13D2"/>
    <w:rsid w:val="007B1760"/>
    <w:rsid w:val="007B26CD"/>
    <w:rsid w:val="007B4E1B"/>
    <w:rsid w:val="007B6094"/>
    <w:rsid w:val="007B6DAC"/>
    <w:rsid w:val="007C0A40"/>
    <w:rsid w:val="007C19F0"/>
    <w:rsid w:val="007C228E"/>
    <w:rsid w:val="007C2E14"/>
    <w:rsid w:val="007C2E1F"/>
    <w:rsid w:val="007C4404"/>
    <w:rsid w:val="007C4638"/>
    <w:rsid w:val="007C47C7"/>
    <w:rsid w:val="007C4FDB"/>
    <w:rsid w:val="007C6D9C"/>
    <w:rsid w:val="007C7DDB"/>
    <w:rsid w:val="007D09B5"/>
    <w:rsid w:val="007D1402"/>
    <w:rsid w:val="007D1807"/>
    <w:rsid w:val="007D1E09"/>
    <w:rsid w:val="007D2CC7"/>
    <w:rsid w:val="007D4C95"/>
    <w:rsid w:val="007D5358"/>
    <w:rsid w:val="007D550F"/>
    <w:rsid w:val="007D5521"/>
    <w:rsid w:val="007D673D"/>
    <w:rsid w:val="007D69CA"/>
    <w:rsid w:val="007E1B83"/>
    <w:rsid w:val="007E310F"/>
    <w:rsid w:val="007E31C0"/>
    <w:rsid w:val="007E3D90"/>
    <w:rsid w:val="007E44D7"/>
    <w:rsid w:val="007E5452"/>
    <w:rsid w:val="007E6E6E"/>
    <w:rsid w:val="007F0006"/>
    <w:rsid w:val="007F00DD"/>
    <w:rsid w:val="007F0A21"/>
    <w:rsid w:val="007F2220"/>
    <w:rsid w:val="007F4B3E"/>
    <w:rsid w:val="007F588A"/>
    <w:rsid w:val="007F64A5"/>
    <w:rsid w:val="007F65A3"/>
    <w:rsid w:val="007F7B62"/>
    <w:rsid w:val="00800129"/>
    <w:rsid w:val="008019A3"/>
    <w:rsid w:val="00803399"/>
    <w:rsid w:val="008044F1"/>
    <w:rsid w:val="00806EA5"/>
    <w:rsid w:val="008077C0"/>
    <w:rsid w:val="00807BDB"/>
    <w:rsid w:val="00810E29"/>
    <w:rsid w:val="008120A8"/>
    <w:rsid w:val="008127AF"/>
    <w:rsid w:val="00812B46"/>
    <w:rsid w:val="008150AA"/>
    <w:rsid w:val="00815700"/>
    <w:rsid w:val="00817B70"/>
    <w:rsid w:val="008234C1"/>
    <w:rsid w:val="008235C4"/>
    <w:rsid w:val="00824FA4"/>
    <w:rsid w:val="008264EB"/>
    <w:rsid w:val="00826B8F"/>
    <w:rsid w:val="0082713A"/>
    <w:rsid w:val="00827BA0"/>
    <w:rsid w:val="00830F09"/>
    <w:rsid w:val="00831824"/>
    <w:rsid w:val="00831E8A"/>
    <w:rsid w:val="0083257F"/>
    <w:rsid w:val="00834159"/>
    <w:rsid w:val="00834DA8"/>
    <w:rsid w:val="00835C76"/>
    <w:rsid w:val="00837275"/>
    <w:rsid w:val="00841B7C"/>
    <w:rsid w:val="008429C0"/>
    <w:rsid w:val="00842E61"/>
    <w:rsid w:val="00843049"/>
    <w:rsid w:val="00843050"/>
    <w:rsid w:val="0084343F"/>
    <w:rsid w:val="008458D0"/>
    <w:rsid w:val="0085209B"/>
    <w:rsid w:val="008523F2"/>
    <w:rsid w:val="00852778"/>
    <w:rsid w:val="00852E86"/>
    <w:rsid w:val="008551A2"/>
    <w:rsid w:val="00856B66"/>
    <w:rsid w:val="00857B03"/>
    <w:rsid w:val="00861A5F"/>
    <w:rsid w:val="00861BAC"/>
    <w:rsid w:val="00861C77"/>
    <w:rsid w:val="00863341"/>
    <w:rsid w:val="00863AFB"/>
    <w:rsid w:val="008644AD"/>
    <w:rsid w:val="00864AA8"/>
    <w:rsid w:val="00865735"/>
    <w:rsid w:val="00865DDB"/>
    <w:rsid w:val="00867538"/>
    <w:rsid w:val="00867899"/>
    <w:rsid w:val="00870FA2"/>
    <w:rsid w:val="00871975"/>
    <w:rsid w:val="00871EE0"/>
    <w:rsid w:val="00871F0C"/>
    <w:rsid w:val="008727DE"/>
    <w:rsid w:val="00872DD8"/>
    <w:rsid w:val="00873D27"/>
    <w:rsid w:val="00873D90"/>
    <w:rsid w:val="00873FC8"/>
    <w:rsid w:val="00875577"/>
    <w:rsid w:val="00875683"/>
    <w:rsid w:val="00875E69"/>
    <w:rsid w:val="0087630F"/>
    <w:rsid w:val="00876BDC"/>
    <w:rsid w:val="0087767F"/>
    <w:rsid w:val="008806E0"/>
    <w:rsid w:val="008830A8"/>
    <w:rsid w:val="008844BF"/>
    <w:rsid w:val="008849D7"/>
    <w:rsid w:val="00884C63"/>
    <w:rsid w:val="00885908"/>
    <w:rsid w:val="00886167"/>
    <w:rsid w:val="008864B7"/>
    <w:rsid w:val="00891008"/>
    <w:rsid w:val="00891873"/>
    <w:rsid w:val="00891CB3"/>
    <w:rsid w:val="00891E3A"/>
    <w:rsid w:val="00891E8F"/>
    <w:rsid w:val="008929D1"/>
    <w:rsid w:val="008931D2"/>
    <w:rsid w:val="00893889"/>
    <w:rsid w:val="00893F93"/>
    <w:rsid w:val="00895C88"/>
    <w:rsid w:val="0089677E"/>
    <w:rsid w:val="008969FD"/>
    <w:rsid w:val="00896E8C"/>
    <w:rsid w:val="00897BC8"/>
    <w:rsid w:val="008A0137"/>
    <w:rsid w:val="008A072D"/>
    <w:rsid w:val="008A09BB"/>
    <w:rsid w:val="008A6068"/>
    <w:rsid w:val="008A6AD0"/>
    <w:rsid w:val="008A7438"/>
    <w:rsid w:val="008A75F5"/>
    <w:rsid w:val="008B070B"/>
    <w:rsid w:val="008B1334"/>
    <w:rsid w:val="008B2BAA"/>
    <w:rsid w:val="008B3A65"/>
    <w:rsid w:val="008B3DA2"/>
    <w:rsid w:val="008B437D"/>
    <w:rsid w:val="008B58BB"/>
    <w:rsid w:val="008B5AE1"/>
    <w:rsid w:val="008B61D2"/>
    <w:rsid w:val="008B72F5"/>
    <w:rsid w:val="008C0278"/>
    <w:rsid w:val="008C24E9"/>
    <w:rsid w:val="008C290B"/>
    <w:rsid w:val="008C2B60"/>
    <w:rsid w:val="008C430E"/>
    <w:rsid w:val="008C576F"/>
    <w:rsid w:val="008C69A3"/>
    <w:rsid w:val="008C6ECF"/>
    <w:rsid w:val="008C738D"/>
    <w:rsid w:val="008C7C1C"/>
    <w:rsid w:val="008C7C72"/>
    <w:rsid w:val="008D0533"/>
    <w:rsid w:val="008D08F2"/>
    <w:rsid w:val="008D144B"/>
    <w:rsid w:val="008D2119"/>
    <w:rsid w:val="008D3D7D"/>
    <w:rsid w:val="008D4293"/>
    <w:rsid w:val="008D42CB"/>
    <w:rsid w:val="008D48C9"/>
    <w:rsid w:val="008D588A"/>
    <w:rsid w:val="008D5907"/>
    <w:rsid w:val="008D5B79"/>
    <w:rsid w:val="008D5EED"/>
    <w:rsid w:val="008D6381"/>
    <w:rsid w:val="008E0C77"/>
    <w:rsid w:val="008E0FC3"/>
    <w:rsid w:val="008E23EE"/>
    <w:rsid w:val="008E31AA"/>
    <w:rsid w:val="008E58D4"/>
    <w:rsid w:val="008E625F"/>
    <w:rsid w:val="008E631F"/>
    <w:rsid w:val="008E6644"/>
    <w:rsid w:val="008E674C"/>
    <w:rsid w:val="008E69BB"/>
    <w:rsid w:val="008E70A8"/>
    <w:rsid w:val="008F0D8C"/>
    <w:rsid w:val="008F17BC"/>
    <w:rsid w:val="008F264D"/>
    <w:rsid w:val="008F2C9D"/>
    <w:rsid w:val="008F3044"/>
    <w:rsid w:val="008F6207"/>
    <w:rsid w:val="008F64C1"/>
    <w:rsid w:val="008F7904"/>
    <w:rsid w:val="00901224"/>
    <w:rsid w:val="00901333"/>
    <w:rsid w:val="00902DD5"/>
    <w:rsid w:val="0090350D"/>
    <w:rsid w:val="00903A26"/>
    <w:rsid w:val="00903F8F"/>
    <w:rsid w:val="0090672A"/>
    <w:rsid w:val="00906E7E"/>
    <w:rsid w:val="009074E1"/>
    <w:rsid w:val="00907B86"/>
    <w:rsid w:val="009109D5"/>
    <w:rsid w:val="009112F7"/>
    <w:rsid w:val="00911863"/>
    <w:rsid w:val="009122AF"/>
    <w:rsid w:val="009127BC"/>
    <w:rsid w:val="00912D54"/>
    <w:rsid w:val="0091389F"/>
    <w:rsid w:val="00913AE5"/>
    <w:rsid w:val="00913FB1"/>
    <w:rsid w:val="00915CB5"/>
    <w:rsid w:val="009166E3"/>
    <w:rsid w:val="009208F7"/>
    <w:rsid w:val="00920BA1"/>
    <w:rsid w:val="00922517"/>
    <w:rsid w:val="00922722"/>
    <w:rsid w:val="0092485D"/>
    <w:rsid w:val="0092498F"/>
    <w:rsid w:val="00924F11"/>
    <w:rsid w:val="00925B04"/>
    <w:rsid w:val="009261E6"/>
    <w:rsid w:val="009268E1"/>
    <w:rsid w:val="00927D66"/>
    <w:rsid w:val="00931920"/>
    <w:rsid w:val="00931999"/>
    <w:rsid w:val="00931A36"/>
    <w:rsid w:val="009330AB"/>
    <w:rsid w:val="00933683"/>
    <w:rsid w:val="00933AB9"/>
    <w:rsid w:val="00936589"/>
    <w:rsid w:val="009406DA"/>
    <w:rsid w:val="0094232C"/>
    <w:rsid w:val="009434FF"/>
    <w:rsid w:val="00944DED"/>
    <w:rsid w:val="00944E4A"/>
    <w:rsid w:val="00945E7F"/>
    <w:rsid w:val="00950363"/>
    <w:rsid w:val="0095046B"/>
    <w:rsid w:val="00950CB1"/>
    <w:rsid w:val="009531B1"/>
    <w:rsid w:val="00954794"/>
    <w:rsid w:val="009557C1"/>
    <w:rsid w:val="00957360"/>
    <w:rsid w:val="00957CA9"/>
    <w:rsid w:val="00957F3C"/>
    <w:rsid w:val="00960112"/>
    <w:rsid w:val="00960D6E"/>
    <w:rsid w:val="00960DF6"/>
    <w:rsid w:val="009610A8"/>
    <w:rsid w:val="00962F77"/>
    <w:rsid w:val="00964194"/>
    <w:rsid w:val="00966B9D"/>
    <w:rsid w:val="00967451"/>
    <w:rsid w:val="00967EF0"/>
    <w:rsid w:val="00967F9F"/>
    <w:rsid w:val="00970179"/>
    <w:rsid w:val="00970627"/>
    <w:rsid w:val="00970FB7"/>
    <w:rsid w:val="00972BC1"/>
    <w:rsid w:val="009743AA"/>
    <w:rsid w:val="00974B59"/>
    <w:rsid w:val="009766D6"/>
    <w:rsid w:val="00977A43"/>
    <w:rsid w:val="00980B6C"/>
    <w:rsid w:val="00981829"/>
    <w:rsid w:val="00981E7C"/>
    <w:rsid w:val="00982021"/>
    <w:rsid w:val="0098340B"/>
    <w:rsid w:val="00983419"/>
    <w:rsid w:val="00983BFF"/>
    <w:rsid w:val="009851AD"/>
    <w:rsid w:val="00985F9A"/>
    <w:rsid w:val="00986830"/>
    <w:rsid w:val="00991E9D"/>
    <w:rsid w:val="009924C3"/>
    <w:rsid w:val="00992505"/>
    <w:rsid w:val="00993102"/>
    <w:rsid w:val="00993BF2"/>
    <w:rsid w:val="00994523"/>
    <w:rsid w:val="00995D0D"/>
    <w:rsid w:val="0099646E"/>
    <w:rsid w:val="00996AFC"/>
    <w:rsid w:val="00996B76"/>
    <w:rsid w:val="009A2A8B"/>
    <w:rsid w:val="009A5AB8"/>
    <w:rsid w:val="009A5B5A"/>
    <w:rsid w:val="009A60ED"/>
    <w:rsid w:val="009A62F6"/>
    <w:rsid w:val="009B27B0"/>
    <w:rsid w:val="009B2C69"/>
    <w:rsid w:val="009B31F9"/>
    <w:rsid w:val="009B5707"/>
    <w:rsid w:val="009B6342"/>
    <w:rsid w:val="009B6592"/>
    <w:rsid w:val="009B740E"/>
    <w:rsid w:val="009B7632"/>
    <w:rsid w:val="009B7CBC"/>
    <w:rsid w:val="009C0824"/>
    <w:rsid w:val="009C1723"/>
    <w:rsid w:val="009C1AF0"/>
    <w:rsid w:val="009C4A39"/>
    <w:rsid w:val="009C4F74"/>
    <w:rsid w:val="009C5F6B"/>
    <w:rsid w:val="009C6F10"/>
    <w:rsid w:val="009C7FE1"/>
    <w:rsid w:val="009D0409"/>
    <w:rsid w:val="009D091A"/>
    <w:rsid w:val="009D0BB8"/>
    <w:rsid w:val="009D148F"/>
    <w:rsid w:val="009D160B"/>
    <w:rsid w:val="009D1710"/>
    <w:rsid w:val="009D1D47"/>
    <w:rsid w:val="009D1ED3"/>
    <w:rsid w:val="009D3D70"/>
    <w:rsid w:val="009D4998"/>
    <w:rsid w:val="009D7ADB"/>
    <w:rsid w:val="009D7CBD"/>
    <w:rsid w:val="009E0E99"/>
    <w:rsid w:val="009E1DDA"/>
    <w:rsid w:val="009E2FD1"/>
    <w:rsid w:val="009E31B2"/>
    <w:rsid w:val="009E33E1"/>
    <w:rsid w:val="009E3EEE"/>
    <w:rsid w:val="009E3F88"/>
    <w:rsid w:val="009E4408"/>
    <w:rsid w:val="009E44D5"/>
    <w:rsid w:val="009E44DD"/>
    <w:rsid w:val="009E5C80"/>
    <w:rsid w:val="009E6090"/>
    <w:rsid w:val="009E6F7E"/>
    <w:rsid w:val="009E7522"/>
    <w:rsid w:val="009E7546"/>
    <w:rsid w:val="009E78EF"/>
    <w:rsid w:val="009E79FB"/>
    <w:rsid w:val="009E7A57"/>
    <w:rsid w:val="009F1B50"/>
    <w:rsid w:val="009F3F8F"/>
    <w:rsid w:val="009F3FC0"/>
    <w:rsid w:val="009F4332"/>
    <w:rsid w:val="009F4F6A"/>
    <w:rsid w:val="009F5CAD"/>
    <w:rsid w:val="009F63CA"/>
    <w:rsid w:val="009F65D6"/>
    <w:rsid w:val="009F7875"/>
    <w:rsid w:val="00A004BD"/>
    <w:rsid w:val="00A0172B"/>
    <w:rsid w:val="00A01934"/>
    <w:rsid w:val="00A04084"/>
    <w:rsid w:val="00A04F20"/>
    <w:rsid w:val="00A057DF"/>
    <w:rsid w:val="00A0689E"/>
    <w:rsid w:val="00A06C5F"/>
    <w:rsid w:val="00A07237"/>
    <w:rsid w:val="00A07733"/>
    <w:rsid w:val="00A1099B"/>
    <w:rsid w:val="00A111C8"/>
    <w:rsid w:val="00A12DB6"/>
    <w:rsid w:val="00A12E7A"/>
    <w:rsid w:val="00A134B8"/>
    <w:rsid w:val="00A14444"/>
    <w:rsid w:val="00A14AC1"/>
    <w:rsid w:val="00A15328"/>
    <w:rsid w:val="00A16CE6"/>
    <w:rsid w:val="00A16E36"/>
    <w:rsid w:val="00A17E2D"/>
    <w:rsid w:val="00A20764"/>
    <w:rsid w:val="00A20F01"/>
    <w:rsid w:val="00A21AAA"/>
    <w:rsid w:val="00A21F9D"/>
    <w:rsid w:val="00A22847"/>
    <w:rsid w:val="00A24902"/>
    <w:rsid w:val="00A24961"/>
    <w:rsid w:val="00A24B10"/>
    <w:rsid w:val="00A25640"/>
    <w:rsid w:val="00A25967"/>
    <w:rsid w:val="00A265CA"/>
    <w:rsid w:val="00A27B23"/>
    <w:rsid w:val="00A30044"/>
    <w:rsid w:val="00A30E9B"/>
    <w:rsid w:val="00A31D06"/>
    <w:rsid w:val="00A3369E"/>
    <w:rsid w:val="00A34D79"/>
    <w:rsid w:val="00A365FC"/>
    <w:rsid w:val="00A371B4"/>
    <w:rsid w:val="00A37991"/>
    <w:rsid w:val="00A41D7D"/>
    <w:rsid w:val="00A41F88"/>
    <w:rsid w:val="00A420DC"/>
    <w:rsid w:val="00A433C7"/>
    <w:rsid w:val="00A43CD3"/>
    <w:rsid w:val="00A43D82"/>
    <w:rsid w:val="00A44ABC"/>
    <w:rsid w:val="00A4512D"/>
    <w:rsid w:val="00A457D6"/>
    <w:rsid w:val="00A45AA7"/>
    <w:rsid w:val="00A45FA0"/>
    <w:rsid w:val="00A50244"/>
    <w:rsid w:val="00A50BFB"/>
    <w:rsid w:val="00A50C00"/>
    <w:rsid w:val="00A5491A"/>
    <w:rsid w:val="00A55ED0"/>
    <w:rsid w:val="00A56776"/>
    <w:rsid w:val="00A56A4D"/>
    <w:rsid w:val="00A56F17"/>
    <w:rsid w:val="00A60A23"/>
    <w:rsid w:val="00A612A1"/>
    <w:rsid w:val="00A620D6"/>
    <w:rsid w:val="00A627D7"/>
    <w:rsid w:val="00A62C1F"/>
    <w:rsid w:val="00A6460D"/>
    <w:rsid w:val="00A656C7"/>
    <w:rsid w:val="00A660D4"/>
    <w:rsid w:val="00A6729F"/>
    <w:rsid w:val="00A705AF"/>
    <w:rsid w:val="00A70C84"/>
    <w:rsid w:val="00A714D5"/>
    <w:rsid w:val="00A717B3"/>
    <w:rsid w:val="00A71D1F"/>
    <w:rsid w:val="00A71DCC"/>
    <w:rsid w:val="00A72454"/>
    <w:rsid w:val="00A748D5"/>
    <w:rsid w:val="00A75790"/>
    <w:rsid w:val="00A75D10"/>
    <w:rsid w:val="00A77696"/>
    <w:rsid w:val="00A77F0F"/>
    <w:rsid w:val="00A80557"/>
    <w:rsid w:val="00A81D33"/>
    <w:rsid w:val="00A81EBA"/>
    <w:rsid w:val="00A858E8"/>
    <w:rsid w:val="00A85DD4"/>
    <w:rsid w:val="00A866E5"/>
    <w:rsid w:val="00A878ED"/>
    <w:rsid w:val="00A87C65"/>
    <w:rsid w:val="00A90428"/>
    <w:rsid w:val="00A911D3"/>
    <w:rsid w:val="00A913C9"/>
    <w:rsid w:val="00A91A37"/>
    <w:rsid w:val="00A91E3B"/>
    <w:rsid w:val="00A92426"/>
    <w:rsid w:val="00A930AE"/>
    <w:rsid w:val="00A93825"/>
    <w:rsid w:val="00A97243"/>
    <w:rsid w:val="00AA193E"/>
    <w:rsid w:val="00AA1A95"/>
    <w:rsid w:val="00AA260F"/>
    <w:rsid w:val="00AA3B48"/>
    <w:rsid w:val="00AA3FDE"/>
    <w:rsid w:val="00AA4389"/>
    <w:rsid w:val="00AA4AF0"/>
    <w:rsid w:val="00AA4B02"/>
    <w:rsid w:val="00AA4F5A"/>
    <w:rsid w:val="00AA5EBE"/>
    <w:rsid w:val="00AA68A4"/>
    <w:rsid w:val="00AA6F2B"/>
    <w:rsid w:val="00AA6F37"/>
    <w:rsid w:val="00AA737A"/>
    <w:rsid w:val="00AA7BC6"/>
    <w:rsid w:val="00AA7F97"/>
    <w:rsid w:val="00AB0A91"/>
    <w:rsid w:val="00AB1EE7"/>
    <w:rsid w:val="00AB217E"/>
    <w:rsid w:val="00AB29EB"/>
    <w:rsid w:val="00AB4B37"/>
    <w:rsid w:val="00AB5186"/>
    <w:rsid w:val="00AB5762"/>
    <w:rsid w:val="00AB702C"/>
    <w:rsid w:val="00AB7CF7"/>
    <w:rsid w:val="00AC1121"/>
    <w:rsid w:val="00AC1265"/>
    <w:rsid w:val="00AC20A2"/>
    <w:rsid w:val="00AC25FA"/>
    <w:rsid w:val="00AC2679"/>
    <w:rsid w:val="00AC29A6"/>
    <w:rsid w:val="00AC2F29"/>
    <w:rsid w:val="00AC4BE4"/>
    <w:rsid w:val="00AC6A53"/>
    <w:rsid w:val="00AC6BF9"/>
    <w:rsid w:val="00AD019C"/>
    <w:rsid w:val="00AD0546"/>
    <w:rsid w:val="00AD05E6"/>
    <w:rsid w:val="00AD0D3F"/>
    <w:rsid w:val="00AD2017"/>
    <w:rsid w:val="00AD4477"/>
    <w:rsid w:val="00AD6108"/>
    <w:rsid w:val="00AE0BC7"/>
    <w:rsid w:val="00AE1D7D"/>
    <w:rsid w:val="00AE24F1"/>
    <w:rsid w:val="00AE2A8B"/>
    <w:rsid w:val="00AE3F64"/>
    <w:rsid w:val="00AE474A"/>
    <w:rsid w:val="00AE5699"/>
    <w:rsid w:val="00AE5BE3"/>
    <w:rsid w:val="00AE67C6"/>
    <w:rsid w:val="00AE6960"/>
    <w:rsid w:val="00AE6E76"/>
    <w:rsid w:val="00AE730A"/>
    <w:rsid w:val="00AE7419"/>
    <w:rsid w:val="00AF0922"/>
    <w:rsid w:val="00AF2E6C"/>
    <w:rsid w:val="00AF341E"/>
    <w:rsid w:val="00AF3D11"/>
    <w:rsid w:val="00AF3F67"/>
    <w:rsid w:val="00AF430B"/>
    <w:rsid w:val="00AF4CF6"/>
    <w:rsid w:val="00AF588D"/>
    <w:rsid w:val="00AF7386"/>
    <w:rsid w:val="00AF76FD"/>
    <w:rsid w:val="00AF7934"/>
    <w:rsid w:val="00B00B81"/>
    <w:rsid w:val="00B01F4D"/>
    <w:rsid w:val="00B0306C"/>
    <w:rsid w:val="00B04580"/>
    <w:rsid w:val="00B04948"/>
    <w:rsid w:val="00B04B09"/>
    <w:rsid w:val="00B0598E"/>
    <w:rsid w:val="00B10402"/>
    <w:rsid w:val="00B1041A"/>
    <w:rsid w:val="00B11067"/>
    <w:rsid w:val="00B133B4"/>
    <w:rsid w:val="00B1418C"/>
    <w:rsid w:val="00B14804"/>
    <w:rsid w:val="00B169E1"/>
    <w:rsid w:val="00B16A51"/>
    <w:rsid w:val="00B17FA4"/>
    <w:rsid w:val="00B2021F"/>
    <w:rsid w:val="00B22C02"/>
    <w:rsid w:val="00B22FA4"/>
    <w:rsid w:val="00B233CE"/>
    <w:rsid w:val="00B23632"/>
    <w:rsid w:val="00B25440"/>
    <w:rsid w:val="00B2593B"/>
    <w:rsid w:val="00B263C1"/>
    <w:rsid w:val="00B267ED"/>
    <w:rsid w:val="00B302FE"/>
    <w:rsid w:val="00B306CB"/>
    <w:rsid w:val="00B32222"/>
    <w:rsid w:val="00B326B4"/>
    <w:rsid w:val="00B342CF"/>
    <w:rsid w:val="00B35BF0"/>
    <w:rsid w:val="00B3618D"/>
    <w:rsid w:val="00B36233"/>
    <w:rsid w:val="00B37B8C"/>
    <w:rsid w:val="00B40B85"/>
    <w:rsid w:val="00B410A6"/>
    <w:rsid w:val="00B4116C"/>
    <w:rsid w:val="00B411B8"/>
    <w:rsid w:val="00B4219A"/>
    <w:rsid w:val="00B4255B"/>
    <w:rsid w:val="00B42851"/>
    <w:rsid w:val="00B437BA"/>
    <w:rsid w:val="00B440F4"/>
    <w:rsid w:val="00B44317"/>
    <w:rsid w:val="00B45205"/>
    <w:rsid w:val="00B453E8"/>
    <w:rsid w:val="00B45AC7"/>
    <w:rsid w:val="00B476D9"/>
    <w:rsid w:val="00B51F57"/>
    <w:rsid w:val="00B52D93"/>
    <w:rsid w:val="00B5372F"/>
    <w:rsid w:val="00B53BA7"/>
    <w:rsid w:val="00B55EDB"/>
    <w:rsid w:val="00B568C8"/>
    <w:rsid w:val="00B600BA"/>
    <w:rsid w:val="00B61129"/>
    <w:rsid w:val="00B617AE"/>
    <w:rsid w:val="00B61B27"/>
    <w:rsid w:val="00B64A4D"/>
    <w:rsid w:val="00B64E02"/>
    <w:rsid w:val="00B652FA"/>
    <w:rsid w:val="00B6691E"/>
    <w:rsid w:val="00B67E7F"/>
    <w:rsid w:val="00B7081F"/>
    <w:rsid w:val="00B71318"/>
    <w:rsid w:val="00B7311F"/>
    <w:rsid w:val="00B73829"/>
    <w:rsid w:val="00B73956"/>
    <w:rsid w:val="00B74989"/>
    <w:rsid w:val="00B759A6"/>
    <w:rsid w:val="00B75A04"/>
    <w:rsid w:val="00B75D75"/>
    <w:rsid w:val="00B76636"/>
    <w:rsid w:val="00B768E6"/>
    <w:rsid w:val="00B81454"/>
    <w:rsid w:val="00B81B93"/>
    <w:rsid w:val="00B82BA1"/>
    <w:rsid w:val="00B83185"/>
    <w:rsid w:val="00B839B2"/>
    <w:rsid w:val="00B84F43"/>
    <w:rsid w:val="00B8717E"/>
    <w:rsid w:val="00B90AFB"/>
    <w:rsid w:val="00B90C0A"/>
    <w:rsid w:val="00B91480"/>
    <w:rsid w:val="00B92556"/>
    <w:rsid w:val="00B9275F"/>
    <w:rsid w:val="00B9277F"/>
    <w:rsid w:val="00B9281F"/>
    <w:rsid w:val="00B94252"/>
    <w:rsid w:val="00B95413"/>
    <w:rsid w:val="00B965BC"/>
    <w:rsid w:val="00B9715A"/>
    <w:rsid w:val="00B9752E"/>
    <w:rsid w:val="00B9794B"/>
    <w:rsid w:val="00BA008A"/>
    <w:rsid w:val="00BA1126"/>
    <w:rsid w:val="00BA14BE"/>
    <w:rsid w:val="00BA1802"/>
    <w:rsid w:val="00BA1FAE"/>
    <w:rsid w:val="00BA2732"/>
    <w:rsid w:val="00BA293D"/>
    <w:rsid w:val="00BA2ADA"/>
    <w:rsid w:val="00BA4293"/>
    <w:rsid w:val="00BA4745"/>
    <w:rsid w:val="00BA49BC"/>
    <w:rsid w:val="00BA56B7"/>
    <w:rsid w:val="00BA7091"/>
    <w:rsid w:val="00BA7700"/>
    <w:rsid w:val="00BA7A1E"/>
    <w:rsid w:val="00BA7CA9"/>
    <w:rsid w:val="00BB0C67"/>
    <w:rsid w:val="00BB2F6C"/>
    <w:rsid w:val="00BB33B1"/>
    <w:rsid w:val="00BB37BE"/>
    <w:rsid w:val="00BB3875"/>
    <w:rsid w:val="00BB5860"/>
    <w:rsid w:val="00BB6AAD"/>
    <w:rsid w:val="00BC07B6"/>
    <w:rsid w:val="00BC0F0B"/>
    <w:rsid w:val="00BC2973"/>
    <w:rsid w:val="00BC2CD8"/>
    <w:rsid w:val="00BC3BE2"/>
    <w:rsid w:val="00BC3F96"/>
    <w:rsid w:val="00BC4A19"/>
    <w:rsid w:val="00BC4E6D"/>
    <w:rsid w:val="00BD0617"/>
    <w:rsid w:val="00BD1116"/>
    <w:rsid w:val="00BD23FC"/>
    <w:rsid w:val="00BD26A8"/>
    <w:rsid w:val="00BD2E9B"/>
    <w:rsid w:val="00BD49CC"/>
    <w:rsid w:val="00BD7F1A"/>
    <w:rsid w:val="00BE2371"/>
    <w:rsid w:val="00BE27A2"/>
    <w:rsid w:val="00BE3201"/>
    <w:rsid w:val="00BE48A3"/>
    <w:rsid w:val="00BE5994"/>
    <w:rsid w:val="00BE5E19"/>
    <w:rsid w:val="00BE6CBB"/>
    <w:rsid w:val="00BE7CBD"/>
    <w:rsid w:val="00BF095B"/>
    <w:rsid w:val="00BF09D7"/>
    <w:rsid w:val="00BF1ACE"/>
    <w:rsid w:val="00BF4F39"/>
    <w:rsid w:val="00BF7881"/>
    <w:rsid w:val="00C002AA"/>
    <w:rsid w:val="00C00930"/>
    <w:rsid w:val="00C00B6B"/>
    <w:rsid w:val="00C01BD6"/>
    <w:rsid w:val="00C0310A"/>
    <w:rsid w:val="00C037B8"/>
    <w:rsid w:val="00C04A46"/>
    <w:rsid w:val="00C06062"/>
    <w:rsid w:val="00C060AD"/>
    <w:rsid w:val="00C0670D"/>
    <w:rsid w:val="00C101FB"/>
    <w:rsid w:val="00C10DDA"/>
    <w:rsid w:val="00C113BF"/>
    <w:rsid w:val="00C11A45"/>
    <w:rsid w:val="00C125E0"/>
    <w:rsid w:val="00C1446D"/>
    <w:rsid w:val="00C15A11"/>
    <w:rsid w:val="00C15CD7"/>
    <w:rsid w:val="00C16D61"/>
    <w:rsid w:val="00C17610"/>
    <w:rsid w:val="00C17AA2"/>
    <w:rsid w:val="00C17DBD"/>
    <w:rsid w:val="00C2176E"/>
    <w:rsid w:val="00C21EE2"/>
    <w:rsid w:val="00C2269C"/>
    <w:rsid w:val="00C23430"/>
    <w:rsid w:val="00C24069"/>
    <w:rsid w:val="00C26CDF"/>
    <w:rsid w:val="00C27D67"/>
    <w:rsid w:val="00C27EA7"/>
    <w:rsid w:val="00C3175D"/>
    <w:rsid w:val="00C31D2C"/>
    <w:rsid w:val="00C32E4B"/>
    <w:rsid w:val="00C339F5"/>
    <w:rsid w:val="00C352D9"/>
    <w:rsid w:val="00C36BA3"/>
    <w:rsid w:val="00C36F91"/>
    <w:rsid w:val="00C379B2"/>
    <w:rsid w:val="00C40D65"/>
    <w:rsid w:val="00C4186D"/>
    <w:rsid w:val="00C41D95"/>
    <w:rsid w:val="00C43C4C"/>
    <w:rsid w:val="00C43D22"/>
    <w:rsid w:val="00C44C10"/>
    <w:rsid w:val="00C44C2E"/>
    <w:rsid w:val="00C454B1"/>
    <w:rsid w:val="00C4631F"/>
    <w:rsid w:val="00C47454"/>
    <w:rsid w:val="00C50281"/>
    <w:rsid w:val="00C50B14"/>
    <w:rsid w:val="00C50E16"/>
    <w:rsid w:val="00C511D0"/>
    <w:rsid w:val="00C51204"/>
    <w:rsid w:val="00C518AA"/>
    <w:rsid w:val="00C5229E"/>
    <w:rsid w:val="00C529E7"/>
    <w:rsid w:val="00C54376"/>
    <w:rsid w:val="00C54680"/>
    <w:rsid w:val="00C55258"/>
    <w:rsid w:val="00C55694"/>
    <w:rsid w:val="00C55869"/>
    <w:rsid w:val="00C5645D"/>
    <w:rsid w:val="00C571C6"/>
    <w:rsid w:val="00C574A9"/>
    <w:rsid w:val="00C574C9"/>
    <w:rsid w:val="00C57823"/>
    <w:rsid w:val="00C61021"/>
    <w:rsid w:val="00C6366D"/>
    <w:rsid w:val="00C63FE2"/>
    <w:rsid w:val="00C65885"/>
    <w:rsid w:val="00C66A64"/>
    <w:rsid w:val="00C66D88"/>
    <w:rsid w:val="00C672CB"/>
    <w:rsid w:val="00C71127"/>
    <w:rsid w:val="00C741E0"/>
    <w:rsid w:val="00C74742"/>
    <w:rsid w:val="00C74E74"/>
    <w:rsid w:val="00C75028"/>
    <w:rsid w:val="00C76913"/>
    <w:rsid w:val="00C81583"/>
    <w:rsid w:val="00C829F6"/>
    <w:rsid w:val="00C82EEB"/>
    <w:rsid w:val="00C83431"/>
    <w:rsid w:val="00C83993"/>
    <w:rsid w:val="00C84C9F"/>
    <w:rsid w:val="00C84E06"/>
    <w:rsid w:val="00C868EA"/>
    <w:rsid w:val="00C86CD2"/>
    <w:rsid w:val="00C879C2"/>
    <w:rsid w:val="00C95356"/>
    <w:rsid w:val="00C95519"/>
    <w:rsid w:val="00C955CB"/>
    <w:rsid w:val="00C95D25"/>
    <w:rsid w:val="00C96F27"/>
    <w:rsid w:val="00C971DC"/>
    <w:rsid w:val="00C97296"/>
    <w:rsid w:val="00C97D73"/>
    <w:rsid w:val="00CA00D8"/>
    <w:rsid w:val="00CA16B7"/>
    <w:rsid w:val="00CA2144"/>
    <w:rsid w:val="00CA2AEB"/>
    <w:rsid w:val="00CA2FEF"/>
    <w:rsid w:val="00CA38C6"/>
    <w:rsid w:val="00CA3DE9"/>
    <w:rsid w:val="00CA4699"/>
    <w:rsid w:val="00CA4BB0"/>
    <w:rsid w:val="00CA4BE3"/>
    <w:rsid w:val="00CA5600"/>
    <w:rsid w:val="00CA62AE"/>
    <w:rsid w:val="00CA68EA"/>
    <w:rsid w:val="00CB032C"/>
    <w:rsid w:val="00CB0D0C"/>
    <w:rsid w:val="00CB1193"/>
    <w:rsid w:val="00CB208D"/>
    <w:rsid w:val="00CB21F0"/>
    <w:rsid w:val="00CB42FE"/>
    <w:rsid w:val="00CB4DFE"/>
    <w:rsid w:val="00CB548A"/>
    <w:rsid w:val="00CB5496"/>
    <w:rsid w:val="00CB5B1A"/>
    <w:rsid w:val="00CB6FE0"/>
    <w:rsid w:val="00CB74BE"/>
    <w:rsid w:val="00CB7908"/>
    <w:rsid w:val="00CC10B2"/>
    <w:rsid w:val="00CC220B"/>
    <w:rsid w:val="00CC23E8"/>
    <w:rsid w:val="00CC2C58"/>
    <w:rsid w:val="00CC3172"/>
    <w:rsid w:val="00CC3DFF"/>
    <w:rsid w:val="00CC3FE5"/>
    <w:rsid w:val="00CC5C43"/>
    <w:rsid w:val="00CC741B"/>
    <w:rsid w:val="00CD0194"/>
    <w:rsid w:val="00CD01CC"/>
    <w:rsid w:val="00CD0211"/>
    <w:rsid w:val="00CD02AE"/>
    <w:rsid w:val="00CD0CAA"/>
    <w:rsid w:val="00CD0D5F"/>
    <w:rsid w:val="00CD213F"/>
    <w:rsid w:val="00CD218E"/>
    <w:rsid w:val="00CD245D"/>
    <w:rsid w:val="00CD2A4F"/>
    <w:rsid w:val="00CD33FE"/>
    <w:rsid w:val="00CD3647"/>
    <w:rsid w:val="00CD4335"/>
    <w:rsid w:val="00CE03CA"/>
    <w:rsid w:val="00CE1FBE"/>
    <w:rsid w:val="00CE22F1"/>
    <w:rsid w:val="00CE4AC8"/>
    <w:rsid w:val="00CE4BD8"/>
    <w:rsid w:val="00CE50F2"/>
    <w:rsid w:val="00CE5A4F"/>
    <w:rsid w:val="00CE6502"/>
    <w:rsid w:val="00CE6E19"/>
    <w:rsid w:val="00CE7016"/>
    <w:rsid w:val="00CE7986"/>
    <w:rsid w:val="00CE7CB3"/>
    <w:rsid w:val="00CF1CD1"/>
    <w:rsid w:val="00CF22F3"/>
    <w:rsid w:val="00CF2B54"/>
    <w:rsid w:val="00CF2E86"/>
    <w:rsid w:val="00CF33F7"/>
    <w:rsid w:val="00CF4C9F"/>
    <w:rsid w:val="00CF55EF"/>
    <w:rsid w:val="00CF70FB"/>
    <w:rsid w:val="00CF73F2"/>
    <w:rsid w:val="00CF7D3C"/>
    <w:rsid w:val="00D00ACB"/>
    <w:rsid w:val="00D0168B"/>
    <w:rsid w:val="00D0261E"/>
    <w:rsid w:val="00D045E0"/>
    <w:rsid w:val="00D04CB8"/>
    <w:rsid w:val="00D04FA9"/>
    <w:rsid w:val="00D06378"/>
    <w:rsid w:val="00D06C42"/>
    <w:rsid w:val="00D12606"/>
    <w:rsid w:val="00D147EB"/>
    <w:rsid w:val="00D1493D"/>
    <w:rsid w:val="00D14972"/>
    <w:rsid w:val="00D170E4"/>
    <w:rsid w:val="00D171F8"/>
    <w:rsid w:val="00D1730B"/>
    <w:rsid w:val="00D17C76"/>
    <w:rsid w:val="00D21869"/>
    <w:rsid w:val="00D21BEC"/>
    <w:rsid w:val="00D22399"/>
    <w:rsid w:val="00D235AB"/>
    <w:rsid w:val="00D2360D"/>
    <w:rsid w:val="00D24911"/>
    <w:rsid w:val="00D24F41"/>
    <w:rsid w:val="00D26896"/>
    <w:rsid w:val="00D277D6"/>
    <w:rsid w:val="00D30457"/>
    <w:rsid w:val="00D309E3"/>
    <w:rsid w:val="00D32A95"/>
    <w:rsid w:val="00D3305E"/>
    <w:rsid w:val="00D336AC"/>
    <w:rsid w:val="00D33FAE"/>
    <w:rsid w:val="00D34667"/>
    <w:rsid w:val="00D37727"/>
    <w:rsid w:val="00D401E1"/>
    <w:rsid w:val="00D406DA"/>
    <w:rsid w:val="00D408B4"/>
    <w:rsid w:val="00D41A3B"/>
    <w:rsid w:val="00D427E5"/>
    <w:rsid w:val="00D431DB"/>
    <w:rsid w:val="00D43624"/>
    <w:rsid w:val="00D44C8D"/>
    <w:rsid w:val="00D45D94"/>
    <w:rsid w:val="00D45D99"/>
    <w:rsid w:val="00D46343"/>
    <w:rsid w:val="00D465BA"/>
    <w:rsid w:val="00D4756B"/>
    <w:rsid w:val="00D47F8F"/>
    <w:rsid w:val="00D51692"/>
    <w:rsid w:val="00D517B0"/>
    <w:rsid w:val="00D524C8"/>
    <w:rsid w:val="00D52546"/>
    <w:rsid w:val="00D52DE1"/>
    <w:rsid w:val="00D53736"/>
    <w:rsid w:val="00D54DC0"/>
    <w:rsid w:val="00D54ED7"/>
    <w:rsid w:val="00D57405"/>
    <w:rsid w:val="00D576FF"/>
    <w:rsid w:val="00D60E0D"/>
    <w:rsid w:val="00D60E25"/>
    <w:rsid w:val="00D61A7D"/>
    <w:rsid w:val="00D62310"/>
    <w:rsid w:val="00D63E44"/>
    <w:rsid w:val="00D649FC"/>
    <w:rsid w:val="00D65921"/>
    <w:rsid w:val="00D6728E"/>
    <w:rsid w:val="00D6746F"/>
    <w:rsid w:val="00D67BBE"/>
    <w:rsid w:val="00D702DE"/>
    <w:rsid w:val="00D70E24"/>
    <w:rsid w:val="00D7105E"/>
    <w:rsid w:val="00D71491"/>
    <w:rsid w:val="00D72B61"/>
    <w:rsid w:val="00D76F14"/>
    <w:rsid w:val="00D779A0"/>
    <w:rsid w:val="00D81FB8"/>
    <w:rsid w:val="00D83131"/>
    <w:rsid w:val="00D83EDB"/>
    <w:rsid w:val="00D844A2"/>
    <w:rsid w:val="00D849A3"/>
    <w:rsid w:val="00D85CA0"/>
    <w:rsid w:val="00D87850"/>
    <w:rsid w:val="00D87B18"/>
    <w:rsid w:val="00D9035C"/>
    <w:rsid w:val="00D90FEB"/>
    <w:rsid w:val="00D917B6"/>
    <w:rsid w:val="00D92C53"/>
    <w:rsid w:val="00D95E39"/>
    <w:rsid w:val="00D97300"/>
    <w:rsid w:val="00D97AF2"/>
    <w:rsid w:val="00DA03F7"/>
    <w:rsid w:val="00DA0FA0"/>
    <w:rsid w:val="00DA1087"/>
    <w:rsid w:val="00DA1C5A"/>
    <w:rsid w:val="00DA2024"/>
    <w:rsid w:val="00DA293D"/>
    <w:rsid w:val="00DA3A34"/>
    <w:rsid w:val="00DA3D1D"/>
    <w:rsid w:val="00DA508E"/>
    <w:rsid w:val="00DA5328"/>
    <w:rsid w:val="00DA5FFE"/>
    <w:rsid w:val="00DA60FE"/>
    <w:rsid w:val="00DA67A5"/>
    <w:rsid w:val="00DA6D25"/>
    <w:rsid w:val="00DA7B66"/>
    <w:rsid w:val="00DB0138"/>
    <w:rsid w:val="00DB0168"/>
    <w:rsid w:val="00DB0C93"/>
    <w:rsid w:val="00DB14CD"/>
    <w:rsid w:val="00DB1507"/>
    <w:rsid w:val="00DB239A"/>
    <w:rsid w:val="00DB27DC"/>
    <w:rsid w:val="00DB44C7"/>
    <w:rsid w:val="00DB49FF"/>
    <w:rsid w:val="00DB6286"/>
    <w:rsid w:val="00DB645F"/>
    <w:rsid w:val="00DB76E9"/>
    <w:rsid w:val="00DC09CB"/>
    <w:rsid w:val="00DC0A67"/>
    <w:rsid w:val="00DC1D5E"/>
    <w:rsid w:val="00DC1E13"/>
    <w:rsid w:val="00DC2313"/>
    <w:rsid w:val="00DC2793"/>
    <w:rsid w:val="00DC29AC"/>
    <w:rsid w:val="00DC2E56"/>
    <w:rsid w:val="00DC5220"/>
    <w:rsid w:val="00DC56FA"/>
    <w:rsid w:val="00DC5A5B"/>
    <w:rsid w:val="00DC66DE"/>
    <w:rsid w:val="00DC67F0"/>
    <w:rsid w:val="00DC7910"/>
    <w:rsid w:val="00DD12E1"/>
    <w:rsid w:val="00DD2061"/>
    <w:rsid w:val="00DD2281"/>
    <w:rsid w:val="00DD2B8B"/>
    <w:rsid w:val="00DD2E52"/>
    <w:rsid w:val="00DD3197"/>
    <w:rsid w:val="00DD3C37"/>
    <w:rsid w:val="00DD427D"/>
    <w:rsid w:val="00DD62AF"/>
    <w:rsid w:val="00DD7BAD"/>
    <w:rsid w:val="00DD7C1C"/>
    <w:rsid w:val="00DD7DAB"/>
    <w:rsid w:val="00DE0711"/>
    <w:rsid w:val="00DE2A69"/>
    <w:rsid w:val="00DE2C32"/>
    <w:rsid w:val="00DE3355"/>
    <w:rsid w:val="00DE3E0D"/>
    <w:rsid w:val="00DE585B"/>
    <w:rsid w:val="00DE5A8C"/>
    <w:rsid w:val="00DE5F72"/>
    <w:rsid w:val="00DF486F"/>
    <w:rsid w:val="00DF5AAC"/>
    <w:rsid w:val="00DF5B5B"/>
    <w:rsid w:val="00DF5CF7"/>
    <w:rsid w:val="00DF6326"/>
    <w:rsid w:val="00DF695B"/>
    <w:rsid w:val="00DF6CD2"/>
    <w:rsid w:val="00DF7619"/>
    <w:rsid w:val="00DF7814"/>
    <w:rsid w:val="00DF7DA9"/>
    <w:rsid w:val="00E00471"/>
    <w:rsid w:val="00E009FD"/>
    <w:rsid w:val="00E040B3"/>
    <w:rsid w:val="00E042D8"/>
    <w:rsid w:val="00E07EE7"/>
    <w:rsid w:val="00E106AF"/>
    <w:rsid w:val="00E106FE"/>
    <w:rsid w:val="00E1103B"/>
    <w:rsid w:val="00E11296"/>
    <w:rsid w:val="00E12029"/>
    <w:rsid w:val="00E12A95"/>
    <w:rsid w:val="00E16A83"/>
    <w:rsid w:val="00E17B44"/>
    <w:rsid w:val="00E223A2"/>
    <w:rsid w:val="00E23187"/>
    <w:rsid w:val="00E239EA"/>
    <w:rsid w:val="00E25415"/>
    <w:rsid w:val="00E26428"/>
    <w:rsid w:val="00E27658"/>
    <w:rsid w:val="00E27FEA"/>
    <w:rsid w:val="00E30933"/>
    <w:rsid w:val="00E310E4"/>
    <w:rsid w:val="00E313B9"/>
    <w:rsid w:val="00E3380B"/>
    <w:rsid w:val="00E34062"/>
    <w:rsid w:val="00E342A7"/>
    <w:rsid w:val="00E34901"/>
    <w:rsid w:val="00E355D5"/>
    <w:rsid w:val="00E35EF3"/>
    <w:rsid w:val="00E377B9"/>
    <w:rsid w:val="00E379C9"/>
    <w:rsid w:val="00E4086F"/>
    <w:rsid w:val="00E40E1F"/>
    <w:rsid w:val="00E40EFF"/>
    <w:rsid w:val="00E43B3C"/>
    <w:rsid w:val="00E44595"/>
    <w:rsid w:val="00E44FDB"/>
    <w:rsid w:val="00E45496"/>
    <w:rsid w:val="00E4669D"/>
    <w:rsid w:val="00E4688E"/>
    <w:rsid w:val="00E5000D"/>
    <w:rsid w:val="00E50188"/>
    <w:rsid w:val="00E515CB"/>
    <w:rsid w:val="00E51B11"/>
    <w:rsid w:val="00E52260"/>
    <w:rsid w:val="00E546B7"/>
    <w:rsid w:val="00E6006F"/>
    <w:rsid w:val="00E60243"/>
    <w:rsid w:val="00E61174"/>
    <w:rsid w:val="00E613C5"/>
    <w:rsid w:val="00E6177E"/>
    <w:rsid w:val="00E61E13"/>
    <w:rsid w:val="00E62E08"/>
    <w:rsid w:val="00E639B6"/>
    <w:rsid w:val="00E6434B"/>
    <w:rsid w:val="00E6440D"/>
    <w:rsid w:val="00E6463D"/>
    <w:rsid w:val="00E646BD"/>
    <w:rsid w:val="00E64948"/>
    <w:rsid w:val="00E6503F"/>
    <w:rsid w:val="00E65AC3"/>
    <w:rsid w:val="00E67D5A"/>
    <w:rsid w:val="00E705BD"/>
    <w:rsid w:val="00E7130E"/>
    <w:rsid w:val="00E717EB"/>
    <w:rsid w:val="00E72764"/>
    <w:rsid w:val="00E72E9B"/>
    <w:rsid w:val="00E751D0"/>
    <w:rsid w:val="00E75CEE"/>
    <w:rsid w:val="00E76AC4"/>
    <w:rsid w:val="00E77EBB"/>
    <w:rsid w:val="00E80FFF"/>
    <w:rsid w:val="00E82792"/>
    <w:rsid w:val="00E82E8A"/>
    <w:rsid w:val="00E8457C"/>
    <w:rsid w:val="00E849DA"/>
    <w:rsid w:val="00E84E39"/>
    <w:rsid w:val="00E85647"/>
    <w:rsid w:val="00E856E3"/>
    <w:rsid w:val="00E85976"/>
    <w:rsid w:val="00E86BF9"/>
    <w:rsid w:val="00E87A70"/>
    <w:rsid w:val="00E905A1"/>
    <w:rsid w:val="00E91AA1"/>
    <w:rsid w:val="00E9307A"/>
    <w:rsid w:val="00E93BBC"/>
    <w:rsid w:val="00E9462E"/>
    <w:rsid w:val="00E948DE"/>
    <w:rsid w:val="00E95735"/>
    <w:rsid w:val="00E958B7"/>
    <w:rsid w:val="00E97B26"/>
    <w:rsid w:val="00EA4040"/>
    <w:rsid w:val="00EA470E"/>
    <w:rsid w:val="00EA47A7"/>
    <w:rsid w:val="00EA513A"/>
    <w:rsid w:val="00EA57EB"/>
    <w:rsid w:val="00EA5E5B"/>
    <w:rsid w:val="00EA6027"/>
    <w:rsid w:val="00EA6C66"/>
    <w:rsid w:val="00EA7A89"/>
    <w:rsid w:val="00EA7D9C"/>
    <w:rsid w:val="00EB267C"/>
    <w:rsid w:val="00EB3226"/>
    <w:rsid w:val="00EB3250"/>
    <w:rsid w:val="00EB3879"/>
    <w:rsid w:val="00EB416C"/>
    <w:rsid w:val="00EB68E4"/>
    <w:rsid w:val="00EC05B2"/>
    <w:rsid w:val="00EC0A28"/>
    <w:rsid w:val="00EC0E78"/>
    <w:rsid w:val="00EC213A"/>
    <w:rsid w:val="00EC3B02"/>
    <w:rsid w:val="00EC47B7"/>
    <w:rsid w:val="00EC53C8"/>
    <w:rsid w:val="00EC6603"/>
    <w:rsid w:val="00EC68E9"/>
    <w:rsid w:val="00EC7744"/>
    <w:rsid w:val="00ED0DAD"/>
    <w:rsid w:val="00ED0F46"/>
    <w:rsid w:val="00ED1515"/>
    <w:rsid w:val="00ED2373"/>
    <w:rsid w:val="00ED32F0"/>
    <w:rsid w:val="00ED4D03"/>
    <w:rsid w:val="00ED57EA"/>
    <w:rsid w:val="00ED6731"/>
    <w:rsid w:val="00EE05B8"/>
    <w:rsid w:val="00EE26AE"/>
    <w:rsid w:val="00EE2A26"/>
    <w:rsid w:val="00EE3E8A"/>
    <w:rsid w:val="00EE42C7"/>
    <w:rsid w:val="00EE548B"/>
    <w:rsid w:val="00EE56AE"/>
    <w:rsid w:val="00EE63CE"/>
    <w:rsid w:val="00EE71B3"/>
    <w:rsid w:val="00EF06D7"/>
    <w:rsid w:val="00EF0990"/>
    <w:rsid w:val="00EF612F"/>
    <w:rsid w:val="00EF63FA"/>
    <w:rsid w:val="00EF6ECA"/>
    <w:rsid w:val="00EF7FE9"/>
    <w:rsid w:val="00F00401"/>
    <w:rsid w:val="00F01393"/>
    <w:rsid w:val="00F024E1"/>
    <w:rsid w:val="00F03187"/>
    <w:rsid w:val="00F05D27"/>
    <w:rsid w:val="00F067DF"/>
    <w:rsid w:val="00F06C10"/>
    <w:rsid w:val="00F07BBE"/>
    <w:rsid w:val="00F10857"/>
    <w:rsid w:val="00F1096F"/>
    <w:rsid w:val="00F10DB7"/>
    <w:rsid w:val="00F117D0"/>
    <w:rsid w:val="00F12589"/>
    <w:rsid w:val="00F12595"/>
    <w:rsid w:val="00F134D9"/>
    <w:rsid w:val="00F1403D"/>
    <w:rsid w:val="00F1463F"/>
    <w:rsid w:val="00F15221"/>
    <w:rsid w:val="00F156A6"/>
    <w:rsid w:val="00F15C32"/>
    <w:rsid w:val="00F15CB4"/>
    <w:rsid w:val="00F160CE"/>
    <w:rsid w:val="00F17B74"/>
    <w:rsid w:val="00F20B9B"/>
    <w:rsid w:val="00F21302"/>
    <w:rsid w:val="00F21CB6"/>
    <w:rsid w:val="00F22B84"/>
    <w:rsid w:val="00F245B3"/>
    <w:rsid w:val="00F24B69"/>
    <w:rsid w:val="00F25156"/>
    <w:rsid w:val="00F25AAB"/>
    <w:rsid w:val="00F2614D"/>
    <w:rsid w:val="00F26269"/>
    <w:rsid w:val="00F266BD"/>
    <w:rsid w:val="00F2732B"/>
    <w:rsid w:val="00F31375"/>
    <w:rsid w:val="00F315C5"/>
    <w:rsid w:val="00F31625"/>
    <w:rsid w:val="00F31E63"/>
    <w:rsid w:val="00F31E7C"/>
    <w:rsid w:val="00F321DE"/>
    <w:rsid w:val="00F32E99"/>
    <w:rsid w:val="00F33330"/>
    <w:rsid w:val="00F33777"/>
    <w:rsid w:val="00F3429F"/>
    <w:rsid w:val="00F34F1D"/>
    <w:rsid w:val="00F3711C"/>
    <w:rsid w:val="00F371AE"/>
    <w:rsid w:val="00F371CC"/>
    <w:rsid w:val="00F402F8"/>
    <w:rsid w:val="00F40648"/>
    <w:rsid w:val="00F41294"/>
    <w:rsid w:val="00F41AFB"/>
    <w:rsid w:val="00F42C4D"/>
    <w:rsid w:val="00F432F5"/>
    <w:rsid w:val="00F437E2"/>
    <w:rsid w:val="00F44748"/>
    <w:rsid w:val="00F47072"/>
    <w:rsid w:val="00F47DA2"/>
    <w:rsid w:val="00F519FC"/>
    <w:rsid w:val="00F55961"/>
    <w:rsid w:val="00F5599A"/>
    <w:rsid w:val="00F569A6"/>
    <w:rsid w:val="00F5702A"/>
    <w:rsid w:val="00F5708F"/>
    <w:rsid w:val="00F5775F"/>
    <w:rsid w:val="00F603D6"/>
    <w:rsid w:val="00F608D5"/>
    <w:rsid w:val="00F61CBF"/>
    <w:rsid w:val="00F61D41"/>
    <w:rsid w:val="00F620A9"/>
    <w:rsid w:val="00F621CC"/>
    <w:rsid w:val="00F6239D"/>
    <w:rsid w:val="00F62415"/>
    <w:rsid w:val="00F652EF"/>
    <w:rsid w:val="00F6553B"/>
    <w:rsid w:val="00F6641E"/>
    <w:rsid w:val="00F6763E"/>
    <w:rsid w:val="00F7155E"/>
    <w:rsid w:val="00F715D2"/>
    <w:rsid w:val="00F71DA0"/>
    <w:rsid w:val="00F722DF"/>
    <w:rsid w:val="00F7274F"/>
    <w:rsid w:val="00F738DE"/>
    <w:rsid w:val="00F73C4C"/>
    <w:rsid w:val="00F744A1"/>
    <w:rsid w:val="00F75BAE"/>
    <w:rsid w:val="00F76FA8"/>
    <w:rsid w:val="00F77C1E"/>
    <w:rsid w:val="00F8176F"/>
    <w:rsid w:val="00F83499"/>
    <w:rsid w:val="00F85235"/>
    <w:rsid w:val="00F866FD"/>
    <w:rsid w:val="00F87377"/>
    <w:rsid w:val="00F90952"/>
    <w:rsid w:val="00F9164F"/>
    <w:rsid w:val="00F91B02"/>
    <w:rsid w:val="00F923FA"/>
    <w:rsid w:val="00F92E2D"/>
    <w:rsid w:val="00F93926"/>
    <w:rsid w:val="00F93F08"/>
    <w:rsid w:val="00F94CED"/>
    <w:rsid w:val="00F954CD"/>
    <w:rsid w:val="00F95AB7"/>
    <w:rsid w:val="00F968B9"/>
    <w:rsid w:val="00F97AB7"/>
    <w:rsid w:val="00F97E4A"/>
    <w:rsid w:val="00FA0955"/>
    <w:rsid w:val="00FA2831"/>
    <w:rsid w:val="00FA2CEE"/>
    <w:rsid w:val="00FA2FF0"/>
    <w:rsid w:val="00FA318C"/>
    <w:rsid w:val="00FA31E3"/>
    <w:rsid w:val="00FA6F73"/>
    <w:rsid w:val="00FA7084"/>
    <w:rsid w:val="00FB0356"/>
    <w:rsid w:val="00FB1A3D"/>
    <w:rsid w:val="00FB316C"/>
    <w:rsid w:val="00FB4620"/>
    <w:rsid w:val="00FB46EB"/>
    <w:rsid w:val="00FB6EAC"/>
    <w:rsid w:val="00FB6F92"/>
    <w:rsid w:val="00FB74DB"/>
    <w:rsid w:val="00FC026E"/>
    <w:rsid w:val="00FC0588"/>
    <w:rsid w:val="00FC060E"/>
    <w:rsid w:val="00FC2039"/>
    <w:rsid w:val="00FC2C3F"/>
    <w:rsid w:val="00FC3192"/>
    <w:rsid w:val="00FC3408"/>
    <w:rsid w:val="00FC38D8"/>
    <w:rsid w:val="00FC3E35"/>
    <w:rsid w:val="00FC4438"/>
    <w:rsid w:val="00FC5124"/>
    <w:rsid w:val="00FC59DA"/>
    <w:rsid w:val="00FC5E86"/>
    <w:rsid w:val="00FC6C49"/>
    <w:rsid w:val="00FC79CB"/>
    <w:rsid w:val="00FD030F"/>
    <w:rsid w:val="00FD1F5B"/>
    <w:rsid w:val="00FD243D"/>
    <w:rsid w:val="00FD2606"/>
    <w:rsid w:val="00FD2D2E"/>
    <w:rsid w:val="00FD2D3A"/>
    <w:rsid w:val="00FD300A"/>
    <w:rsid w:val="00FD3579"/>
    <w:rsid w:val="00FD3C44"/>
    <w:rsid w:val="00FD4731"/>
    <w:rsid w:val="00FD4D70"/>
    <w:rsid w:val="00FD60BE"/>
    <w:rsid w:val="00FD6C68"/>
    <w:rsid w:val="00FD790A"/>
    <w:rsid w:val="00FE01A6"/>
    <w:rsid w:val="00FE1644"/>
    <w:rsid w:val="00FE2487"/>
    <w:rsid w:val="00FE3380"/>
    <w:rsid w:val="00FE3895"/>
    <w:rsid w:val="00FE501A"/>
    <w:rsid w:val="00FE6193"/>
    <w:rsid w:val="00FE7A6B"/>
    <w:rsid w:val="00FF07D5"/>
    <w:rsid w:val="00FF0AB0"/>
    <w:rsid w:val="00FF0DD8"/>
    <w:rsid w:val="00FF16E4"/>
    <w:rsid w:val="00FF1886"/>
    <w:rsid w:val="00FF28AC"/>
    <w:rsid w:val="00FF3938"/>
    <w:rsid w:val="00FF4652"/>
    <w:rsid w:val="00FF52DC"/>
    <w:rsid w:val="00FF7473"/>
    <w:rsid w:val="00FF7F62"/>
    <w:rsid w:val="03D63B58"/>
    <w:rsid w:val="061A3970"/>
    <w:rsid w:val="0623B633"/>
    <w:rsid w:val="08B03705"/>
    <w:rsid w:val="08E0F049"/>
    <w:rsid w:val="0AC5F506"/>
    <w:rsid w:val="0C2802E7"/>
    <w:rsid w:val="0EE1D7CB"/>
    <w:rsid w:val="1028DBAA"/>
    <w:rsid w:val="10F7921F"/>
    <w:rsid w:val="11251284"/>
    <w:rsid w:val="12694B1F"/>
    <w:rsid w:val="1354DE03"/>
    <w:rsid w:val="14A9C6E3"/>
    <w:rsid w:val="15596DAF"/>
    <w:rsid w:val="15746488"/>
    <w:rsid w:val="1670B3B9"/>
    <w:rsid w:val="16E15D24"/>
    <w:rsid w:val="17548AF3"/>
    <w:rsid w:val="192F589B"/>
    <w:rsid w:val="19D20711"/>
    <w:rsid w:val="19FCB416"/>
    <w:rsid w:val="1A85F6AC"/>
    <w:rsid w:val="1B8B89CF"/>
    <w:rsid w:val="1D0EFA5A"/>
    <w:rsid w:val="1E20671F"/>
    <w:rsid w:val="202D4C27"/>
    <w:rsid w:val="20C41636"/>
    <w:rsid w:val="20D0BD60"/>
    <w:rsid w:val="21F7FDEB"/>
    <w:rsid w:val="2266044F"/>
    <w:rsid w:val="24AE83FE"/>
    <w:rsid w:val="26BAB804"/>
    <w:rsid w:val="28DFCD8E"/>
    <w:rsid w:val="2BB16897"/>
    <w:rsid w:val="2C380790"/>
    <w:rsid w:val="2C39D457"/>
    <w:rsid w:val="2C558F81"/>
    <w:rsid w:val="2CCE370C"/>
    <w:rsid w:val="2E4654D5"/>
    <w:rsid w:val="2ECA8853"/>
    <w:rsid w:val="309E640F"/>
    <w:rsid w:val="3139D94F"/>
    <w:rsid w:val="314521CD"/>
    <w:rsid w:val="349ABB25"/>
    <w:rsid w:val="37C7681B"/>
    <w:rsid w:val="382A95E6"/>
    <w:rsid w:val="38419EBC"/>
    <w:rsid w:val="3A6A5105"/>
    <w:rsid w:val="3B0E0700"/>
    <w:rsid w:val="3BE555C5"/>
    <w:rsid w:val="3C27F27A"/>
    <w:rsid w:val="3C5083EA"/>
    <w:rsid w:val="3E0C1CA9"/>
    <w:rsid w:val="3F1B1A90"/>
    <w:rsid w:val="40283B96"/>
    <w:rsid w:val="409D1214"/>
    <w:rsid w:val="413DAC6C"/>
    <w:rsid w:val="415C4619"/>
    <w:rsid w:val="41A83D94"/>
    <w:rsid w:val="463798A9"/>
    <w:rsid w:val="468496FD"/>
    <w:rsid w:val="478F22E3"/>
    <w:rsid w:val="48409AD6"/>
    <w:rsid w:val="487BB5E4"/>
    <w:rsid w:val="49EF6BAD"/>
    <w:rsid w:val="4A015B39"/>
    <w:rsid w:val="4C145740"/>
    <w:rsid w:val="4F2BD16F"/>
    <w:rsid w:val="4F32FA47"/>
    <w:rsid w:val="5401AD6A"/>
    <w:rsid w:val="58F80350"/>
    <w:rsid w:val="5945E6B5"/>
    <w:rsid w:val="5B603FA3"/>
    <w:rsid w:val="5BE0A488"/>
    <w:rsid w:val="5DD78D32"/>
    <w:rsid w:val="5DE2F605"/>
    <w:rsid w:val="5F959501"/>
    <w:rsid w:val="61807873"/>
    <w:rsid w:val="61BA21ED"/>
    <w:rsid w:val="631FF2CB"/>
    <w:rsid w:val="64FA808E"/>
    <w:rsid w:val="65CDC2C6"/>
    <w:rsid w:val="662F615B"/>
    <w:rsid w:val="69CD963F"/>
    <w:rsid w:val="6CC05A87"/>
    <w:rsid w:val="6CE49FD3"/>
    <w:rsid w:val="6D16515F"/>
    <w:rsid w:val="6D63611B"/>
    <w:rsid w:val="6EDAA1AE"/>
    <w:rsid w:val="6F273EA6"/>
    <w:rsid w:val="708295BA"/>
    <w:rsid w:val="7256DF95"/>
    <w:rsid w:val="728A443B"/>
    <w:rsid w:val="7575DFFC"/>
    <w:rsid w:val="75A66181"/>
    <w:rsid w:val="75F45822"/>
    <w:rsid w:val="76320EDF"/>
    <w:rsid w:val="7A116FEA"/>
    <w:rsid w:val="7B3C9AAB"/>
    <w:rsid w:val="7CB375EA"/>
    <w:rsid w:val="7DEF6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B255"/>
  <w15:docId w15:val="{D84F5C90-2730-4C7B-B16D-2129660A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5C52"/>
    <w:rPr>
      <w:rFonts w:ascii="Arial" w:hAnsi="Arial"/>
      <w:sz w:val="22"/>
      <w:szCs w:val="24"/>
      <w:lang w:eastAsia="en-US"/>
    </w:rPr>
  </w:style>
  <w:style w:type="paragraph" w:styleId="Heading1">
    <w:name w:val="heading 1"/>
    <w:basedOn w:val="Normal"/>
    <w:next w:val="Normal"/>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421ED7"/>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451603"/>
    <w:pPr>
      <w:numPr>
        <w:ilvl w:val="1"/>
      </w:numPr>
      <w:spacing w:before="120" w:after="60"/>
    </w:pPr>
    <w:rPr>
      <w:rFonts w:ascii="Arial" w:eastAsiaTheme="majorEastAsia" w:hAnsi="Arial" w:cstheme="majorBidi"/>
      <w:iCs/>
      <w:color w:val="3F4A75"/>
      <w:spacing w:val="15"/>
      <w:sz w:val="32"/>
      <w:szCs w:val="24"/>
      <w:lang w:eastAsia="en-US"/>
    </w:rPr>
  </w:style>
  <w:style w:type="character" w:customStyle="1" w:styleId="SubtitleChar">
    <w:name w:val="Subtitle Char"/>
    <w:basedOn w:val="DefaultParagraphFont"/>
    <w:link w:val="Subtitle"/>
    <w:rsid w:val="00451603"/>
    <w:rPr>
      <w:rFonts w:ascii="Arial" w:eastAsiaTheme="majorEastAsia" w:hAnsi="Arial" w:cstheme="majorBidi"/>
      <w:iCs/>
      <w:color w:val="3F4A75"/>
      <w:spacing w:val="15"/>
      <w:sz w:val="32"/>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6"/>
      </w:numPr>
      <w:ind w:left="568" w:hanging="284"/>
    </w:pPr>
  </w:style>
  <w:style w:type="paragraph" w:styleId="ListNumber2">
    <w:name w:val="List Number 2"/>
    <w:basedOn w:val="ListBullet"/>
    <w:qFormat/>
    <w:rsid w:val="00A56F17"/>
    <w:pPr>
      <w:numPr>
        <w:numId w:val="8"/>
      </w:numPr>
    </w:pPr>
  </w:style>
  <w:style w:type="paragraph" w:styleId="ListBullet">
    <w:name w:val="List Bullet"/>
    <w:basedOn w:val="Normal"/>
    <w:qFormat/>
    <w:rsid w:val="00A56F17"/>
    <w:pPr>
      <w:numPr>
        <w:numId w:val="7"/>
      </w:numPr>
      <w:spacing w:before="60" w:after="60"/>
    </w:pPr>
    <w:rPr>
      <w:color w:val="000000" w:themeColor="text1"/>
      <w:sz w:val="21"/>
    </w:rPr>
  </w:style>
  <w:style w:type="paragraph" w:styleId="ListParagraph">
    <w:name w:val="List Paragraph"/>
    <w:aliases w:val="List Paragraph1,Recommendation,Footnote,BulletPoints"/>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3"/>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aliases w:val="Table Grid2"/>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4"/>
      </w:numPr>
      <w:ind w:left="284" w:hanging="284"/>
    </w:pPr>
    <w:rPr>
      <w:szCs w:val="20"/>
    </w:rPr>
  </w:style>
  <w:style w:type="paragraph" w:customStyle="1" w:styleId="Tablelistnumber">
    <w:name w:val="Table list number"/>
    <w:basedOn w:val="Tabletextleft"/>
    <w:qFormat/>
    <w:rsid w:val="00DD2061"/>
    <w:pPr>
      <w:numPr>
        <w:numId w:val="5"/>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ParaChar">
    <w:name w:val="Para Char"/>
    <w:aliases w:val="Paragraph Char,p Char"/>
    <w:basedOn w:val="DefaultParagraphFont"/>
    <w:link w:val="Para"/>
    <w:uiPriority w:val="1"/>
    <w:locked/>
    <w:rsid w:val="00595DDA"/>
    <w:rPr>
      <w:rFonts w:asciiTheme="minorHAnsi" w:eastAsia="MS Mincho" w:hAnsiTheme="minorHAnsi" w:cs="Tahoma"/>
      <w:sz w:val="22"/>
      <w:lang w:eastAsia="en-GB"/>
    </w:rPr>
  </w:style>
  <w:style w:type="paragraph" w:customStyle="1" w:styleId="Para">
    <w:name w:val="Para"/>
    <w:aliases w:val="Paragraph,p"/>
    <w:basedOn w:val="Normal"/>
    <w:link w:val="ParaChar"/>
    <w:uiPriority w:val="1"/>
    <w:qFormat/>
    <w:rsid w:val="00595DDA"/>
    <w:pPr>
      <w:spacing w:before="200" w:after="120" w:line="288" w:lineRule="auto"/>
    </w:pPr>
    <w:rPr>
      <w:rFonts w:asciiTheme="minorHAnsi" w:eastAsia="MS Mincho" w:hAnsiTheme="minorHAnsi" w:cs="Tahoma"/>
      <w:szCs w:val="20"/>
      <w:lang w:eastAsia="en-GB"/>
    </w:rPr>
  </w:style>
  <w:style w:type="character" w:styleId="CommentReference">
    <w:name w:val="annotation reference"/>
    <w:basedOn w:val="DefaultParagraphFont"/>
    <w:uiPriority w:val="99"/>
    <w:semiHidden/>
    <w:unhideWhenUsed/>
    <w:rsid w:val="00FE7A6B"/>
    <w:rPr>
      <w:sz w:val="16"/>
      <w:szCs w:val="16"/>
    </w:rPr>
  </w:style>
  <w:style w:type="paragraph" w:styleId="CommentText">
    <w:name w:val="annotation text"/>
    <w:basedOn w:val="Normal"/>
    <w:link w:val="CommentTextChar"/>
    <w:uiPriority w:val="99"/>
    <w:unhideWhenUsed/>
    <w:rsid w:val="00FE7A6B"/>
    <w:rPr>
      <w:sz w:val="20"/>
      <w:szCs w:val="20"/>
    </w:rPr>
  </w:style>
  <w:style w:type="character" w:customStyle="1" w:styleId="CommentTextChar">
    <w:name w:val="Comment Text Char"/>
    <w:basedOn w:val="DefaultParagraphFont"/>
    <w:link w:val="CommentText"/>
    <w:uiPriority w:val="99"/>
    <w:rsid w:val="00FE7A6B"/>
    <w:rPr>
      <w:rFonts w:ascii="Arial" w:hAnsi="Arial"/>
      <w:lang w:eastAsia="en-US"/>
    </w:rPr>
  </w:style>
  <w:style w:type="paragraph" w:styleId="CommentSubject">
    <w:name w:val="annotation subject"/>
    <w:basedOn w:val="CommentText"/>
    <w:next w:val="CommentText"/>
    <w:link w:val="CommentSubjectChar"/>
    <w:semiHidden/>
    <w:unhideWhenUsed/>
    <w:rsid w:val="00FE7A6B"/>
    <w:rPr>
      <w:b/>
      <w:bCs/>
    </w:rPr>
  </w:style>
  <w:style w:type="character" w:customStyle="1" w:styleId="CommentSubjectChar">
    <w:name w:val="Comment Subject Char"/>
    <w:basedOn w:val="CommentTextChar"/>
    <w:link w:val="CommentSubject"/>
    <w:semiHidden/>
    <w:rsid w:val="00FE7A6B"/>
    <w:rPr>
      <w:rFonts w:ascii="Arial" w:hAnsi="Arial"/>
      <w:b/>
      <w:bCs/>
      <w:lang w:eastAsia="en-US"/>
    </w:rPr>
  </w:style>
  <w:style w:type="paragraph" w:styleId="TOCHeading">
    <w:name w:val="TOC Heading"/>
    <w:basedOn w:val="Heading1"/>
    <w:next w:val="Normal"/>
    <w:uiPriority w:val="39"/>
    <w:unhideWhenUsed/>
    <w:qFormat/>
    <w:rsid w:val="002914C9"/>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FA31E3"/>
    <w:pPr>
      <w:tabs>
        <w:tab w:val="right" w:leader="dot" w:pos="9060"/>
      </w:tabs>
      <w:spacing w:after="100"/>
    </w:pPr>
    <w:rPr>
      <w:noProof/>
    </w:rPr>
  </w:style>
  <w:style w:type="paragraph" w:styleId="TOC2">
    <w:name w:val="toc 2"/>
    <w:basedOn w:val="Normal"/>
    <w:next w:val="Normal"/>
    <w:autoRedefine/>
    <w:uiPriority w:val="39"/>
    <w:unhideWhenUsed/>
    <w:rsid w:val="002914C9"/>
    <w:pPr>
      <w:spacing w:after="100"/>
      <w:ind w:left="220"/>
    </w:pPr>
  </w:style>
  <w:style w:type="paragraph" w:customStyle="1" w:styleId="Default">
    <w:name w:val="Default"/>
    <w:rsid w:val="00F87377"/>
    <w:pPr>
      <w:autoSpaceDE w:val="0"/>
      <w:autoSpaceDN w:val="0"/>
      <w:adjustRightInd w:val="0"/>
    </w:pPr>
    <w:rPr>
      <w:rFonts w:ascii="Segoe UI" w:hAnsi="Segoe UI" w:cs="Segoe UI"/>
      <w:color w:val="000000"/>
      <w:sz w:val="24"/>
      <w:szCs w:val="24"/>
    </w:rPr>
  </w:style>
  <w:style w:type="paragraph" w:styleId="TOC3">
    <w:name w:val="toc 3"/>
    <w:basedOn w:val="Normal"/>
    <w:next w:val="Normal"/>
    <w:autoRedefine/>
    <w:uiPriority w:val="39"/>
    <w:unhideWhenUsed/>
    <w:rsid w:val="00DA6D25"/>
    <w:pPr>
      <w:spacing w:after="100"/>
      <w:ind w:left="440"/>
    </w:pPr>
  </w:style>
  <w:style w:type="table" w:styleId="GridTable4-Accent2">
    <w:name w:val="Grid Table 4 Accent 2"/>
    <w:basedOn w:val="TableNormal"/>
    <w:uiPriority w:val="49"/>
    <w:rsid w:val="00053B00"/>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customStyle="1" w:styleId="ListParagraphChar">
    <w:name w:val="List Paragraph Char"/>
    <w:aliases w:val="List Paragraph1 Char,Recommendation Char,Footnote Char,BulletPoints Char"/>
    <w:link w:val="ListParagraph"/>
    <w:uiPriority w:val="34"/>
    <w:locked/>
    <w:rsid w:val="00053B00"/>
    <w:rPr>
      <w:rFonts w:ascii="Arial" w:hAnsi="Arial"/>
      <w:sz w:val="22"/>
      <w:szCs w:val="24"/>
      <w:lang w:eastAsia="en-US"/>
    </w:rPr>
  </w:style>
  <w:style w:type="paragraph" w:styleId="Revision">
    <w:name w:val="Revision"/>
    <w:hidden/>
    <w:uiPriority w:val="99"/>
    <w:semiHidden/>
    <w:rsid w:val="00D12606"/>
    <w:rPr>
      <w:rFonts w:ascii="Arial" w:hAnsi="Arial"/>
      <w:sz w:val="22"/>
      <w:szCs w:val="24"/>
      <w:lang w:eastAsia="en-US"/>
    </w:rPr>
  </w:style>
  <w:style w:type="character" w:styleId="UnresolvedMention">
    <w:name w:val="Unresolved Mention"/>
    <w:basedOn w:val="DefaultParagraphFont"/>
    <w:uiPriority w:val="99"/>
    <w:semiHidden/>
    <w:unhideWhenUsed/>
    <w:rsid w:val="00E76AC4"/>
    <w:rPr>
      <w:color w:val="605E5C"/>
      <w:shd w:val="clear" w:color="auto" w:fill="E1DFDD"/>
    </w:rPr>
  </w:style>
  <w:style w:type="character" w:styleId="FootnoteReference">
    <w:name w:val="footnote reference"/>
    <w:basedOn w:val="DefaultParagraphFont"/>
    <w:uiPriority w:val="99"/>
    <w:semiHidden/>
    <w:unhideWhenUsed/>
    <w:rsid w:val="00D33FAE"/>
    <w:rPr>
      <w:vertAlign w:val="superscript"/>
    </w:rPr>
  </w:style>
  <w:style w:type="paragraph" w:customStyle="1" w:styleId="011TableHeading9pt">
    <w:name w:val="01.1 Table Heading [9pt]"/>
    <w:qFormat/>
    <w:rsid w:val="00756F5B"/>
    <w:pPr>
      <w:spacing w:before="80" w:after="40" w:line="259" w:lineRule="auto"/>
    </w:pPr>
    <w:rPr>
      <w:rFonts w:ascii="Calibri" w:hAnsi="Calibri"/>
      <w:b/>
      <w:sz w:val="18"/>
      <w:szCs w:val="22"/>
      <w:lang w:eastAsia="ja-JP"/>
    </w:rPr>
  </w:style>
  <w:style w:type="paragraph" w:customStyle="1" w:styleId="061Tabletext629pt">
    <w:name w:val="06.1 Table text 6:2 [9pt]"/>
    <w:qFormat/>
    <w:rsid w:val="00756F5B"/>
    <w:pPr>
      <w:spacing w:before="120" w:after="40"/>
    </w:pPr>
    <w:rPr>
      <w:rFonts w:ascii="Calibri" w:hAnsi="Calibri"/>
      <w:sz w:val="18"/>
      <w:szCs w:val="22"/>
      <w:lang w:eastAsia="ja-JP"/>
    </w:rPr>
  </w:style>
  <w:style w:type="character" w:styleId="FollowedHyperlink">
    <w:name w:val="FollowedHyperlink"/>
    <w:basedOn w:val="DefaultParagraphFont"/>
    <w:semiHidden/>
    <w:unhideWhenUsed/>
    <w:rsid w:val="00D702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554482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657973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ealth.gov.au/resources/publications/surgical-guides-and-biomodels-condition-for-prescribed-list-reimbursement-frequently-asked-questions?language=en" TargetMode="External"/><Relationship Id="rId21" Type="http://schemas.openxmlformats.org/officeDocument/2006/relationships/hyperlink" Target="https://www.health.gov.au/resources/publications/prostheses-list-post-listing-review-consultants-report" TargetMode="External"/><Relationship Id="rId34" Type="http://schemas.openxmlformats.org/officeDocument/2006/relationships/hyperlink" Target="https://www.health.gov.au/our-work/surgical-guides-and-biomodels-prescribed-list-post-listing-review"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ealth.gov.au/news/phi-circulars/phi-7423-prescribed-list-private-health-insurance-medical-devices-and-human-tissue-products-amendment-rules-no-2-2023?language=en" TargetMode="External"/><Relationship Id="rId33" Type="http://schemas.openxmlformats.org/officeDocument/2006/relationships/hyperlink" Target="https://www.health.gov.au/our-work/prescribed-list/assuran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escribed-list-post-listing-review-consultants-report?language=en"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news/phi-circulars/phi-6723-new-condition-for-surgical-guides-and-biomodels-listed-on-the-prescribed-list?language=en"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resources/publications/prostheses-list-post-listing-review-consultants-report?language=en" TargetMode="External"/><Relationship Id="rId28" Type="http://schemas.openxmlformats.org/officeDocument/2006/relationships/image" Target="media/image2.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gov.au/resources/publications/prostheses-list-post-listing-review-consultants-report?language=en"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publications/prescribed-list-post-listing-review-consultants-report" TargetMode="External"/><Relationship Id="rId27" Type="http://schemas.openxmlformats.org/officeDocument/2006/relationships/hyperlink" Target="https://www.health.gov.au/news/phi-circulars/phi-4825-update-on-condition-for-reimbursement-of-surgical-guides-and-biomodels?language=en" TargetMode="External"/><Relationship Id="rId30" Type="http://schemas.openxmlformats.org/officeDocument/2006/relationships/hyperlink" Target="https://www.health.gov.au/resources/publications/prescribed-list-post-listing-review-consultants-report?language=en"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8f68dd-21f3-4c56-9965-1d76ba918335" xsi:nil="true"/>
    <lcf76f155ced4ddcb4097134ff3c332f xmlns="b216a581-5805-4dcc-9065-78091fa30a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328AABD4C8E49883AF7DD40DD7927" ma:contentTypeVersion="17" ma:contentTypeDescription="Create a new document." ma:contentTypeScope="" ma:versionID="8b8f5ed78a2fad32114bdc75a6c9bad8">
  <xsd:schema xmlns:xsd="http://www.w3.org/2001/XMLSchema" xmlns:xs="http://www.w3.org/2001/XMLSchema" xmlns:p="http://schemas.microsoft.com/office/2006/metadata/properties" xmlns:ns2="b216a581-5805-4dcc-9065-78091fa30ad6" xmlns:ns3="988f68dd-21f3-4c56-9965-1d76ba918335" targetNamespace="http://schemas.microsoft.com/office/2006/metadata/properties" ma:root="true" ma:fieldsID="ff941cd874f1f8dd41b03fa56cede4cf" ns2:_="" ns3:_="">
    <xsd:import namespace="b216a581-5805-4dcc-9065-78091fa30ad6"/>
    <xsd:import namespace="988f68dd-21f3-4c56-9965-1d76ba918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a581-5805-4dcc-9065-78091fa3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f68dd-21f3-4c56-9965-1d76ba9183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2f938-6b89-4582-9feb-19426702a369}" ma:internalName="TaxCatchAll" ma:showField="CatchAllData" ma:web="988f68dd-21f3-4c56-9965-1d76ba91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988f68dd-21f3-4c56-9965-1d76ba918335"/>
    <ds:schemaRef ds:uri="b216a581-5805-4dcc-9065-78091fa30ad6"/>
  </ds:schemaRefs>
</ds:datastoreItem>
</file>

<file path=customXml/itemProps2.xml><?xml version="1.0" encoding="utf-8"?>
<ds:datastoreItem xmlns:ds="http://schemas.openxmlformats.org/officeDocument/2006/customXml" ds:itemID="{3E34B1FE-8658-4DF1-AAB0-99EE4918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a581-5805-4dcc-9065-78091fa30ad6"/>
    <ds:schemaRef ds:uri="988f68dd-21f3-4c56-9965-1d76ba91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4587</Words>
  <Characters>25369</Characters>
  <Application>Microsoft Office Word</Application>
  <DocSecurity>0</DocSecurity>
  <Lines>589</Lines>
  <Paragraphs>282</Paragraphs>
  <ScaleCrop>false</ScaleCrop>
  <Company>Dept Health And Ageing</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guides and biomodels post-listing review draft department report</dc:title>
  <dc:subject>Summary of surgical guides and biomdels post-listing review process and outcomes</dc:subject>
  <dc:creator>Australian Government Department of Health, Disability and Ageing</dc:creator>
  <cp:keywords>Medical devices; Private health insurance; Prescribed List</cp:keywords>
  <dc:description/>
  <dcterms:created xsi:type="dcterms:W3CDTF">2024-11-18T03:44:00Z</dcterms:created>
  <dcterms:modified xsi:type="dcterms:W3CDTF">2026-05-21T06:59:00Z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0x010100F3C328AABD4C8E49883AF7DD40DD7927</vt:lpwstr>
  </property>
  <property fmtid="{D5CDD505-2E9C-101B-9397-08002B2CF9AE}" pid="5" name="MediaServiceImageTags">
    <vt:lpwstr/>
  </property>
  <property fmtid="{D5CDD505-2E9C-101B-9397-08002B2CF9AE}" pid="6" name="docLang">
    <vt:lpwstr>en</vt:lpwstr>
  </property>
  <property fmtid="{D5CDD505-2E9C-101B-9397-08002B2CF9AE}" pid="7" name="ClassificationContentMarkingHeaderShapeIds">
    <vt:lpwstr>73875ee6,60e39013,64770275,622f14d0,27d52538</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3135755c,4d75089,3f87518d,76326419,2d5d1211</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2025-12-22T00:17:30Z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6ad1fcb0-826f-4a8a-b3b2-847e047be7bf</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