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B5653" w14:textId="6C894AEC" w:rsidR="00EE6796" w:rsidRPr="005B05B3" w:rsidRDefault="004E626F" w:rsidP="00EE6796">
      <w:pPr>
        <w:spacing w:after="4800"/>
      </w:pPr>
      <w:r>
        <w:rPr>
          <w:noProof/>
        </w:rPr>
        <mc:AlternateContent>
          <mc:Choice Requires="wps">
            <w:drawing>
              <wp:anchor distT="0" distB="0" distL="114300" distR="114300" simplePos="0" relativeHeight="251662348" behindDoc="1" locked="0" layoutInCell="1" allowOverlap="1" wp14:anchorId="7F6B5B53" wp14:editId="3065527F">
                <wp:simplePos x="0" y="0"/>
                <wp:positionH relativeFrom="column">
                  <wp:posOffset>-942115</wp:posOffset>
                </wp:positionH>
                <wp:positionV relativeFrom="paragraph">
                  <wp:posOffset>-566859</wp:posOffset>
                </wp:positionV>
                <wp:extent cx="7569200" cy="8064500"/>
                <wp:effectExtent l="0" t="0" r="12700" b="12700"/>
                <wp:wrapNone/>
                <wp:docPr id="12690686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9200" cy="8064500"/>
                        </a:xfrm>
                        <a:prstGeom prst="rect">
                          <a:avLst/>
                        </a:prstGeom>
                        <a:solidFill>
                          <a:srgbClr val="0D2B58"/>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9F696" id="Rectangle 11" o:spid="_x0000_s1026" alt="&quot;&quot;" style="position:absolute;margin-left:-74.2pt;margin-top:-44.65pt;width:596pt;height:635pt;z-index:-2516541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" fillcolor="#0d2b58" strokecolor="#030e13 [484]" strokeweight="1pt"/>
            </w:pict>
          </mc:Fallback>
        </mc:AlternateContent>
      </w:r>
      <w:r w:rsidR="008C73B5">
        <w:rPr>
          <w:noProof/>
        </w:rPr>
        <w:drawing>
          <wp:anchor distT="0" distB="0" distL="114300" distR="114300" simplePos="0" relativeHeight="251665420" behindDoc="0" locked="0" layoutInCell="1" allowOverlap="1" wp14:anchorId="370840A1" wp14:editId="6A0C2A0E">
            <wp:simplePos x="0" y="0"/>
            <wp:positionH relativeFrom="column">
              <wp:posOffset>3597910</wp:posOffset>
            </wp:positionH>
            <wp:positionV relativeFrom="page">
              <wp:posOffset>-382905</wp:posOffset>
            </wp:positionV>
            <wp:extent cx="3835400" cy="2692400"/>
            <wp:effectExtent l="0" t="0" r="0" b="0"/>
            <wp:wrapThrough wrapText="bothSides">
              <wp:wrapPolygon edited="0">
                <wp:start x="5650" y="2649"/>
                <wp:lineTo x="5007" y="3974"/>
                <wp:lineTo x="5293" y="4483"/>
                <wp:lineTo x="5293" y="4789"/>
                <wp:lineTo x="7939" y="6113"/>
                <wp:lineTo x="5078" y="6215"/>
                <wp:lineTo x="4077" y="6521"/>
                <wp:lineTo x="4077" y="7743"/>
                <wp:lineTo x="3791" y="8253"/>
                <wp:lineTo x="3934" y="8660"/>
                <wp:lineTo x="4506" y="9374"/>
                <wp:lineTo x="3147" y="9475"/>
                <wp:lineTo x="2074" y="10189"/>
                <wp:lineTo x="1931" y="11921"/>
                <wp:lineTo x="2003" y="13042"/>
                <wp:lineTo x="4005" y="14264"/>
                <wp:lineTo x="4721" y="14264"/>
                <wp:lineTo x="4721" y="14875"/>
                <wp:lineTo x="6723" y="15894"/>
                <wp:lineTo x="7868" y="15894"/>
                <wp:lineTo x="7868" y="16913"/>
                <wp:lineTo x="9727" y="17525"/>
                <wp:lineTo x="12517" y="17626"/>
                <wp:lineTo x="13446" y="19155"/>
                <wp:lineTo x="13518" y="19358"/>
                <wp:lineTo x="14090" y="19358"/>
                <wp:lineTo x="14162" y="19155"/>
                <wp:lineTo x="15234" y="17525"/>
                <wp:lineTo x="15521" y="17219"/>
                <wp:lineTo x="15521" y="16608"/>
                <wp:lineTo x="15091" y="15894"/>
                <wp:lineTo x="15449" y="15894"/>
                <wp:lineTo x="18381" y="14468"/>
                <wp:lineTo x="18525" y="14264"/>
                <wp:lineTo x="19097" y="12634"/>
                <wp:lineTo x="18596" y="11717"/>
                <wp:lineTo x="18167" y="11004"/>
                <wp:lineTo x="16808" y="9272"/>
                <wp:lineTo x="15950" y="7743"/>
                <wp:lineTo x="17809" y="6113"/>
                <wp:lineTo x="19097" y="4075"/>
                <wp:lineTo x="18811" y="3464"/>
                <wp:lineTo x="18167" y="2649"/>
                <wp:lineTo x="5650" y="2649"/>
              </wp:wrapPolygon>
            </wp:wrapThrough>
            <wp:docPr id="1804827420"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27420" name="Picture 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835400" cy="2692400"/>
                    </a:xfrm>
                    <a:prstGeom prst="rect">
                      <a:avLst/>
                    </a:prstGeom>
                  </pic:spPr>
                </pic:pic>
              </a:graphicData>
            </a:graphic>
            <wp14:sizeRelH relativeFrom="page">
              <wp14:pctWidth>0</wp14:pctWidth>
            </wp14:sizeRelH>
            <wp14:sizeRelV relativeFrom="page">
              <wp14:pctHeight>0</wp14:pctHeight>
            </wp14:sizeRelV>
          </wp:anchor>
        </w:drawing>
      </w:r>
    </w:p>
    <w:bookmarkStart w:id="0" w:name="_Toc170808334"/>
    <w:bookmarkStart w:id="1" w:name="_Toc170919658"/>
    <w:p w14:paraId="4A5B8F56" w14:textId="6B533207" w:rsidR="00EE6796" w:rsidRDefault="00CE46B4" w:rsidP="00CE46B4">
      <w:pPr>
        <w:pStyle w:val="Title"/>
        <w:shd w:val="clear" w:color="auto" w:fill="0D2B58"/>
        <w:spacing w:after="4680"/>
        <w:rPr>
          <w:rFonts w:ascii="Aptos" w:hAnsi="Aptos"/>
          <w:lang w:val="en-AU"/>
        </w:rPr>
      </w:pPr>
      <w:r>
        <w:rPr>
          <w:noProof/>
        </w:rPr>
        <mc:AlternateContent>
          <mc:Choice Requires="wps">
            <w:drawing>
              <wp:anchor distT="0" distB="0" distL="114300" distR="114300" simplePos="0" relativeHeight="251664396" behindDoc="1" locked="0" layoutInCell="1" allowOverlap="1" wp14:anchorId="5DFB1C8E" wp14:editId="60C3ECE1">
                <wp:simplePos x="0" y="0"/>
                <wp:positionH relativeFrom="column">
                  <wp:posOffset>-901700</wp:posOffset>
                </wp:positionH>
                <wp:positionV relativeFrom="paragraph">
                  <wp:posOffset>4218305</wp:posOffset>
                </wp:positionV>
                <wp:extent cx="7569200" cy="2743200"/>
                <wp:effectExtent l="0" t="0" r="0" b="0"/>
                <wp:wrapNone/>
                <wp:docPr id="2036121560"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9200" cy="2743200"/>
                        </a:xfrm>
                        <a:prstGeom prst="rect">
                          <a:avLst/>
                        </a:prstGeom>
                        <a:solidFill>
                          <a:srgbClr val="AEA9D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87336" id="Rectangle 11" o:spid="_x0000_s1026" alt="&quot;&quot;" style="position:absolute;margin-left:-71pt;margin-top:332.15pt;width:596pt;height:3in;z-index:-2516520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" fillcolor="#aea9d2" stroked="f" strokeweight="1pt"/>
            </w:pict>
          </mc:Fallback>
        </mc:AlternateContent>
      </w:r>
      <w:r w:rsidR="00EE6796" w:rsidRPr="002B372E">
        <w:rPr>
          <w:rFonts w:ascii="Aptos" w:hAnsi="Aptos"/>
          <w:lang w:val="en-AU"/>
        </w:rPr>
        <w:t>NDIS Provider and Worker Registration Taskforce Advice</w:t>
      </w:r>
    </w:p>
    <w:bookmarkEnd w:id="0"/>
    <w:bookmarkEnd w:id="1"/>
    <w:p w14:paraId="3596A046" w14:textId="08DB9797" w:rsidR="00EE6796" w:rsidRPr="00ED173D" w:rsidRDefault="00EE6796" w:rsidP="00EE6796">
      <w:r w:rsidRPr="00ED173D">
        <w:t>Natalie Wade, Chair</w:t>
      </w:r>
    </w:p>
    <w:p w14:paraId="6E8F6296" w14:textId="77777777" w:rsidR="00EE6796" w:rsidRPr="00ED173D" w:rsidRDefault="00EE6796" w:rsidP="00EE6796">
      <w:r w:rsidRPr="00ED173D">
        <w:t>Michael Borowick JP</w:t>
      </w:r>
    </w:p>
    <w:p w14:paraId="0DC60770" w14:textId="77777777" w:rsidR="00EE6796" w:rsidRPr="00ED173D" w:rsidRDefault="00EE6796" w:rsidP="00EE6796">
      <w:r w:rsidRPr="00ED173D">
        <w:t>The Honourable Vicki O’Halloran AO CVO</w:t>
      </w:r>
    </w:p>
    <w:p w14:paraId="0117F93B" w14:textId="0798550A" w:rsidR="00EE6796" w:rsidRPr="00ED173D" w:rsidRDefault="00EE6796" w:rsidP="00EE6796">
      <w:pPr>
        <w:sectPr w:rsidR="00EE6796" w:rsidRPr="00ED173D" w:rsidSect="00D123D2">
          <w:headerReference w:type="even" r:id="rId12"/>
          <w:headerReference w:type="default" r:id="rId13"/>
          <w:footerReference w:type="even" r:id="rId14"/>
          <w:footerReference w:type="default" r:id="rId15"/>
          <w:headerReference w:type="first" r:id="rId16"/>
          <w:footerReference w:type="first" r:id="rId17"/>
          <w:pgSz w:w="11906" w:h="16838"/>
          <w:pgMar w:top="737" w:right="1440" w:bottom="1440" w:left="1440" w:header="567" w:footer="709" w:gutter="0"/>
          <w:pgNumType w:start="1"/>
          <w:cols w:space="708"/>
          <w:titlePg/>
          <w:docGrid w:linePitch="360"/>
        </w:sectPr>
      </w:pPr>
      <w:r w:rsidRPr="00ED173D">
        <w:t xml:space="preserve">Professor Allan Fels </w:t>
      </w:r>
    </w:p>
    <w:p w14:paraId="51EE09D6" w14:textId="628FF300" w:rsidR="002C6BD9" w:rsidRDefault="005B1C2A">
      <w:pPr>
        <w:pStyle w:val="TOC1"/>
        <w:rPr>
          <w:rFonts w:asciiTheme="minorHAnsi" w:eastAsiaTheme="minorEastAsia" w:hAnsiTheme="minorHAnsi" w:cstheme="minorBidi"/>
          <w:b w:val="0"/>
          <w:bCs w:val="0"/>
          <w:color w:val="auto"/>
          <w:kern w:val="2"/>
          <w:lang w:eastAsia="en-GB"/>
          <w14:ligatures w14:val="standardContextual"/>
        </w:rPr>
      </w:pPr>
      <w:r w:rsidRPr="00EB44D6">
        <w:lastRenderedPageBreak/>
        <w:fldChar w:fldCharType="begin"/>
      </w:r>
      <w:r w:rsidR="00CE7B77" w:rsidRPr="00EB44D6">
        <w:instrText>TOC \o "1-2" \z \u \h</w:instrText>
      </w:r>
      <w:r w:rsidRPr="00EB44D6">
        <w:fldChar w:fldCharType="separate"/>
      </w:r>
      <w:hyperlink w:anchor="_Toc173318044" w:history="1">
        <w:r w:rsidR="002C6BD9" w:rsidRPr="00662567">
          <w:rPr>
            <w:rStyle w:val="Hyperlink"/>
            <w:noProof/>
          </w:rPr>
          <w:t>Foreword</w:t>
        </w:r>
        <w:r w:rsidR="002C6BD9">
          <w:rPr>
            <w:webHidden/>
          </w:rPr>
          <w:tab/>
        </w:r>
        <w:r w:rsidR="002C6BD9">
          <w:rPr>
            <w:webHidden/>
          </w:rPr>
          <w:fldChar w:fldCharType="begin"/>
        </w:r>
        <w:r w:rsidR="002C6BD9">
          <w:rPr>
            <w:webHidden/>
          </w:rPr>
          <w:instrText xml:space="preserve"> PAGEREF _Toc173318044 \h </w:instrText>
        </w:r>
        <w:r w:rsidR="002C6BD9">
          <w:rPr>
            <w:webHidden/>
          </w:rPr>
        </w:r>
        <w:r w:rsidR="002C6BD9">
          <w:rPr>
            <w:webHidden/>
          </w:rPr>
          <w:fldChar w:fldCharType="separate"/>
        </w:r>
        <w:r w:rsidR="002C6BD9">
          <w:rPr>
            <w:webHidden/>
          </w:rPr>
          <w:t>3</w:t>
        </w:r>
        <w:r w:rsidR="002C6BD9">
          <w:rPr>
            <w:webHidden/>
          </w:rPr>
          <w:fldChar w:fldCharType="end"/>
        </w:r>
      </w:hyperlink>
    </w:p>
    <w:p w14:paraId="33FC2831" w14:textId="560B8F7C" w:rsidR="002C6BD9" w:rsidRDefault="002C6BD9">
      <w:pPr>
        <w:pStyle w:val="TOC1"/>
        <w:rPr>
          <w:rFonts w:asciiTheme="minorHAnsi" w:eastAsiaTheme="minorEastAsia" w:hAnsiTheme="minorHAnsi" w:cstheme="minorBidi"/>
          <w:b w:val="0"/>
          <w:bCs w:val="0"/>
          <w:color w:val="auto"/>
          <w:kern w:val="2"/>
          <w:lang w:eastAsia="en-GB"/>
          <w14:ligatures w14:val="standardContextual"/>
        </w:rPr>
      </w:pPr>
      <w:hyperlink w:anchor="_Toc173318045" w:history="1">
        <w:r w:rsidRPr="00662567">
          <w:rPr>
            <w:rStyle w:val="Hyperlink"/>
            <w:noProof/>
          </w:rPr>
          <w:t>Recommendations</w:t>
        </w:r>
        <w:r>
          <w:rPr>
            <w:webHidden/>
          </w:rPr>
          <w:tab/>
        </w:r>
        <w:r>
          <w:rPr>
            <w:webHidden/>
          </w:rPr>
          <w:fldChar w:fldCharType="begin"/>
        </w:r>
        <w:r>
          <w:rPr>
            <w:webHidden/>
          </w:rPr>
          <w:instrText xml:space="preserve"> PAGEREF _Toc173318045 \h </w:instrText>
        </w:r>
        <w:r>
          <w:rPr>
            <w:webHidden/>
          </w:rPr>
        </w:r>
        <w:r>
          <w:rPr>
            <w:webHidden/>
          </w:rPr>
          <w:fldChar w:fldCharType="separate"/>
        </w:r>
        <w:r>
          <w:rPr>
            <w:webHidden/>
          </w:rPr>
          <w:t>5</w:t>
        </w:r>
        <w:r>
          <w:rPr>
            <w:webHidden/>
          </w:rPr>
          <w:fldChar w:fldCharType="end"/>
        </w:r>
      </w:hyperlink>
    </w:p>
    <w:p w14:paraId="6B9EA448" w14:textId="2362940C" w:rsidR="002C6BD9" w:rsidRDefault="002C6BD9">
      <w:pPr>
        <w:pStyle w:val="TOC1"/>
        <w:rPr>
          <w:rFonts w:asciiTheme="minorHAnsi" w:eastAsiaTheme="minorEastAsia" w:hAnsiTheme="minorHAnsi" w:cstheme="minorBidi"/>
          <w:b w:val="0"/>
          <w:bCs w:val="0"/>
          <w:color w:val="auto"/>
          <w:kern w:val="2"/>
          <w:lang w:eastAsia="en-GB"/>
          <w14:ligatures w14:val="standardContextual"/>
        </w:rPr>
      </w:pPr>
      <w:hyperlink w:anchor="_Toc173318046" w:history="1">
        <w:r w:rsidRPr="00662567">
          <w:rPr>
            <w:rStyle w:val="Hyperlink"/>
            <w:noProof/>
          </w:rPr>
          <w:t>Executive Summary</w:t>
        </w:r>
        <w:r>
          <w:rPr>
            <w:webHidden/>
          </w:rPr>
          <w:tab/>
        </w:r>
        <w:r>
          <w:rPr>
            <w:webHidden/>
          </w:rPr>
          <w:fldChar w:fldCharType="begin"/>
        </w:r>
        <w:r>
          <w:rPr>
            <w:webHidden/>
          </w:rPr>
          <w:instrText xml:space="preserve"> PAGEREF _Toc173318046 \h </w:instrText>
        </w:r>
        <w:r>
          <w:rPr>
            <w:webHidden/>
          </w:rPr>
        </w:r>
        <w:r>
          <w:rPr>
            <w:webHidden/>
          </w:rPr>
          <w:fldChar w:fldCharType="separate"/>
        </w:r>
        <w:r>
          <w:rPr>
            <w:webHidden/>
          </w:rPr>
          <w:t>11</w:t>
        </w:r>
        <w:r>
          <w:rPr>
            <w:webHidden/>
          </w:rPr>
          <w:fldChar w:fldCharType="end"/>
        </w:r>
      </w:hyperlink>
    </w:p>
    <w:p w14:paraId="40115F1C" w14:textId="11AE998A" w:rsidR="002C6BD9" w:rsidRDefault="002C6BD9">
      <w:pPr>
        <w:pStyle w:val="TOC1"/>
        <w:rPr>
          <w:rFonts w:asciiTheme="minorHAnsi" w:eastAsiaTheme="minorEastAsia" w:hAnsiTheme="minorHAnsi" w:cstheme="minorBidi"/>
          <w:b w:val="0"/>
          <w:bCs w:val="0"/>
          <w:color w:val="auto"/>
          <w:kern w:val="2"/>
          <w:lang w:eastAsia="en-GB"/>
          <w14:ligatures w14:val="standardContextual"/>
        </w:rPr>
      </w:pPr>
      <w:hyperlink w:anchor="_Toc173318047" w:history="1">
        <w:r w:rsidRPr="00662567">
          <w:rPr>
            <w:rStyle w:val="Hyperlink"/>
            <w:rFonts w:asciiTheme="majorHAnsi" w:hAnsiTheme="majorHAnsi" w:cstheme="majorHAnsi"/>
            <w:noProof/>
          </w:rPr>
          <w:t>1.</w:t>
        </w:r>
        <w:r>
          <w:rPr>
            <w:rFonts w:asciiTheme="minorHAnsi" w:eastAsiaTheme="minorEastAsia" w:hAnsiTheme="minorHAnsi" w:cstheme="minorBidi"/>
            <w:b w:val="0"/>
            <w:bCs w:val="0"/>
            <w:color w:val="auto"/>
            <w:kern w:val="2"/>
            <w:lang w:eastAsia="en-GB"/>
            <w14:ligatures w14:val="standardContextual"/>
          </w:rPr>
          <w:tab/>
        </w:r>
        <w:r w:rsidRPr="00662567">
          <w:rPr>
            <w:rStyle w:val="Hyperlink"/>
            <w:noProof/>
          </w:rPr>
          <w:t>Overview of the NDIS Act and Recommendation 17</w:t>
        </w:r>
        <w:r>
          <w:rPr>
            <w:webHidden/>
          </w:rPr>
          <w:tab/>
        </w:r>
        <w:r>
          <w:rPr>
            <w:webHidden/>
          </w:rPr>
          <w:fldChar w:fldCharType="begin"/>
        </w:r>
        <w:r>
          <w:rPr>
            <w:webHidden/>
          </w:rPr>
          <w:instrText xml:space="preserve"> PAGEREF _Toc173318047 \h </w:instrText>
        </w:r>
        <w:r>
          <w:rPr>
            <w:webHidden/>
          </w:rPr>
        </w:r>
        <w:r>
          <w:rPr>
            <w:webHidden/>
          </w:rPr>
          <w:fldChar w:fldCharType="separate"/>
        </w:r>
        <w:r>
          <w:rPr>
            <w:webHidden/>
          </w:rPr>
          <w:t>15</w:t>
        </w:r>
        <w:r>
          <w:rPr>
            <w:webHidden/>
          </w:rPr>
          <w:fldChar w:fldCharType="end"/>
        </w:r>
      </w:hyperlink>
    </w:p>
    <w:p w14:paraId="757A7FDF" w14:textId="7BFFFE86"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48" w:history="1">
        <w:r w:rsidRPr="00662567">
          <w:rPr>
            <w:rStyle w:val="Hyperlink"/>
            <w:noProof/>
          </w:rPr>
          <w:t>The NDIS Act</w:t>
        </w:r>
        <w:r>
          <w:rPr>
            <w:webHidden/>
          </w:rPr>
          <w:tab/>
        </w:r>
        <w:r>
          <w:rPr>
            <w:webHidden/>
          </w:rPr>
          <w:fldChar w:fldCharType="begin"/>
        </w:r>
        <w:r>
          <w:rPr>
            <w:webHidden/>
          </w:rPr>
          <w:instrText xml:space="preserve"> PAGEREF _Toc173318048 \h </w:instrText>
        </w:r>
        <w:r>
          <w:rPr>
            <w:webHidden/>
          </w:rPr>
        </w:r>
        <w:r>
          <w:rPr>
            <w:webHidden/>
          </w:rPr>
          <w:fldChar w:fldCharType="separate"/>
        </w:r>
        <w:r>
          <w:rPr>
            <w:webHidden/>
          </w:rPr>
          <w:t>15</w:t>
        </w:r>
        <w:r>
          <w:rPr>
            <w:webHidden/>
          </w:rPr>
          <w:fldChar w:fldCharType="end"/>
        </w:r>
      </w:hyperlink>
    </w:p>
    <w:p w14:paraId="778891E2" w14:textId="46FC870B"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49" w:history="1">
        <w:r w:rsidRPr="00662567">
          <w:rPr>
            <w:rStyle w:val="Hyperlink"/>
            <w:noProof/>
          </w:rPr>
          <w:t>NDIS Review</w:t>
        </w:r>
        <w:r>
          <w:rPr>
            <w:webHidden/>
          </w:rPr>
          <w:tab/>
        </w:r>
        <w:r>
          <w:rPr>
            <w:webHidden/>
          </w:rPr>
          <w:fldChar w:fldCharType="begin"/>
        </w:r>
        <w:r>
          <w:rPr>
            <w:webHidden/>
          </w:rPr>
          <w:instrText xml:space="preserve"> PAGEREF _Toc173318049 \h </w:instrText>
        </w:r>
        <w:r>
          <w:rPr>
            <w:webHidden/>
          </w:rPr>
        </w:r>
        <w:r>
          <w:rPr>
            <w:webHidden/>
          </w:rPr>
          <w:fldChar w:fldCharType="separate"/>
        </w:r>
        <w:r>
          <w:rPr>
            <w:webHidden/>
          </w:rPr>
          <w:t>16</w:t>
        </w:r>
        <w:r>
          <w:rPr>
            <w:webHidden/>
          </w:rPr>
          <w:fldChar w:fldCharType="end"/>
        </w:r>
      </w:hyperlink>
    </w:p>
    <w:p w14:paraId="4D517F51" w14:textId="720E9F85"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50" w:history="1">
        <w:r w:rsidRPr="00662567">
          <w:rPr>
            <w:rStyle w:val="Hyperlink"/>
            <w:noProof/>
          </w:rPr>
          <w:t>Advice on Recommendation 17</w:t>
        </w:r>
        <w:r>
          <w:rPr>
            <w:webHidden/>
          </w:rPr>
          <w:tab/>
        </w:r>
        <w:r>
          <w:rPr>
            <w:webHidden/>
          </w:rPr>
          <w:fldChar w:fldCharType="begin"/>
        </w:r>
        <w:r>
          <w:rPr>
            <w:webHidden/>
          </w:rPr>
          <w:instrText xml:space="preserve"> PAGEREF _Toc173318050 \h </w:instrText>
        </w:r>
        <w:r>
          <w:rPr>
            <w:webHidden/>
          </w:rPr>
        </w:r>
        <w:r>
          <w:rPr>
            <w:webHidden/>
          </w:rPr>
          <w:fldChar w:fldCharType="separate"/>
        </w:r>
        <w:r>
          <w:rPr>
            <w:webHidden/>
          </w:rPr>
          <w:t>17</w:t>
        </w:r>
        <w:r>
          <w:rPr>
            <w:webHidden/>
          </w:rPr>
          <w:fldChar w:fldCharType="end"/>
        </w:r>
      </w:hyperlink>
    </w:p>
    <w:p w14:paraId="4A8E15C6" w14:textId="2D29A921" w:rsidR="002C6BD9" w:rsidRDefault="002C6BD9">
      <w:pPr>
        <w:pStyle w:val="TOC1"/>
        <w:rPr>
          <w:rFonts w:asciiTheme="minorHAnsi" w:eastAsiaTheme="minorEastAsia" w:hAnsiTheme="minorHAnsi" w:cstheme="minorBidi"/>
          <w:b w:val="0"/>
          <w:bCs w:val="0"/>
          <w:color w:val="auto"/>
          <w:kern w:val="2"/>
          <w:lang w:eastAsia="en-GB"/>
          <w14:ligatures w14:val="standardContextual"/>
        </w:rPr>
      </w:pPr>
      <w:hyperlink w:anchor="_Toc173318051" w:history="1">
        <w:r w:rsidRPr="00662567">
          <w:rPr>
            <w:rStyle w:val="Hyperlink"/>
            <w:rFonts w:asciiTheme="majorHAnsi" w:hAnsiTheme="majorHAnsi" w:cstheme="majorHAnsi"/>
            <w:noProof/>
          </w:rPr>
          <w:t>2.</w:t>
        </w:r>
        <w:r>
          <w:rPr>
            <w:rFonts w:asciiTheme="minorHAnsi" w:eastAsiaTheme="minorEastAsia" w:hAnsiTheme="minorHAnsi" w:cstheme="minorBidi"/>
            <w:b w:val="0"/>
            <w:bCs w:val="0"/>
            <w:color w:val="auto"/>
            <w:kern w:val="2"/>
            <w:lang w:eastAsia="en-GB"/>
            <w14:ligatures w14:val="standardContextual"/>
          </w:rPr>
          <w:tab/>
        </w:r>
        <w:r w:rsidRPr="00662567">
          <w:rPr>
            <w:rStyle w:val="Hyperlink"/>
            <w:noProof/>
          </w:rPr>
          <w:t>Reflections and Core Principles</w:t>
        </w:r>
        <w:r>
          <w:rPr>
            <w:webHidden/>
          </w:rPr>
          <w:tab/>
        </w:r>
        <w:r>
          <w:rPr>
            <w:webHidden/>
          </w:rPr>
          <w:fldChar w:fldCharType="begin"/>
        </w:r>
        <w:r>
          <w:rPr>
            <w:webHidden/>
          </w:rPr>
          <w:instrText xml:space="preserve"> PAGEREF _Toc173318051 \h </w:instrText>
        </w:r>
        <w:r>
          <w:rPr>
            <w:webHidden/>
          </w:rPr>
        </w:r>
        <w:r>
          <w:rPr>
            <w:webHidden/>
          </w:rPr>
          <w:fldChar w:fldCharType="separate"/>
        </w:r>
        <w:r>
          <w:rPr>
            <w:webHidden/>
          </w:rPr>
          <w:t>19</w:t>
        </w:r>
        <w:r>
          <w:rPr>
            <w:webHidden/>
          </w:rPr>
          <w:fldChar w:fldCharType="end"/>
        </w:r>
      </w:hyperlink>
    </w:p>
    <w:p w14:paraId="47E6347B" w14:textId="36333424"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52" w:history="1">
        <w:r w:rsidRPr="00662567">
          <w:rPr>
            <w:rStyle w:val="Hyperlink"/>
            <w:noProof/>
          </w:rPr>
          <w:t>Principles of the advice</w:t>
        </w:r>
        <w:r>
          <w:rPr>
            <w:webHidden/>
          </w:rPr>
          <w:tab/>
        </w:r>
        <w:r>
          <w:rPr>
            <w:webHidden/>
          </w:rPr>
          <w:fldChar w:fldCharType="begin"/>
        </w:r>
        <w:r>
          <w:rPr>
            <w:webHidden/>
          </w:rPr>
          <w:instrText xml:space="preserve"> PAGEREF _Toc173318052 \h </w:instrText>
        </w:r>
        <w:r>
          <w:rPr>
            <w:webHidden/>
          </w:rPr>
        </w:r>
        <w:r>
          <w:rPr>
            <w:webHidden/>
          </w:rPr>
          <w:fldChar w:fldCharType="separate"/>
        </w:r>
        <w:r>
          <w:rPr>
            <w:webHidden/>
          </w:rPr>
          <w:t>19</w:t>
        </w:r>
        <w:r>
          <w:rPr>
            <w:webHidden/>
          </w:rPr>
          <w:fldChar w:fldCharType="end"/>
        </w:r>
      </w:hyperlink>
    </w:p>
    <w:p w14:paraId="65782D92" w14:textId="7A6B5962" w:rsidR="002C6BD9" w:rsidRDefault="002C6BD9">
      <w:pPr>
        <w:pStyle w:val="TOC1"/>
        <w:rPr>
          <w:rFonts w:asciiTheme="minorHAnsi" w:eastAsiaTheme="minorEastAsia" w:hAnsiTheme="minorHAnsi" w:cstheme="minorBidi"/>
          <w:b w:val="0"/>
          <w:bCs w:val="0"/>
          <w:color w:val="auto"/>
          <w:kern w:val="2"/>
          <w:lang w:eastAsia="en-GB"/>
          <w14:ligatures w14:val="standardContextual"/>
        </w:rPr>
      </w:pPr>
      <w:hyperlink w:anchor="_Toc173318053" w:history="1">
        <w:r w:rsidRPr="00662567">
          <w:rPr>
            <w:rStyle w:val="Hyperlink"/>
            <w:rFonts w:asciiTheme="majorHAnsi" w:hAnsiTheme="majorHAnsi" w:cstheme="majorHAnsi"/>
            <w:noProof/>
          </w:rPr>
          <w:t>3.</w:t>
        </w:r>
        <w:r>
          <w:rPr>
            <w:rFonts w:asciiTheme="minorHAnsi" w:eastAsiaTheme="minorEastAsia" w:hAnsiTheme="minorHAnsi" w:cstheme="minorBidi"/>
            <w:b w:val="0"/>
            <w:bCs w:val="0"/>
            <w:color w:val="auto"/>
            <w:kern w:val="2"/>
            <w:lang w:eastAsia="en-GB"/>
            <w14:ligatures w14:val="standardContextual"/>
          </w:rPr>
          <w:tab/>
        </w:r>
        <w:r w:rsidRPr="00662567">
          <w:rPr>
            <w:rStyle w:val="Hyperlink"/>
            <w:noProof/>
          </w:rPr>
          <w:t>Defining ‘Providers’ and the scope of registration</w:t>
        </w:r>
        <w:r>
          <w:rPr>
            <w:webHidden/>
          </w:rPr>
          <w:tab/>
        </w:r>
        <w:r>
          <w:rPr>
            <w:webHidden/>
          </w:rPr>
          <w:fldChar w:fldCharType="begin"/>
        </w:r>
        <w:r>
          <w:rPr>
            <w:webHidden/>
          </w:rPr>
          <w:instrText xml:space="preserve"> PAGEREF _Toc173318053 \h </w:instrText>
        </w:r>
        <w:r>
          <w:rPr>
            <w:webHidden/>
          </w:rPr>
        </w:r>
        <w:r>
          <w:rPr>
            <w:webHidden/>
          </w:rPr>
          <w:fldChar w:fldCharType="separate"/>
        </w:r>
        <w:r>
          <w:rPr>
            <w:webHidden/>
          </w:rPr>
          <w:t>21</w:t>
        </w:r>
        <w:r>
          <w:rPr>
            <w:webHidden/>
          </w:rPr>
          <w:fldChar w:fldCharType="end"/>
        </w:r>
      </w:hyperlink>
    </w:p>
    <w:p w14:paraId="4E79208A" w14:textId="1DA5BA86"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54" w:history="1">
        <w:r w:rsidRPr="00662567">
          <w:rPr>
            <w:rStyle w:val="Hyperlink"/>
            <w:rFonts w:cstheme="minorHAnsi"/>
            <w:noProof/>
          </w:rPr>
          <w:t>3.1</w:t>
        </w:r>
        <w:r>
          <w:rPr>
            <w:rFonts w:asciiTheme="minorHAnsi" w:eastAsiaTheme="minorEastAsia" w:hAnsiTheme="minorHAnsi" w:cstheme="minorBidi"/>
            <w:color w:val="auto"/>
            <w:kern w:val="2"/>
            <w:lang w:eastAsia="en-GB"/>
            <w14:ligatures w14:val="standardContextual"/>
          </w:rPr>
          <w:tab/>
        </w:r>
        <w:r w:rsidRPr="00662567">
          <w:rPr>
            <w:rStyle w:val="Hyperlink"/>
            <w:noProof/>
          </w:rPr>
          <w:t xml:space="preserve">Defining the scope of </w:t>
        </w:r>
        <w:r w:rsidRPr="00662567">
          <w:rPr>
            <w:rStyle w:val="Hyperlink"/>
            <w:rFonts w:eastAsiaTheme="majorEastAsia"/>
            <w:noProof/>
          </w:rPr>
          <w:t xml:space="preserve">a ‘Provider’ within </w:t>
        </w:r>
        <w:r w:rsidRPr="00662567">
          <w:rPr>
            <w:rStyle w:val="Hyperlink"/>
            <w:noProof/>
          </w:rPr>
          <w:t>the registration model</w:t>
        </w:r>
        <w:r>
          <w:rPr>
            <w:webHidden/>
          </w:rPr>
          <w:tab/>
        </w:r>
        <w:r>
          <w:rPr>
            <w:webHidden/>
          </w:rPr>
          <w:fldChar w:fldCharType="begin"/>
        </w:r>
        <w:r>
          <w:rPr>
            <w:webHidden/>
          </w:rPr>
          <w:instrText xml:space="preserve"> PAGEREF _Toc173318054 \h </w:instrText>
        </w:r>
        <w:r>
          <w:rPr>
            <w:webHidden/>
          </w:rPr>
        </w:r>
        <w:r>
          <w:rPr>
            <w:webHidden/>
          </w:rPr>
          <w:fldChar w:fldCharType="separate"/>
        </w:r>
        <w:r>
          <w:rPr>
            <w:webHidden/>
          </w:rPr>
          <w:t>23</w:t>
        </w:r>
        <w:r>
          <w:rPr>
            <w:webHidden/>
          </w:rPr>
          <w:fldChar w:fldCharType="end"/>
        </w:r>
      </w:hyperlink>
    </w:p>
    <w:p w14:paraId="17E23A8F" w14:textId="5D2B37E8"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55" w:history="1">
        <w:r w:rsidRPr="00662567">
          <w:rPr>
            <w:rStyle w:val="Hyperlink"/>
            <w:rFonts w:cstheme="minorHAnsi"/>
            <w:noProof/>
          </w:rPr>
          <w:t>3.2</w:t>
        </w:r>
        <w:r>
          <w:rPr>
            <w:rFonts w:asciiTheme="minorHAnsi" w:eastAsiaTheme="minorEastAsia" w:hAnsiTheme="minorHAnsi" w:cstheme="minorBidi"/>
            <w:color w:val="auto"/>
            <w:kern w:val="2"/>
            <w:lang w:eastAsia="en-GB"/>
            <w14:ligatures w14:val="standardContextual"/>
          </w:rPr>
          <w:tab/>
        </w:r>
        <w:r w:rsidRPr="00662567">
          <w:rPr>
            <w:rStyle w:val="Hyperlink"/>
            <w:noProof/>
          </w:rPr>
          <w:t>Ensuring visibility</w:t>
        </w:r>
        <w:r>
          <w:rPr>
            <w:webHidden/>
          </w:rPr>
          <w:tab/>
        </w:r>
        <w:r>
          <w:rPr>
            <w:webHidden/>
          </w:rPr>
          <w:fldChar w:fldCharType="begin"/>
        </w:r>
        <w:r>
          <w:rPr>
            <w:webHidden/>
          </w:rPr>
          <w:instrText xml:space="preserve"> PAGEREF _Toc173318055 \h </w:instrText>
        </w:r>
        <w:r>
          <w:rPr>
            <w:webHidden/>
          </w:rPr>
        </w:r>
        <w:r>
          <w:rPr>
            <w:webHidden/>
          </w:rPr>
          <w:fldChar w:fldCharType="separate"/>
        </w:r>
        <w:r>
          <w:rPr>
            <w:webHidden/>
          </w:rPr>
          <w:t>25</w:t>
        </w:r>
        <w:r>
          <w:rPr>
            <w:webHidden/>
          </w:rPr>
          <w:fldChar w:fldCharType="end"/>
        </w:r>
      </w:hyperlink>
    </w:p>
    <w:p w14:paraId="5CED2D0E" w14:textId="5530FBBE" w:rsidR="002C6BD9" w:rsidRDefault="002C6BD9">
      <w:pPr>
        <w:pStyle w:val="TOC1"/>
        <w:rPr>
          <w:rFonts w:asciiTheme="minorHAnsi" w:eastAsiaTheme="minorEastAsia" w:hAnsiTheme="minorHAnsi" w:cstheme="minorBidi"/>
          <w:b w:val="0"/>
          <w:bCs w:val="0"/>
          <w:color w:val="auto"/>
          <w:kern w:val="2"/>
          <w:lang w:eastAsia="en-GB"/>
          <w14:ligatures w14:val="standardContextual"/>
        </w:rPr>
      </w:pPr>
      <w:hyperlink w:anchor="_Toc173318056" w:history="1">
        <w:r w:rsidRPr="00662567">
          <w:rPr>
            <w:rStyle w:val="Hyperlink"/>
            <w:rFonts w:asciiTheme="majorHAnsi" w:hAnsiTheme="majorHAnsi" w:cstheme="majorHAnsi"/>
            <w:noProof/>
          </w:rPr>
          <w:t>4.</w:t>
        </w:r>
        <w:r>
          <w:rPr>
            <w:rFonts w:asciiTheme="minorHAnsi" w:eastAsiaTheme="minorEastAsia" w:hAnsiTheme="minorHAnsi" w:cstheme="minorBidi"/>
            <w:b w:val="0"/>
            <w:bCs w:val="0"/>
            <w:color w:val="auto"/>
            <w:kern w:val="2"/>
            <w:lang w:eastAsia="en-GB"/>
            <w14:ligatures w14:val="standardContextual"/>
          </w:rPr>
          <w:tab/>
        </w:r>
        <w:r w:rsidRPr="00662567">
          <w:rPr>
            <w:rStyle w:val="Hyperlink"/>
            <w:noProof/>
          </w:rPr>
          <w:t>Provider Risk Framework</w:t>
        </w:r>
        <w:r>
          <w:rPr>
            <w:webHidden/>
          </w:rPr>
          <w:tab/>
        </w:r>
        <w:r>
          <w:rPr>
            <w:webHidden/>
          </w:rPr>
          <w:fldChar w:fldCharType="begin"/>
        </w:r>
        <w:r>
          <w:rPr>
            <w:webHidden/>
          </w:rPr>
          <w:instrText xml:space="preserve"> PAGEREF _Toc173318056 \h </w:instrText>
        </w:r>
        <w:r>
          <w:rPr>
            <w:webHidden/>
          </w:rPr>
        </w:r>
        <w:r>
          <w:rPr>
            <w:webHidden/>
          </w:rPr>
          <w:fldChar w:fldCharType="separate"/>
        </w:r>
        <w:r>
          <w:rPr>
            <w:webHidden/>
          </w:rPr>
          <w:t>26</w:t>
        </w:r>
        <w:r>
          <w:rPr>
            <w:webHidden/>
          </w:rPr>
          <w:fldChar w:fldCharType="end"/>
        </w:r>
      </w:hyperlink>
    </w:p>
    <w:p w14:paraId="11E65944" w14:textId="39BED3EE"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57" w:history="1">
        <w:r w:rsidRPr="00662567">
          <w:rPr>
            <w:rStyle w:val="Hyperlink"/>
            <w:rFonts w:cstheme="minorHAnsi"/>
            <w:noProof/>
          </w:rPr>
          <w:t>4.1</w:t>
        </w:r>
        <w:r>
          <w:rPr>
            <w:rFonts w:asciiTheme="minorHAnsi" w:eastAsiaTheme="minorEastAsia" w:hAnsiTheme="minorHAnsi" w:cstheme="minorBidi"/>
            <w:color w:val="auto"/>
            <w:kern w:val="2"/>
            <w:lang w:eastAsia="en-GB"/>
            <w14:ligatures w14:val="standardContextual"/>
          </w:rPr>
          <w:tab/>
        </w:r>
        <w:r w:rsidRPr="00662567">
          <w:rPr>
            <w:rStyle w:val="Hyperlink"/>
            <w:noProof/>
          </w:rPr>
          <w:t>Incorporating risk into the model</w:t>
        </w:r>
        <w:r>
          <w:rPr>
            <w:webHidden/>
          </w:rPr>
          <w:tab/>
        </w:r>
        <w:r>
          <w:rPr>
            <w:webHidden/>
          </w:rPr>
          <w:fldChar w:fldCharType="begin"/>
        </w:r>
        <w:r>
          <w:rPr>
            <w:webHidden/>
          </w:rPr>
          <w:instrText xml:space="preserve"> PAGEREF _Toc173318057 \h </w:instrText>
        </w:r>
        <w:r>
          <w:rPr>
            <w:webHidden/>
          </w:rPr>
        </w:r>
        <w:r>
          <w:rPr>
            <w:webHidden/>
          </w:rPr>
          <w:fldChar w:fldCharType="separate"/>
        </w:r>
        <w:r>
          <w:rPr>
            <w:webHidden/>
          </w:rPr>
          <w:t>35</w:t>
        </w:r>
        <w:r>
          <w:rPr>
            <w:webHidden/>
          </w:rPr>
          <w:fldChar w:fldCharType="end"/>
        </w:r>
      </w:hyperlink>
    </w:p>
    <w:p w14:paraId="4CFB3DC0" w14:textId="7B36AFD3" w:rsidR="002C6BD9" w:rsidRDefault="002C6BD9">
      <w:pPr>
        <w:pStyle w:val="TOC1"/>
        <w:rPr>
          <w:rFonts w:asciiTheme="minorHAnsi" w:eastAsiaTheme="minorEastAsia" w:hAnsiTheme="minorHAnsi" w:cstheme="minorBidi"/>
          <w:b w:val="0"/>
          <w:bCs w:val="0"/>
          <w:color w:val="auto"/>
          <w:kern w:val="2"/>
          <w:lang w:eastAsia="en-GB"/>
          <w14:ligatures w14:val="standardContextual"/>
        </w:rPr>
      </w:pPr>
      <w:hyperlink w:anchor="_Toc173318058" w:history="1">
        <w:r w:rsidRPr="00662567">
          <w:rPr>
            <w:rStyle w:val="Hyperlink"/>
            <w:rFonts w:asciiTheme="majorHAnsi" w:hAnsiTheme="majorHAnsi" w:cstheme="majorHAnsi"/>
            <w:noProof/>
          </w:rPr>
          <w:t>5.</w:t>
        </w:r>
        <w:r>
          <w:rPr>
            <w:rFonts w:asciiTheme="minorHAnsi" w:eastAsiaTheme="minorEastAsia" w:hAnsiTheme="minorHAnsi" w:cstheme="minorBidi"/>
            <w:b w:val="0"/>
            <w:bCs w:val="0"/>
            <w:color w:val="auto"/>
            <w:kern w:val="2"/>
            <w:lang w:eastAsia="en-GB"/>
            <w14:ligatures w14:val="standardContextual"/>
          </w:rPr>
          <w:tab/>
        </w:r>
        <w:r w:rsidRPr="00662567">
          <w:rPr>
            <w:rStyle w:val="Hyperlink"/>
            <w:noProof/>
          </w:rPr>
          <w:t>Registration categories</w:t>
        </w:r>
        <w:r>
          <w:rPr>
            <w:webHidden/>
          </w:rPr>
          <w:tab/>
        </w:r>
        <w:r>
          <w:rPr>
            <w:webHidden/>
          </w:rPr>
          <w:fldChar w:fldCharType="begin"/>
        </w:r>
        <w:r>
          <w:rPr>
            <w:webHidden/>
          </w:rPr>
          <w:instrText xml:space="preserve"> PAGEREF _Toc173318058 \h </w:instrText>
        </w:r>
        <w:r>
          <w:rPr>
            <w:webHidden/>
          </w:rPr>
        </w:r>
        <w:r>
          <w:rPr>
            <w:webHidden/>
          </w:rPr>
          <w:fldChar w:fldCharType="separate"/>
        </w:r>
        <w:r>
          <w:rPr>
            <w:webHidden/>
          </w:rPr>
          <w:t>36</w:t>
        </w:r>
        <w:r>
          <w:rPr>
            <w:webHidden/>
          </w:rPr>
          <w:fldChar w:fldCharType="end"/>
        </w:r>
      </w:hyperlink>
    </w:p>
    <w:p w14:paraId="5D7CC37E" w14:textId="4B7E8059"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59" w:history="1">
        <w:r w:rsidRPr="00662567">
          <w:rPr>
            <w:rStyle w:val="Hyperlink"/>
            <w:rFonts w:cstheme="minorHAnsi"/>
            <w:noProof/>
          </w:rPr>
          <w:t>5.1</w:t>
        </w:r>
        <w:r>
          <w:rPr>
            <w:rFonts w:asciiTheme="minorHAnsi" w:eastAsiaTheme="minorEastAsia" w:hAnsiTheme="minorHAnsi" w:cstheme="minorBidi"/>
            <w:color w:val="auto"/>
            <w:kern w:val="2"/>
            <w:lang w:eastAsia="en-GB"/>
            <w14:ligatures w14:val="standardContextual"/>
          </w:rPr>
          <w:tab/>
        </w:r>
        <w:r w:rsidRPr="00662567">
          <w:rPr>
            <w:rStyle w:val="Hyperlink"/>
            <w:noProof/>
          </w:rPr>
          <w:t>Registration categories explained</w:t>
        </w:r>
        <w:r>
          <w:rPr>
            <w:webHidden/>
          </w:rPr>
          <w:tab/>
        </w:r>
        <w:r>
          <w:rPr>
            <w:webHidden/>
          </w:rPr>
          <w:fldChar w:fldCharType="begin"/>
        </w:r>
        <w:r>
          <w:rPr>
            <w:webHidden/>
          </w:rPr>
          <w:instrText xml:space="preserve"> PAGEREF _Toc173318059 \h </w:instrText>
        </w:r>
        <w:r>
          <w:rPr>
            <w:webHidden/>
          </w:rPr>
        </w:r>
        <w:r>
          <w:rPr>
            <w:webHidden/>
          </w:rPr>
          <w:fldChar w:fldCharType="separate"/>
        </w:r>
        <w:r>
          <w:rPr>
            <w:webHidden/>
          </w:rPr>
          <w:t>39</w:t>
        </w:r>
        <w:r>
          <w:rPr>
            <w:webHidden/>
          </w:rPr>
          <w:fldChar w:fldCharType="end"/>
        </w:r>
      </w:hyperlink>
    </w:p>
    <w:p w14:paraId="1664A353" w14:textId="79DF1B75" w:rsidR="002C6BD9" w:rsidRDefault="002C6BD9">
      <w:pPr>
        <w:pStyle w:val="TOC1"/>
        <w:rPr>
          <w:rFonts w:asciiTheme="minorHAnsi" w:eastAsiaTheme="minorEastAsia" w:hAnsiTheme="minorHAnsi" w:cstheme="minorBidi"/>
          <w:b w:val="0"/>
          <w:bCs w:val="0"/>
          <w:color w:val="auto"/>
          <w:kern w:val="2"/>
          <w:lang w:eastAsia="en-GB"/>
          <w14:ligatures w14:val="standardContextual"/>
        </w:rPr>
      </w:pPr>
      <w:hyperlink w:anchor="_Toc173318060" w:history="1">
        <w:r w:rsidRPr="00662567">
          <w:rPr>
            <w:rStyle w:val="Hyperlink"/>
            <w:rFonts w:asciiTheme="majorHAnsi" w:eastAsia="Aptos Display" w:hAnsiTheme="majorHAnsi" w:cstheme="majorHAnsi"/>
            <w:noProof/>
          </w:rPr>
          <w:t>6.</w:t>
        </w:r>
        <w:r>
          <w:rPr>
            <w:rFonts w:asciiTheme="minorHAnsi" w:eastAsiaTheme="minorEastAsia" w:hAnsiTheme="minorHAnsi" w:cstheme="minorBidi"/>
            <w:b w:val="0"/>
            <w:bCs w:val="0"/>
            <w:color w:val="auto"/>
            <w:kern w:val="2"/>
            <w:lang w:eastAsia="en-GB"/>
            <w14:ligatures w14:val="standardContextual"/>
          </w:rPr>
          <w:tab/>
        </w:r>
        <w:r w:rsidRPr="00662567">
          <w:rPr>
            <w:rStyle w:val="Hyperlink"/>
            <w:rFonts w:eastAsia="Aptos Display"/>
            <w:noProof/>
          </w:rPr>
          <w:t>Inclusion of types of providers</w:t>
        </w:r>
        <w:r>
          <w:rPr>
            <w:webHidden/>
          </w:rPr>
          <w:tab/>
        </w:r>
        <w:r>
          <w:rPr>
            <w:webHidden/>
          </w:rPr>
          <w:fldChar w:fldCharType="begin"/>
        </w:r>
        <w:r>
          <w:rPr>
            <w:webHidden/>
          </w:rPr>
          <w:instrText xml:space="preserve"> PAGEREF _Toc173318060 \h </w:instrText>
        </w:r>
        <w:r>
          <w:rPr>
            <w:webHidden/>
          </w:rPr>
        </w:r>
        <w:r>
          <w:rPr>
            <w:webHidden/>
          </w:rPr>
          <w:fldChar w:fldCharType="separate"/>
        </w:r>
        <w:r>
          <w:rPr>
            <w:webHidden/>
          </w:rPr>
          <w:t>44</w:t>
        </w:r>
        <w:r>
          <w:rPr>
            <w:webHidden/>
          </w:rPr>
          <w:fldChar w:fldCharType="end"/>
        </w:r>
      </w:hyperlink>
    </w:p>
    <w:p w14:paraId="2DDA65DE" w14:textId="17571E20"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61" w:history="1">
        <w:r w:rsidRPr="00662567">
          <w:rPr>
            <w:rStyle w:val="Hyperlink"/>
            <w:rFonts w:cstheme="minorHAnsi"/>
            <w:noProof/>
          </w:rPr>
          <w:t>6.1</w:t>
        </w:r>
        <w:r>
          <w:rPr>
            <w:rFonts w:asciiTheme="minorHAnsi" w:eastAsiaTheme="minorEastAsia" w:hAnsiTheme="minorHAnsi" w:cstheme="minorBidi"/>
            <w:color w:val="auto"/>
            <w:kern w:val="2"/>
            <w:lang w:eastAsia="en-GB"/>
            <w14:ligatures w14:val="standardContextual"/>
          </w:rPr>
          <w:tab/>
        </w:r>
        <w:r w:rsidRPr="00662567">
          <w:rPr>
            <w:rStyle w:val="Hyperlink"/>
            <w:noProof/>
          </w:rPr>
          <w:t>Application to different types of providers</w:t>
        </w:r>
        <w:r>
          <w:rPr>
            <w:webHidden/>
          </w:rPr>
          <w:tab/>
        </w:r>
        <w:r>
          <w:rPr>
            <w:webHidden/>
          </w:rPr>
          <w:fldChar w:fldCharType="begin"/>
        </w:r>
        <w:r>
          <w:rPr>
            <w:webHidden/>
          </w:rPr>
          <w:instrText xml:space="preserve"> PAGEREF _Toc173318061 \h </w:instrText>
        </w:r>
        <w:r>
          <w:rPr>
            <w:webHidden/>
          </w:rPr>
        </w:r>
        <w:r>
          <w:rPr>
            <w:webHidden/>
          </w:rPr>
          <w:fldChar w:fldCharType="separate"/>
        </w:r>
        <w:r>
          <w:rPr>
            <w:webHidden/>
          </w:rPr>
          <w:t>44</w:t>
        </w:r>
        <w:r>
          <w:rPr>
            <w:webHidden/>
          </w:rPr>
          <w:fldChar w:fldCharType="end"/>
        </w:r>
      </w:hyperlink>
    </w:p>
    <w:p w14:paraId="2E82D0C3" w14:textId="7445BB06"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62" w:history="1">
        <w:r w:rsidRPr="00662567">
          <w:rPr>
            <w:rStyle w:val="Hyperlink"/>
            <w:rFonts w:cstheme="minorHAnsi"/>
            <w:noProof/>
          </w:rPr>
          <w:t>6.2</w:t>
        </w:r>
        <w:r>
          <w:rPr>
            <w:rFonts w:asciiTheme="minorHAnsi" w:eastAsiaTheme="minorEastAsia" w:hAnsiTheme="minorHAnsi" w:cstheme="minorBidi"/>
            <w:color w:val="auto"/>
            <w:kern w:val="2"/>
            <w:lang w:eastAsia="en-GB"/>
            <w14:ligatures w14:val="standardContextual"/>
          </w:rPr>
          <w:tab/>
        </w:r>
        <w:r w:rsidRPr="00662567">
          <w:rPr>
            <w:rStyle w:val="Hyperlink"/>
            <w:noProof/>
          </w:rPr>
          <w:t>Group homes</w:t>
        </w:r>
        <w:r>
          <w:rPr>
            <w:webHidden/>
          </w:rPr>
          <w:tab/>
        </w:r>
        <w:r>
          <w:rPr>
            <w:webHidden/>
          </w:rPr>
          <w:fldChar w:fldCharType="begin"/>
        </w:r>
        <w:r>
          <w:rPr>
            <w:webHidden/>
          </w:rPr>
          <w:instrText xml:space="preserve"> PAGEREF _Toc173318062 \h </w:instrText>
        </w:r>
        <w:r>
          <w:rPr>
            <w:webHidden/>
          </w:rPr>
        </w:r>
        <w:r>
          <w:rPr>
            <w:webHidden/>
          </w:rPr>
          <w:fldChar w:fldCharType="separate"/>
        </w:r>
        <w:r>
          <w:rPr>
            <w:webHidden/>
          </w:rPr>
          <w:t>47</w:t>
        </w:r>
        <w:r>
          <w:rPr>
            <w:webHidden/>
          </w:rPr>
          <w:fldChar w:fldCharType="end"/>
        </w:r>
      </w:hyperlink>
    </w:p>
    <w:p w14:paraId="6B8F9DE2" w14:textId="0A9B7150" w:rsidR="002C6BD9" w:rsidRDefault="002C6BD9">
      <w:pPr>
        <w:pStyle w:val="TOC1"/>
        <w:rPr>
          <w:rFonts w:asciiTheme="minorHAnsi" w:eastAsiaTheme="minorEastAsia" w:hAnsiTheme="minorHAnsi" w:cstheme="minorBidi"/>
          <w:b w:val="0"/>
          <w:bCs w:val="0"/>
          <w:color w:val="auto"/>
          <w:kern w:val="2"/>
          <w:lang w:eastAsia="en-GB"/>
          <w14:ligatures w14:val="standardContextual"/>
        </w:rPr>
      </w:pPr>
      <w:hyperlink w:anchor="_Toc173318063" w:history="1">
        <w:r w:rsidRPr="00662567">
          <w:rPr>
            <w:rStyle w:val="Hyperlink"/>
            <w:rFonts w:asciiTheme="majorHAnsi" w:hAnsiTheme="majorHAnsi" w:cstheme="majorHAnsi"/>
            <w:noProof/>
          </w:rPr>
          <w:t>7.</w:t>
        </w:r>
        <w:r>
          <w:rPr>
            <w:rFonts w:asciiTheme="minorHAnsi" w:eastAsiaTheme="minorEastAsia" w:hAnsiTheme="minorHAnsi" w:cstheme="minorBidi"/>
            <w:b w:val="0"/>
            <w:bCs w:val="0"/>
            <w:color w:val="auto"/>
            <w:kern w:val="2"/>
            <w:lang w:eastAsia="en-GB"/>
            <w14:ligatures w14:val="standardContextual"/>
          </w:rPr>
          <w:tab/>
        </w:r>
        <w:r w:rsidRPr="00662567">
          <w:rPr>
            <w:rStyle w:val="Hyperlink"/>
            <w:noProof/>
          </w:rPr>
          <w:t>Scope of self-directed supports</w:t>
        </w:r>
        <w:r>
          <w:rPr>
            <w:webHidden/>
          </w:rPr>
          <w:tab/>
        </w:r>
        <w:r>
          <w:rPr>
            <w:webHidden/>
          </w:rPr>
          <w:fldChar w:fldCharType="begin"/>
        </w:r>
        <w:r>
          <w:rPr>
            <w:webHidden/>
          </w:rPr>
          <w:instrText xml:space="preserve"> PAGEREF _Toc173318063 \h </w:instrText>
        </w:r>
        <w:r>
          <w:rPr>
            <w:webHidden/>
          </w:rPr>
        </w:r>
        <w:r>
          <w:rPr>
            <w:webHidden/>
          </w:rPr>
          <w:fldChar w:fldCharType="separate"/>
        </w:r>
        <w:r>
          <w:rPr>
            <w:webHidden/>
          </w:rPr>
          <w:t>51</w:t>
        </w:r>
        <w:r>
          <w:rPr>
            <w:webHidden/>
          </w:rPr>
          <w:fldChar w:fldCharType="end"/>
        </w:r>
      </w:hyperlink>
    </w:p>
    <w:p w14:paraId="7FA8C728" w14:textId="4AAE9652"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64" w:history="1">
        <w:r w:rsidRPr="00662567">
          <w:rPr>
            <w:rStyle w:val="Hyperlink"/>
            <w:rFonts w:cstheme="minorHAnsi"/>
            <w:noProof/>
          </w:rPr>
          <w:t>7.1</w:t>
        </w:r>
        <w:r>
          <w:rPr>
            <w:rFonts w:asciiTheme="minorHAnsi" w:eastAsiaTheme="minorEastAsia" w:hAnsiTheme="minorHAnsi" w:cstheme="minorBidi"/>
            <w:color w:val="auto"/>
            <w:kern w:val="2"/>
            <w:lang w:eastAsia="en-GB"/>
            <w14:ligatures w14:val="standardContextual"/>
          </w:rPr>
          <w:tab/>
        </w:r>
        <w:r w:rsidRPr="00662567">
          <w:rPr>
            <w:rStyle w:val="Hyperlink"/>
            <w:noProof/>
          </w:rPr>
          <w:t>Proposed model – self-directed supports</w:t>
        </w:r>
        <w:r>
          <w:rPr>
            <w:webHidden/>
          </w:rPr>
          <w:tab/>
        </w:r>
        <w:r>
          <w:rPr>
            <w:webHidden/>
          </w:rPr>
          <w:fldChar w:fldCharType="begin"/>
        </w:r>
        <w:r>
          <w:rPr>
            <w:webHidden/>
          </w:rPr>
          <w:instrText xml:space="preserve"> PAGEREF _Toc173318064 \h </w:instrText>
        </w:r>
        <w:r>
          <w:rPr>
            <w:webHidden/>
          </w:rPr>
        </w:r>
        <w:r>
          <w:rPr>
            <w:webHidden/>
          </w:rPr>
          <w:fldChar w:fldCharType="separate"/>
        </w:r>
        <w:r>
          <w:rPr>
            <w:webHidden/>
          </w:rPr>
          <w:t>58</w:t>
        </w:r>
        <w:r>
          <w:rPr>
            <w:webHidden/>
          </w:rPr>
          <w:fldChar w:fldCharType="end"/>
        </w:r>
      </w:hyperlink>
    </w:p>
    <w:p w14:paraId="08ED447E" w14:textId="6FAB5B01"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65" w:history="1">
        <w:r w:rsidRPr="00662567">
          <w:rPr>
            <w:rStyle w:val="Hyperlink"/>
            <w:rFonts w:cstheme="minorHAnsi"/>
            <w:noProof/>
          </w:rPr>
          <w:t>7.2</w:t>
        </w:r>
        <w:r>
          <w:rPr>
            <w:rFonts w:asciiTheme="minorHAnsi" w:eastAsiaTheme="minorEastAsia" w:hAnsiTheme="minorHAnsi" w:cstheme="minorBidi"/>
            <w:color w:val="auto"/>
            <w:kern w:val="2"/>
            <w:lang w:eastAsia="en-GB"/>
            <w14:ligatures w14:val="standardContextual"/>
          </w:rPr>
          <w:tab/>
        </w:r>
        <w:r w:rsidRPr="00662567">
          <w:rPr>
            <w:rStyle w:val="Hyperlink"/>
            <w:noProof/>
          </w:rPr>
          <w:t>Capacity building and peer programs for self-directed supports</w:t>
        </w:r>
        <w:r>
          <w:rPr>
            <w:webHidden/>
          </w:rPr>
          <w:tab/>
        </w:r>
        <w:r>
          <w:rPr>
            <w:webHidden/>
          </w:rPr>
          <w:fldChar w:fldCharType="begin"/>
        </w:r>
        <w:r>
          <w:rPr>
            <w:webHidden/>
          </w:rPr>
          <w:instrText xml:space="preserve"> PAGEREF _Toc173318065 \h </w:instrText>
        </w:r>
        <w:r>
          <w:rPr>
            <w:webHidden/>
          </w:rPr>
        </w:r>
        <w:r>
          <w:rPr>
            <w:webHidden/>
          </w:rPr>
          <w:fldChar w:fldCharType="separate"/>
        </w:r>
        <w:r>
          <w:rPr>
            <w:webHidden/>
          </w:rPr>
          <w:t>61</w:t>
        </w:r>
        <w:r>
          <w:rPr>
            <w:webHidden/>
          </w:rPr>
          <w:fldChar w:fldCharType="end"/>
        </w:r>
      </w:hyperlink>
    </w:p>
    <w:p w14:paraId="11694C1A" w14:textId="0DF92795" w:rsidR="002C6BD9" w:rsidRDefault="002C6BD9">
      <w:pPr>
        <w:pStyle w:val="TOC1"/>
        <w:rPr>
          <w:rFonts w:asciiTheme="minorHAnsi" w:eastAsiaTheme="minorEastAsia" w:hAnsiTheme="minorHAnsi" w:cstheme="minorBidi"/>
          <w:b w:val="0"/>
          <w:bCs w:val="0"/>
          <w:color w:val="auto"/>
          <w:kern w:val="2"/>
          <w:lang w:eastAsia="en-GB"/>
          <w14:ligatures w14:val="standardContextual"/>
        </w:rPr>
      </w:pPr>
      <w:hyperlink w:anchor="_Toc173318066" w:history="1">
        <w:r w:rsidRPr="00662567">
          <w:rPr>
            <w:rStyle w:val="Hyperlink"/>
            <w:rFonts w:asciiTheme="majorHAnsi" w:hAnsiTheme="majorHAnsi" w:cstheme="majorHAnsi"/>
            <w:noProof/>
          </w:rPr>
          <w:t>8.</w:t>
        </w:r>
        <w:r>
          <w:rPr>
            <w:rFonts w:asciiTheme="minorHAnsi" w:eastAsiaTheme="minorEastAsia" w:hAnsiTheme="minorHAnsi" w:cstheme="minorBidi"/>
            <w:b w:val="0"/>
            <w:bCs w:val="0"/>
            <w:color w:val="auto"/>
            <w:kern w:val="2"/>
            <w:lang w:eastAsia="en-GB"/>
            <w14:ligatures w14:val="standardContextual"/>
          </w:rPr>
          <w:tab/>
        </w:r>
        <w:r w:rsidRPr="00662567">
          <w:rPr>
            <w:rStyle w:val="Hyperlink"/>
            <w:noProof/>
          </w:rPr>
          <w:t>NDIS Provider Obligations and Processes</w:t>
        </w:r>
        <w:r>
          <w:rPr>
            <w:webHidden/>
          </w:rPr>
          <w:tab/>
        </w:r>
        <w:r>
          <w:rPr>
            <w:webHidden/>
          </w:rPr>
          <w:fldChar w:fldCharType="begin"/>
        </w:r>
        <w:r>
          <w:rPr>
            <w:webHidden/>
          </w:rPr>
          <w:instrText xml:space="preserve"> PAGEREF _Toc173318066 \h </w:instrText>
        </w:r>
        <w:r>
          <w:rPr>
            <w:webHidden/>
          </w:rPr>
        </w:r>
        <w:r>
          <w:rPr>
            <w:webHidden/>
          </w:rPr>
          <w:fldChar w:fldCharType="separate"/>
        </w:r>
        <w:r>
          <w:rPr>
            <w:webHidden/>
          </w:rPr>
          <w:t>62</w:t>
        </w:r>
        <w:r>
          <w:rPr>
            <w:webHidden/>
          </w:rPr>
          <w:fldChar w:fldCharType="end"/>
        </w:r>
      </w:hyperlink>
    </w:p>
    <w:p w14:paraId="0F992903" w14:textId="18B9DCD3"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67" w:history="1">
        <w:r w:rsidRPr="00662567">
          <w:rPr>
            <w:rStyle w:val="Hyperlink"/>
            <w:rFonts w:cstheme="minorHAnsi"/>
            <w:noProof/>
          </w:rPr>
          <w:t>8.1</w:t>
        </w:r>
        <w:r>
          <w:rPr>
            <w:rFonts w:asciiTheme="minorHAnsi" w:eastAsiaTheme="minorEastAsia" w:hAnsiTheme="minorHAnsi" w:cstheme="minorBidi"/>
            <w:color w:val="auto"/>
            <w:kern w:val="2"/>
            <w:lang w:eastAsia="en-GB"/>
            <w14:ligatures w14:val="standardContextual"/>
          </w:rPr>
          <w:tab/>
        </w:r>
        <w:r w:rsidRPr="00662567">
          <w:rPr>
            <w:rStyle w:val="Hyperlink"/>
            <w:noProof/>
          </w:rPr>
          <w:t>Strengthening Provider Obligations</w:t>
        </w:r>
        <w:r>
          <w:rPr>
            <w:webHidden/>
          </w:rPr>
          <w:tab/>
        </w:r>
        <w:r>
          <w:rPr>
            <w:webHidden/>
          </w:rPr>
          <w:fldChar w:fldCharType="begin"/>
        </w:r>
        <w:r>
          <w:rPr>
            <w:webHidden/>
          </w:rPr>
          <w:instrText xml:space="preserve"> PAGEREF _Toc173318067 \h </w:instrText>
        </w:r>
        <w:r>
          <w:rPr>
            <w:webHidden/>
          </w:rPr>
        </w:r>
        <w:r>
          <w:rPr>
            <w:webHidden/>
          </w:rPr>
          <w:fldChar w:fldCharType="separate"/>
        </w:r>
        <w:r>
          <w:rPr>
            <w:webHidden/>
          </w:rPr>
          <w:t>64</w:t>
        </w:r>
        <w:r>
          <w:rPr>
            <w:webHidden/>
          </w:rPr>
          <w:fldChar w:fldCharType="end"/>
        </w:r>
      </w:hyperlink>
    </w:p>
    <w:p w14:paraId="01C707F9" w14:textId="399216FE"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68" w:history="1">
        <w:r w:rsidRPr="00662567">
          <w:rPr>
            <w:rStyle w:val="Hyperlink"/>
            <w:rFonts w:cstheme="minorHAnsi"/>
            <w:noProof/>
          </w:rPr>
          <w:t>8.2</w:t>
        </w:r>
        <w:r>
          <w:rPr>
            <w:rFonts w:asciiTheme="minorHAnsi" w:eastAsiaTheme="minorEastAsia" w:hAnsiTheme="minorHAnsi" w:cstheme="minorBidi"/>
            <w:color w:val="auto"/>
            <w:kern w:val="2"/>
            <w:lang w:eastAsia="en-GB"/>
            <w14:ligatures w14:val="standardContextual"/>
          </w:rPr>
          <w:tab/>
        </w:r>
        <w:r w:rsidRPr="00662567">
          <w:rPr>
            <w:rStyle w:val="Hyperlink"/>
            <w:noProof/>
          </w:rPr>
          <w:t>Provider Processes</w:t>
        </w:r>
        <w:r>
          <w:rPr>
            <w:webHidden/>
          </w:rPr>
          <w:tab/>
        </w:r>
        <w:r>
          <w:rPr>
            <w:webHidden/>
          </w:rPr>
          <w:fldChar w:fldCharType="begin"/>
        </w:r>
        <w:r>
          <w:rPr>
            <w:webHidden/>
          </w:rPr>
          <w:instrText xml:space="preserve"> PAGEREF _Toc173318068 \h </w:instrText>
        </w:r>
        <w:r>
          <w:rPr>
            <w:webHidden/>
          </w:rPr>
        </w:r>
        <w:r>
          <w:rPr>
            <w:webHidden/>
          </w:rPr>
          <w:fldChar w:fldCharType="separate"/>
        </w:r>
        <w:r>
          <w:rPr>
            <w:webHidden/>
          </w:rPr>
          <w:t>79</w:t>
        </w:r>
        <w:r>
          <w:rPr>
            <w:webHidden/>
          </w:rPr>
          <w:fldChar w:fldCharType="end"/>
        </w:r>
      </w:hyperlink>
    </w:p>
    <w:p w14:paraId="4B89918E" w14:textId="14C5499D" w:rsidR="002C6BD9" w:rsidRDefault="002C6BD9">
      <w:pPr>
        <w:pStyle w:val="TOC1"/>
        <w:rPr>
          <w:rFonts w:asciiTheme="minorHAnsi" w:eastAsiaTheme="minorEastAsia" w:hAnsiTheme="minorHAnsi" w:cstheme="minorBidi"/>
          <w:b w:val="0"/>
          <w:bCs w:val="0"/>
          <w:color w:val="auto"/>
          <w:kern w:val="2"/>
          <w:lang w:eastAsia="en-GB"/>
          <w14:ligatures w14:val="standardContextual"/>
        </w:rPr>
      </w:pPr>
      <w:hyperlink w:anchor="_Toc173318069" w:history="1">
        <w:r w:rsidRPr="00662567">
          <w:rPr>
            <w:rStyle w:val="Hyperlink"/>
            <w:rFonts w:asciiTheme="majorHAnsi" w:hAnsiTheme="majorHAnsi" w:cstheme="majorHAnsi"/>
            <w:noProof/>
          </w:rPr>
          <w:t>9.</w:t>
        </w:r>
        <w:r>
          <w:rPr>
            <w:rFonts w:asciiTheme="minorHAnsi" w:eastAsiaTheme="minorEastAsia" w:hAnsiTheme="minorHAnsi" w:cstheme="minorBidi"/>
            <w:b w:val="0"/>
            <w:bCs w:val="0"/>
            <w:color w:val="auto"/>
            <w:kern w:val="2"/>
            <w:lang w:eastAsia="en-GB"/>
            <w14:ligatures w14:val="standardContextual"/>
          </w:rPr>
          <w:tab/>
        </w:r>
        <w:r w:rsidRPr="00662567">
          <w:rPr>
            <w:rStyle w:val="Hyperlink"/>
            <w:noProof/>
          </w:rPr>
          <w:t>Regulation of the workforce</w:t>
        </w:r>
        <w:r>
          <w:rPr>
            <w:webHidden/>
          </w:rPr>
          <w:tab/>
        </w:r>
        <w:r>
          <w:rPr>
            <w:webHidden/>
          </w:rPr>
          <w:fldChar w:fldCharType="begin"/>
        </w:r>
        <w:r>
          <w:rPr>
            <w:webHidden/>
          </w:rPr>
          <w:instrText xml:space="preserve"> PAGEREF _Toc173318069 \h </w:instrText>
        </w:r>
        <w:r>
          <w:rPr>
            <w:webHidden/>
          </w:rPr>
        </w:r>
        <w:r>
          <w:rPr>
            <w:webHidden/>
          </w:rPr>
          <w:fldChar w:fldCharType="separate"/>
        </w:r>
        <w:r>
          <w:rPr>
            <w:webHidden/>
          </w:rPr>
          <w:t>91</w:t>
        </w:r>
        <w:r>
          <w:rPr>
            <w:webHidden/>
          </w:rPr>
          <w:fldChar w:fldCharType="end"/>
        </w:r>
      </w:hyperlink>
    </w:p>
    <w:p w14:paraId="77A1D3F8" w14:textId="7DF72DD1"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70" w:history="1">
        <w:r w:rsidRPr="00662567">
          <w:rPr>
            <w:rStyle w:val="Hyperlink"/>
            <w:rFonts w:cstheme="minorHAnsi"/>
            <w:noProof/>
          </w:rPr>
          <w:t>9.1</w:t>
        </w:r>
        <w:r>
          <w:rPr>
            <w:rFonts w:asciiTheme="minorHAnsi" w:eastAsiaTheme="minorEastAsia" w:hAnsiTheme="minorHAnsi" w:cstheme="minorBidi"/>
            <w:color w:val="auto"/>
            <w:kern w:val="2"/>
            <w:lang w:eastAsia="en-GB"/>
            <w14:ligatures w14:val="standardContextual"/>
          </w:rPr>
          <w:tab/>
        </w:r>
        <w:r w:rsidRPr="00662567">
          <w:rPr>
            <w:rStyle w:val="Hyperlink"/>
            <w:noProof/>
          </w:rPr>
          <w:t>Developing a Worker Registration Scheme</w:t>
        </w:r>
        <w:r>
          <w:rPr>
            <w:webHidden/>
          </w:rPr>
          <w:tab/>
        </w:r>
        <w:r>
          <w:rPr>
            <w:webHidden/>
          </w:rPr>
          <w:fldChar w:fldCharType="begin"/>
        </w:r>
        <w:r>
          <w:rPr>
            <w:webHidden/>
          </w:rPr>
          <w:instrText xml:space="preserve"> PAGEREF _Toc173318070 \h </w:instrText>
        </w:r>
        <w:r>
          <w:rPr>
            <w:webHidden/>
          </w:rPr>
        </w:r>
        <w:r>
          <w:rPr>
            <w:webHidden/>
          </w:rPr>
          <w:fldChar w:fldCharType="separate"/>
        </w:r>
        <w:r>
          <w:rPr>
            <w:webHidden/>
          </w:rPr>
          <w:t>92</w:t>
        </w:r>
        <w:r>
          <w:rPr>
            <w:webHidden/>
          </w:rPr>
          <w:fldChar w:fldCharType="end"/>
        </w:r>
      </w:hyperlink>
    </w:p>
    <w:p w14:paraId="164DCAB5" w14:textId="5632E185"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71" w:history="1">
        <w:r w:rsidRPr="00662567">
          <w:rPr>
            <w:rStyle w:val="Hyperlink"/>
            <w:rFonts w:cstheme="minorHAnsi"/>
            <w:noProof/>
          </w:rPr>
          <w:t>9.2</w:t>
        </w:r>
        <w:r>
          <w:rPr>
            <w:rFonts w:asciiTheme="minorHAnsi" w:eastAsiaTheme="minorEastAsia" w:hAnsiTheme="minorHAnsi" w:cstheme="minorBidi"/>
            <w:color w:val="auto"/>
            <w:kern w:val="2"/>
            <w:lang w:eastAsia="en-GB"/>
            <w14:ligatures w14:val="standardContextual"/>
          </w:rPr>
          <w:tab/>
        </w:r>
        <w:r w:rsidRPr="00662567">
          <w:rPr>
            <w:rStyle w:val="Hyperlink"/>
            <w:noProof/>
          </w:rPr>
          <w:t>Recognition of allied health practitioners</w:t>
        </w:r>
        <w:r>
          <w:rPr>
            <w:webHidden/>
          </w:rPr>
          <w:tab/>
        </w:r>
        <w:r>
          <w:rPr>
            <w:webHidden/>
          </w:rPr>
          <w:fldChar w:fldCharType="begin"/>
        </w:r>
        <w:r>
          <w:rPr>
            <w:webHidden/>
          </w:rPr>
          <w:instrText xml:space="preserve"> PAGEREF _Toc173318071 \h </w:instrText>
        </w:r>
        <w:r>
          <w:rPr>
            <w:webHidden/>
          </w:rPr>
        </w:r>
        <w:r>
          <w:rPr>
            <w:webHidden/>
          </w:rPr>
          <w:fldChar w:fldCharType="separate"/>
        </w:r>
        <w:r>
          <w:rPr>
            <w:webHidden/>
          </w:rPr>
          <w:t>95</w:t>
        </w:r>
        <w:r>
          <w:rPr>
            <w:webHidden/>
          </w:rPr>
          <w:fldChar w:fldCharType="end"/>
        </w:r>
      </w:hyperlink>
    </w:p>
    <w:p w14:paraId="41662DBD" w14:textId="68FA89EB" w:rsidR="002C6BD9" w:rsidRDefault="002C6BD9">
      <w:pPr>
        <w:pStyle w:val="TOC1"/>
        <w:rPr>
          <w:rFonts w:asciiTheme="minorHAnsi" w:eastAsiaTheme="minorEastAsia" w:hAnsiTheme="minorHAnsi" w:cstheme="minorBidi"/>
          <w:b w:val="0"/>
          <w:bCs w:val="0"/>
          <w:color w:val="auto"/>
          <w:kern w:val="2"/>
          <w:lang w:eastAsia="en-GB"/>
          <w14:ligatures w14:val="standardContextual"/>
        </w:rPr>
      </w:pPr>
      <w:hyperlink w:anchor="_Toc173318072" w:history="1">
        <w:r w:rsidRPr="00662567">
          <w:rPr>
            <w:rStyle w:val="Hyperlink"/>
            <w:rFonts w:asciiTheme="majorHAnsi" w:hAnsiTheme="majorHAnsi" w:cstheme="majorHAnsi"/>
            <w:noProof/>
          </w:rPr>
          <w:t>10.</w:t>
        </w:r>
        <w:r>
          <w:rPr>
            <w:rFonts w:asciiTheme="minorHAnsi" w:eastAsiaTheme="minorEastAsia" w:hAnsiTheme="minorHAnsi" w:cstheme="minorBidi"/>
            <w:b w:val="0"/>
            <w:bCs w:val="0"/>
            <w:color w:val="auto"/>
            <w:kern w:val="2"/>
            <w:lang w:eastAsia="en-GB"/>
            <w14:ligatures w14:val="standardContextual"/>
          </w:rPr>
          <w:tab/>
        </w:r>
        <w:r w:rsidRPr="00662567">
          <w:rPr>
            <w:rStyle w:val="Hyperlink"/>
            <w:noProof/>
          </w:rPr>
          <w:t>Implementation</w:t>
        </w:r>
        <w:r>
          <w:rPr>
            <w:webHidden/>
          </w:rPr>
          <w:tab/>
        </w:r>
        <w:r>
          <w:rPr>
            <w:webHidden/>
          </w:rPr>
          <w:fldChar w:fldCharType="begin"/>
        </w:r>
        <w:r>
          <w:rPr>
            <w:webHidden/>
          </w:rPr>
          <w:instrText xml:space="preserve"> PAGEREF _Toc173318072 \h </w:instrText>
        </w:r>
        <w:r>
          <w:rPr>
            <w:webHidden/>
          </w:rPr>
        </w:r>
        <w:r>
          <w:rPr>
            <w:webHidden/>
          </w:rPr>
          <w:fldChar w:fldCharType="separate"/>
        </w:r>
        <w:r>
          <w:rPr>
            <w:webHidden/>
          </w:rPr>
          <w:t>98</w:t>
        </w:r>
        <w:r>
          <w:rPr>
            <w:webHidden/>
          </w:rPr>
          <w:fldChar w:fldCharType="end"/>
        </w:r>
      </w:hyperlink>
    </w:p>
    <w:p w14:paraId="07F5770B" w14:textId="25BF1B3F"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73" w:history="1">
        <w:r w:rsidRPr="00662567">
          <w:rPr>
            <w:rStyle w:val="Hyperlink"/>
            <w:rFonts w:cstheme="minorHAnsi"/>
            <w:noProof/>
          </w:rPr>
          <w:t>10.1</w:t>
        </w:r>
        <w:r>
          <w:rPr>
            <w:rFonts w:asciiTheme="minorHAnsi" w:eastAsiaTheme="minorEastAsia" w:hAnsiTheme="minorHAnsi" w:cstheme="minorBidi"/>
            <w:color w:val="auto"/>
            <w:kern w:val="2"/>
            <w:lang w:eastAsia="en-GB"/>
            <w14:ligatures w14:val="standardContextual"/>
          </w:rPr>
          <w:tab/>
        </w:r>
        <w:r w:rsidRPr="00662567">
          <w:rPr>
            <w:rStyle w:val="Hyperlink"/>
            <w:noProof/>
          </w:rPr>
          <w:t>Building on core functions of the Commission</w:t>
        </w:r>
        <w:r>
          <w:rPr>
            <w:webHidden/>
          </w:rPr>
          <w:tab/>
        </w:r>
        <w:r>
          <w:rPr>
            <w:webHidden/>
          </w:rPr>
          <w:fldChar w:fldCharType="begin"/>
        </w:r>
        <w:r>
          <w:rPr>
            <w:webHidden/>
          </w:rPr>
          <w:instrText xml:space="preserve"> PAGEREF _Toc173318073 \h </w:instrText>
        </w:r>
        <w:r>
          <w:rPr>
            <w:webHidden/>
          </w:rPr>
        </w:r>
        <w:r>
          <w:rPr>
            <w:webHidden/>
          </w:rPr>
          <w:fldChar w:fldCharType="separate"/>
        </w:r>
        <w:r>
          <w:rPr>
            <w:webHidden/>
          </w:rPr>
          <w:t>101</w:t>
        </w:r>
        <w:r>
          <w:rPr>
            <w:webHidden/>
          </w:rPr>
          <w:fldChar w:fldCharType="end"/>
        </w:r>
      </w:hyperlink>
    </w:p>
    <w:p w14:paraId="6EE48A21" w14:textId="56EBACB4"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74" w:history="1">
        <w:r w:rsidRPr="00662567">
          <w:rPr>
            <w:rStyle w:val="Hyperlink"/>
            <w:rFonts w:cstheme="minorHAnsi"/>
            <w:noProof/>
          </w:rPr>
          <w:t>10.2</w:t>
        </w:r>
        <w:r>
          <w:rPr>
            <w:rFonts w:asciiTheme="minorHAnsi" w:eastAsiaTheme="minorEastAsia" w:hAnsiTheme="minorHAnsi" w:cstheme="minorBidi"/>
            <w:color w:val="auto"/>
            <w:kern w:val="2"/>
            <w:lang w:eastAsia="en-GB"/>
            <w14:ligatures w14:val="standardContextual"/>
          </w:rPr>
          <w:tab/>
        </w:r>
        <w:r w:rsidRPr="00662567">
          <w:rPr>
            <w:rStyle w:val="Hyperlink"/>
            <w:noProof/>
          </w:rPr>
          <w:t>Legislative reforms</w:t>
        </w:r>
        <w:r>
          <w:rPr>
            <w:webHidden/>
          </w:rPr>
          <w:tab/>
        </w:r>
        <w:r>
          <w:rPr>
            <w:webHidden/>
          </w:rPr>
          <w:fldChar w:fldCharType="begin"/>
        </w:r>
        <w:r>
          <w:rPr>
            <w:webHidden/>
          </w:rPr>
          <w:instrText xml:space="preserve"> PAGEREF _Toc173318074 \h </w:instrText>
        </w:r>
        <w:r>
          <w:rPr>
            <w:webHidden/>
          </w:rPr>
        </w:r>
        <w:r>
          <w:rPr>
            <w:webHidden/>
          </w:rPr>
          <w:fldChar w:fldCharType="separate"/>
        </w:r>
        <w:r>
          <w:rPr>
            <w:webHidden/>
          </w:rPr>
          <w:t>102</w:t>
        </w:r>
        <w:r>
          <w:rPr>
            <w:webHidden/>
          </w:rPr>
          <w:fldChar w:fldCharType="end"/>
        </w:r>
      </w:hyperlink>
    </w:p>
    <w:p w14:paraId="5094097A" w14:textId="3A28CA26" w:rsidR="002C6BD9" w:rsidRDefault="002C6BD9">
      <w:pPr>
        <w:pStyle w:val="TOC2"/>
        <w:rPr>
          <w:rFonts w:asciiTheme="minorHAnsi" w:eastAsiaTheme="minorEastAsia" w:hAnsiTheme="minorHAnsi" w:cstheme="minorBidi"/>
          <w:color w:val="auto"/>
          <w:kern w:val="2"/>
          <w:lang w:eastAsia="en-GB"/>
          <w14:ligatures w14:val="standardContextual"/>
        </w:rPr>
      </w:pPr>
      <w:hyperlink w:anchor="_Toc173318075" w:history="1">
        <w:r w:rsidRPr="00662567">
          <w:rPr>
            <w:rStyle w:val="Hyperlink"/>
            <w:rFonts w:cstheme="minorHAnsi"/>
            <w:noProof/>
          </w:rPr>
          <w:t>10.3</w:t>
        </w:r>
        <w:r>
          <w:rPr>
            <w:rFonts w:asciiTheme="minorHAnsi" w:eastAsiaTheme="minorEastAsia" w:hAnsiTheme="minorHAnsi" w:cstheme="minorBidi"/>
            <w:color w:val="auto"/>
            <w:kern w:val="2"/>
            <w:lang w:eastAsia="en-GB"/>
            <w14:ligatures w14:val="standardContextual"/>
          </w:rPr>
          <w:tab/>
        </w:r>
        <w:r w:rsidRPr="00662567">
          <w:rPr>
            <w:rStyle w:val="Hyperlink"/>
            <w:noProof/>
          </w:rPr>
          <w:t>Additional proposals for implementation</w:t>
        </w:r>
        <w:r>
          <w:rPr>
            <w:webHidden/>
          </w:rPr>
          <w:tab/>
        </w:r>
        <w:r>
          <w:rPr>
            <w:webHidden/>
          </w:rPr>
          <w:fldChar w:fldCharType="begin"/>
        </w:r>
        <w:r>
          <w:rPr>
            <w:webHidden/>
          </w:rPr>
          <w:instrText xml:space="preserve"> PAGEREF _Toc173318075 \h </w:instrText>
        </w:r>
        <w:r>
          <w:rPr>
            <w:webHidden/>
          </w:rPr>
        </w:r>
        <w:r>
          <w:rPr>
            <w:webHidden/>
          </w:rPr>
          <w:fldChar w:fldCharType="separate"/>
        </w:r>
        <w:r>
          <w:rPr>
            <w:webHidden/>
          </w:rPr>
          <w:t>106</w:t>
        </w:r>
        <w:r>
          <w:rPr>
            <w:webHidden/>
          </w:rPr>
          <w:fldChar w:fldCharType="end"/>
        </w:r>
      </w:hyperlink>
    </w:p>
    <w:p w14:paraId="5A3C5FF7" w14:textId="61F045F2" w:rsidR="002C6BD9" w:rsidRDefault="002C6BD9">
      <w:pPr>
        <w:pStyle w:val="TOC1"/>
        <w:rPr>
          <w:rFonts w:asciiTheme="minorHAnsi" w:eastAsiaTheme="minorEastAsia" w:hAnsiTheme="minorHAnsi" w:cstheme="minorBidi"/>
          <w:b w:val="0"/>
          <w:bCs w:val="0"/>
          <w:color w:val="auto"/>
          <w:kern w:val="2"/>
          <w:lang w:eastAsia="en-GB"/>
          <w14:ligatures w14:val="standardContextual"/>
        </w:rPr>
      </w:pPr>
      <w:hyperlink w:anchor="_Toc173318076" w:history="1">
        <w:r w:rsidRPr="00662567">
          <w:rPr>
            <w:rStyle w:val="Hyperlink"/>
            <w:rFonts w:asciiTheme="majorHAnsi" w:hAnsiTheme="majorHAnsi" w:cstheme="majorHAnsi"/>
            <w:noProof/>
          </w:rPr>
          <w:t>11.</w:t>
        </w:r>
        <w:r>
          <w:rPr>
            <w:rFonts w:asciiTheme="minorHAnsi" w:eastAsiaTheme="minorEastAsia" w:hAnsiTheme="minorHAnsi" w:cstheme="minorBidi"/>
            <w:b w:val="0"/>
            <w:bCs w:val="0"/>
            <w:color w:val="auto"/>
            <w:kern w:val="2"/>
            <w:lang w:eastAsia="en-GB"/>
            <w14:ligatures w14:val="standardContextual"/>
          </w:rPr>
          <w:tab/>
        </w:r>
        <w:r w:rsidRPr="00662567">
          <w:rPr>
            <w:rStyle w:val="Hyperlink"/>
            <w:noProof/>
          </w:rPr>
          <w:t>Annexures</w:t>
        </w:r>
        <w:r>
          <w:rPr>
            <w:webHidden/>
          </w:rPr>
          <w:tab/>
        </w:r>
        <w:r>
          <w:rPr>
            <w:webHidden/>
          </w:rPr>
          <w:fldChar w:fldCharType="begin"/>
        </w:r>
        <w:r>
          <w:rPr>
            <w:webHidden/>
          </w:rPr>
          <w:instrText xml:space="preserve"> PAGEREF _Toc173318076 \h </w:instrText>
        </w:r>
        <w:r>
          <w:rPr>
            <w:webHidden/>
          </w:rPr>
        </w:r>
        <w:r>
          <w:rPr>
            <w:webHidden/>
          </w:rPr>
          <w:fldChar w:fldCharType="separate"/>
        </w:r>
        <w:r>
          <w:rPr>
            <w:webHidden/>
          </w:rPr>
          <w:t>109</w:t>
        </w:r>
        <w:r>
          <w:rPr>
            <w:webHidden/>
          </w:rPr>
          <w:fldChar w:fldCharType="end"/>
        </w:r>
      </w:hyperlink>
    </w:p>
    <w:p w14:paraId="3C55845F" w14:textId="593A6DFB" w:rsidR="005B1C2A" w:rsidRPr="005B05B3" w:rsidRDefault="005B1C2A" w:rsidP="009B1AE4">
      <w:pPr>
        <w:pStyle w:val="TOC2"/>
        <w:rPr>
          <w:rFonts w:eastAsiaTheme="minorEastAsia" w:cstheme="minorBidi"/>
          <w:color w:val="auto"/>
          <w:kern w:val="2"/>
          <w:lang w:eastAsia="en-GB"/>
          <w14:ligatures w14:val="standardContextual"/>
        </w:rPr>
      </w:pPr>
      <w:r w:rsidRPr="00EB44D6">
        <w:fldChar w:fldCharType="end"/>
      </w:r>
    </w:p>
    <w:p w14:paraId="604A014D" w14:textId="77777777" w:rsidR="00A101BD" w:rsidRPr="005B05B3" w:rsidRDefault="00A101BD" w:rsidP="1F683786">
      <w:pPr>
        <w:spacing w:after="0" w:line="240" w:lineRule="auto"/>
        <w:sectPr w:rsidR="00A101BD" w:rsidRPr="005B05B3" w:rsidSect="00D123D2">
          <w:headerReference w:type="default" r:id="rId18"/>
          <w:headerReference w:type="first" r:id="rId19"/>
          <w:pgSz w:w="11906" w:h="16838"/>
          <w:pgMar w:top="1768" w:right="1440" w:bottom="1440" w:left="1440" w:header="907" w:footer="709" w:gutter="0"/>
          <w:cols w:space="708"/>
          <w:titlePg/>
          <w:docGrid w:linePitch="360"/>
        </w:sectPr>
      </w:pPr>
    </w:p>
    <w:p w14:paraId="7EE76616" w14:textId="79AA0148" w:rsidR="00214C00" w:rsidRPr="005B05B3" w:rsidRDefault="18B1C937" w:rsidP="002950C0">
      <w:pPr>
        <w:pStyle w:val="Heading1"/>
        <w:numPr>
          <w:ilvl w:val="0"/>
          <w:numId w:val="0"/>
        </w:numPr>
      </w:pPr>
      <w:bookmarkStart w:id="2" w:name="_Toc170128713"/>
      <w:bookmarkStart w:id="3" w:name="_Toc173318044"/>
      <w:r w:rsidRPr="005B05B3">
        <w:lastRenderedPageBreak/>
        <w:t>Forew</w:t>
      </w:r>
      <w:r w:rsidR="57A9F838" w:rsidRPr="005B05B3">
        <w:t>o</w:t>
      </w:r>
      <w:r w:rsidRPr="005B05B3">
        <w:t>rd</w:t>
      </w:r>
      <w:bookmarkEnd w:id="2"/>
      <w:bookmarkEnd w:id="3"/>
    </w:p>
    <w:p w14:paraId="4162A7B8" w14:textId="559960E5" w:rsidR="00E56F08" w:rsidRPr="005B05B3" w:rsidRDefault="5B858EF1" w:rsidP="00C20FD6">
      <w:pPr>
        <w:spacing w:after="160"/>
      </w:pPr>
      <w:r w:rsidRPr="005B05B3">
        <w:t>Advancing the rights of people with disability must be at the centre of disability public policy refor</w:t>
      </w:r>
      <w:r w:rsidR="00AD43D0">
        <w:t>m</w:t>
      </w:r>
      <w:r w:rsidRPr="005B05B3">
        <w:t>. The rights of people with disability, as articulated in the UN Convention on the Rights of Persons wi</w:t>
      </w:r>
      <w:r w:rsidR="487810A0" w:rsidRPr="005B05B3">
        <w:t>th Disabilities</w:t>
      </w:r>
      <w:r w:rsidR="00914178" w:rsidRPr="005B05B3">
        <w:t xml:space="preserve"> (</w:t>
      </w:r>
      <w:r w:rsidR="004B52F7" w:rsidRPr="005B05B3">
        <w:t xml:space="preserve">UN </w:t>
      </w:r>
      <w:r w:rsidR="00914178" w:rsidRPr="005B05B3">
        <w:t>CRPD)</w:t>
      </w:r>
      <w:r w:rsidR="487810A0" w:rsidRPr="005B05B3">
        <w:t xml:space="preserve"> are in</w:t>
      </w:r>
      <w:r w:rsidR="005A671A">
        <w:t>di</w:t>
      </w:r>
      <w:r w:rsidR="487810A0" w:rsidRPr="005B05B3">
        <w:t xml:space="preserve">visible, interdependent and interrelated. When we talk about the importance of the right to be free from violence, abuse, neglect and </w:t>
      </w:r>
      <w:r w:rsidR="4184AA0A" w:rsidRPr="005B05B3">
        <w:t>exploitation</w:t>
      </w:r>
      <w:r w:rsidR="487810A0" w:rsidRPr="005B05B3">
        <w:t xml:space="preserve"> in developi</w:t>
      </w:r>
      <w:r w:rsidR="306C30CB" w:rsidRPr="005B05B3">
        <w:t xml:space="preserve">ng systems and structures, it is of equal importance to </w:t>
      </w:r>
      <w:r w:rsidR="40F46DD8" w:rsidRPr="005B05B3">
        <w:t>realise</w:t>
      </w:r>
      <w:r w:rsidR="306C30CB" w:rsidRPr="005B05B3">
        <w:t xml:space="preserve"> and advance the right to</w:t>
      </w:r>
      <w:r w:rsidR="74245C59" w:rsidRPr="005B05B3">
        <w:t xml:space="preserve"> be</w:t>
      </w:r>
      <w:r w:rsidR="306C30CB" w:rsidRPr="005B05B3">
        <w:t xml:space="preserve"> equal on the same basis as others, to agency, to decision-making, to privacy and to independent living.</w:t>
      </w:r>
    </w:p>
    <w:p w14:paraId="1CE4B32A" w14:textId="2F412810" w:rsidR="31BAC07E" w:rsidRPr="005B05B3" w:rsidRDefault="1553176B" w:rsidP="00C20FD6">
      <w:pPr>
        <w:spacing w:after="160"/>
      </w:pPr>
      <w:r w:rsidRPr="005B05B3">
        <w:t xml:space="preserve">The work of the </w:t>
      </w:r>
      <w:r w:rsidRPr="005B05B3">
        <w:rPr>
          <w:lang w:val="en-US"/>
        </w:rPr>
        <w:t>N</w:t>
      </w:r>
      <w:r w:rsidR="0049050B" w:rsidRPr="005B05B3">
        <w:rPr>
          <w:lang w:val="en-US"/>
        </w:rPr>
        <w:t xml:space="preserve">ational </w:t>
      </w:r>
      <w:r w:rsidRPr="005B05B3">
        <w:rPr>
          <w:lang w:val="en-US"/>
        </w:rPr>
        <w:t>D</w:t>
      </w:r>
      <w:r w:rsidR="0049050B" w:rsidRPr="005B05B3">
        <w:rPr>
          <w:lang w:val="en-US"/>
        </w:rPr>
        <w:t xml:space="preserve">isability </w:t>
      </w:r>
      <w:r w:rsidRPr="005B05B3">
        <w:rPr>
          <w:lang w:val="en-US"/>
        </w:rPr>
        <w:t>I</w:t>
      </w:r>
      <w:r w:rsidR="0049050B" w:rsidRPr="005B05B3">
        <w:rPr>
          <w:lang w:val="en-US"/>
        </w:rPr>
        <w:t xml:space="preserve">nsurance </w:t>
      </w:r>
      <w:r w:rsidRPr="005B05B3">
        <w:rPr>
          <w:lang w:val="en-US"/>
        </w:rPr>
        <w:t>S</w:t>
      </w:r>
      <w:r w:rsidR="0049050B" w:rsidRPr="005B05B3">
        <w:rPr>
          <w:lang w:val="en-US"/>
        </w:rPr>
        <w:t>cheme (NDIS)</w:t>
      </w:r>
      <w:r w:rsidRPr="005B05B3">
        <w:rPr>
          <w:lang w:val="en-US"/>
        </w:rPr>
        <w:t xml:space="preserve"> </w:t>
      </w:r>
      <w:r w:rsidRPr="005B05B3">
        <w:t>Provider and Worker Registration Taskforce has had the deep privilege of operationalising these human rights through the development of a Provider and Worker Registration Scheme.</w:t>
      </w:r>
    </w:p>
    <w:p w14:paraId="7DD5AF88" w14:textId="56E807FF" w:rsidR="68EC67E7" w:rsidRPr="005B05B3" w:rsidRDefault="68EC67E7" w:rsidP="00C20FD6">
      <w:pPr>
        <w:spacing w:after="160"/>
      </w:pPr>
      <w:r w:rsidRPr="005B05B3">
        <w:t xml:space="preserve">At the outset, I acknowledge that </w:t>
      </w:r>
      <w:r w:rsidR="6EBDEE15" w:rsidRPr="005B05B3">
        <w:t xml:space="preserve">the </w:t>
      </w:r>
      <w:r w:rsidRPr="005B05B3">
        <w:t xml:space="preserve">proposal to introduce mandatory registration of all </w:t>
      </w:r>
      <w:r w:rsidR="009C69DF" w:rsidRPr="005B05B3">
        <w:t>p</w:t>
      </w:r>
      <w:r w:rsidRPr="005B05B3">
        <w:t>roviders, as put forward by the NDIS Review caused significant distress to the disability community. The prospect of being require</w:t>
      </w:r>
      <w:r w:rsidR="386B52A0" w:rsidRPr="005B05B3">
        <w:t xml:space="preserve">d to use only registered providers immediately took the community back to dark times, where scarce resources and an absence of self-determined choice and control </w:t>
      </w:r>
      <w:r w:rsidR="579B5BE3" w:rsidRPr="005B05B3">
        <w:t xml:space="preserve">were commonplace when accessing disability supports and services. In fairness, these dark times are not so historical and were standard </w:t>
      </w:r>
      <w:r w:rsidR="3E17906A" w:rsidRPr="005B05B3">
        <w:t xml:space="preserve">practice </w:t>
      </w:r>
      <w:r w:rsidR="579B5BE3" w:rsidRPr="005B05B3">
        <w:t xml:space="preserve">just a decade ago. </w:t>
      </w:r>
      <w:r w:rsidR="6E39FA45" w:rsidRPr="005B05B3">
        <w:t>It is important to acknowledge these genuine concerns, fears and distress.</w:t>
      </w:r>
    </w:p>
    <w:p w14:paraId="19586CA9" w14:textId="194C7E1B" w:rsidR="00991637" w:rsidRPr="005B05B3" w:rsidRDefault="2A0119A6" w:rsidP="00C20FD6">
      <w:pPr>
        <w:spacing w:after="160"/>
      </w:pPr>
      <w:r w:rsidRPr="005B05B3">
        <w:t>At the heart of our engagement was t</w:t>
      </w:r>
      <w:r w:rsidR="119CBC18" w:rsidRPr="005B05B3">
        <w:t xml:space="preserve">o </w:t>
      </w:r>
      <w:r w:rsidRPr="005B05B3">
        <w:t xml:space="preserve">understand how people manage their supports. While it might have been more obvious to start our inquiry with the </w:t>
      </w:r>
      <w:r w:rsidR="3FCEB072" w:rsidRPr="005B05B3">
        <w:t>registration</w:t>
      </w:r>
      <w:r w:rsidRPr="005B05B3">
        <w:t xml:space="preserve"> process or </w:t>
      </w:r>
      <w:r w:rsidR="447AA324" w:rsidRPr="005B05B3">
        <w:t>some key design element of the proposed model</w:t>
      </w:r>
      <w:r w:rsidR="6EEF181D" w:rsidRPr="005B05B3">
        <w:t>, t</w:t>
      </w:r>
      <w:r w:rsidRPr="005B05B3">
        <w:t>o be able to develop a human</w:t>
      </w:r>
      <w:r w:rsidR="000C2A17" w:rsidRPr="005B05B3">
        <w:t xml:space="preserve"> </w:t>
      </w:r>
      <w:r w:rsidRPr="005B05B3">
        <w:t>rights approach to r</w:t>
      </w:r>
      <w:r w:rsidR="703C7449" w:rsidRPr="005B05B3">
        <w:t>egulation through registration, you must understand how people actually manage their supports; in a real, practical and everyday way.</w:t>
      </w:r>
      <w:r w:rsidRPr="005B05B3">
        <w:t xml:space="preserve"> </w:t>
      </w:r>
      <w:r w:rsidR="6E39FA45" w:rsidRPr="005B05B3">
        <w:t>When engaging with the disability community</w:t>
      </w:r>
      <w:r w:rsidR="43E4612C" w:rsidRPr="005B05B3">
        <w:t xml:space="preserve"> on this</w:t>
      </w:r>
      <w:r w:rsidR="6E39FA45" w:rsidRPr="005B05B3">
        <w:t>, I was in awe of the resilience, determination and sophistication that underpinned the way people with disability and their families</w:t>
      </w:r>
      <w:r w:rsidR="793F5AE2" w:rsidRPr="005B05B3">
        <w:t xml:space="preserve"> manage their </w:t>
      </w:r>
      <w:r w:rsidR="3D6BAAC0" w:rsidRPr="005B05B3">
        <w:t>supports. These qualities strike you when</w:t>
      </w:r>
      <w:r w:rsidR="00E91034" w:rsidRPr="005B05B3">
        <w:t xml:space="preserve"> you</w:t>
      </w:r>
      <w:r w:rsidR="3D6BAAC0" w:rsidRPr="005B05B3">
        <w:t xml:space="preserve"> see, up close, how often those models of support have been developed</w:t>
      </w:r>
      <w:r w:rsidR="001178F5" w:rsidRPr="005B05B3">
        <w:t>, often</w:t>
      </w:r>
      <w:r w:rsidR="3D6BAAC0" w:rsidRPr="005B05B3">
        <w:t xml:space="preserve"> in the absence of government or community support.</w:t>
      </w:r>
    </w:p>
    <w:p w14:paraId="554D5D66" w14:textId="44C89A29" w:rsidR="2A0119A6" w:rsidRPr="005B05B3" w:rsidRDefault="3D6BAAC0" w:rsidP="00C20FD6">
      <w:pPr>
        <w:spacing w:after="160"/>
      </w:pPr>
      <w:r w:rsidRPr="005B05B3">
        <w:t>We heard of people with physical disabilit</w:t>
      </w:r>
      <w:r w:rsidR="48CA3E50" w:rsidRPr="005B05B3">
        <w:t>ies who had employ</w:t>
      </w:r>
      <w:r w:rsidR="00BC407E" w:rsidRPr="005B05B3">
        <w:t>ed</w:t>
      </w:r>
      <w:r w:rsidR="48CA3E50" w:rsidRPr="005B05B3">
        <w:t xml:space="preserve"> their support workers for many decades </w:t>
      </w:r>
      <w:r w:rsidR="00AD43D0">
        <w:t>meaning</w:t>
      </w:r>
      <w:r w:rsidR="48CA3E50" w:rsidRPr="005B05B3">
        <w:t xml:space="preserve"> they could pursue successful professional careers </w:t>
      </w:r>
      <w:r w:rsidR="00BC407E" w:rsidRPr="005B05B3">
        <w:t xml:space="preserve">and </w:t>
      </w:r>
      <w:r w:rsidR="48CA3E50" w:rsidRPr="005B05B3">
        <w:t xml:space="preserve">still </w:t>
      </w:r>
      <w:r w:rsidR="00956B52" w:rsidRPr="005B05B3">
        <w:t>have</w:t>
      </w:r>
      <w:r w:rsidR="48CA3E50" w:rsidRPr="005B05B3">
        <w:t xml:space="preserve"> the care they need</w:t>
      </w:r>
      <w:r w:rsidR="008D60C6" w:rsidRPr="005B05B3">
        <w:t xml:space="preserve">. </w:t>
      </w:r>
      <w:r w:rsidR="00BC407E" w:rsidRPr="005B05B3">
        <w:t>We also heard</w:t>
      </w:r>
      <w:r w:rsidR="48CA3E50" w:rsidRPr="005B05B3">
        <w:t xml:space="preserve"> of people with intellectual disabilities who found excellent solutions to their support needs in mainstream services</w:t>
      </w:r>
      <w:r w:rsidR="0046488C" w:rsidRPr="005B05B3">
        <w:t xml:space="preserve">. We heard </w:t>
      </w:r>
      <w:r w:rsidR="00956B52" w:rsidRPr="005B05B3">
        <w:t>of families</w:t>
      </w:r>
      <w:r w:rsidR="48CA3E50" w:rsidRPr="005B05B3">
        <w:t xml:space="preserve"> who have set up Services for O</w:t>
      </w:r>
      <w:r w:rsidR="794140EB" w:rsidRPr="005B05B3">
        <w:t>ne</w:t>
      </w:r>
      <w:r w:rsidR="00BC407E" w:rsidRPr="005B05B3">
        <w:t>,</w:t>
      </w:r>
      <w:r w:rsidR="794140EB" w:rsidRPr="005B05B3">
        <w:t xml:space="preserve"> to stop their loved one being subjected to abuse and neglect in offered support systems.</w:t>
      </w:r>
    </w:p>
    <w:p w14:paraId="1773CC76" w14:textId="62183418" w:rsidR="0FD844C2" w:rsidRPr="005B05B3" w:rsidRDefault="794140EB" w:rsidP="00C20FD6">
      <w:pPr>
        <w:spacing w:after="160"/>
      </w:pPr>
      <w:r w:rsidRPr="005B05B3">
        <w:t>A key outcome of this advice is to recognise self-directed supports within the regulatory framework. Self-directed supports, where a person with disability or their nominee directly engage their workforce to support them in their everyday needs</w:t>
      </w:r>
      <w:r w:rsidR="00230719" w:rsidRPr="005B05B3">
        <w:t>,</w:t>
      </w:r>
      <w:r w:rsidRPr="005B05B3">
        <w:t xml:space="preserve"> is </w:t>
      </w:r>
      <w:r w:rsidR="26DEC940" w:rsidRPr="005B05B3">
        <w:t>critical</w:t>
      </w:r>
      <w:r w:rsidR="404F60CE" w:rsidRPr="005B05B3">
        <w:t xml:space="preserve"> to</w:t>
      </w:r>
      <w:r w:rsidR="26DEC940" w:rsidRPr="005B05B3">
        <w:t xml:space="preserve"> realising the </w:t>
      </w:r>
      <w:r w:rsidR="26DEC940" w:rsidRPr="005B05B3">
        <w:lastRenderedPageBreak/>
        <w:t>human rights of people with disability. Recognising self-directed supports within the regulatory framework is an important step towards recognition of this approach, inves</w:t>
      </w:r>
      <w:r w:rsidR="1E1C198D" w:rsidRPr="005B05B3">
        <w:t>tment in those arrangements and providing important support so more people with disability can consider this an option for them.</w:t>
      </w:r>
    </w:p>
    <w:p w14:paraId="07B6836B" w14:textId="1169723E" w:rsidR="00502317" w:rsidRPr="005B05B3" w:rsidRDefault="1E1C198D" w:rsidP="00C20FD6">
      <w:pPr>
        <w:spacing w:after="160"/>
      </w:pPr>
      <w:r w:rsidRPr="005B05B3">
        <w:t xml:space="preserve">The Taskforce heard from </w:t>
      </w:r>
      <w:r w:rsidR="6D3B3BB5" w:rsidRPr="005B05B3">
        <w:t>many people from all over Australia (and the world!)</w:t>
      </w:r>
      <w:r w:rsidRPr="005B05B3">
        <w:t xml:space="preserve">; </w:t>
      </w:r>
      <w:r w:rsidR="00AD1159" w:rsidRPr="005B05B3">
        <w:t xml:space="preserve">there were </w:t>
      </w:r>
      <w:r w:rsidRPr="005B05B3">
        <w:t xml:space="preserve">over 2000 </w:t>
      </w:r>
      <w:r w:rsidR="00AD1159" w:rsidRPr="005B05B3">
        <w:t xml:space="preserve">participations </w:t>
      </w:r>
      <w:r w:rsidRPr="005B05B3">
        <w:t xml:space="preserve">in a </w:t>
      </w:r>
      <w:r w:rsidR="3C4572C4" w:rsidRPr="005B05B3">
        <w:t>3-month</w:t>
      </w:r>
      <w:r w:rsidRPr="005B05B3">
        <w:t xml:space="preserve"> engagement period. Following the NDIS Review and Disability Royal Commission, all stakeholders could have been forgiven for being weary of consultation and engagement. But this was </w:t>
      </w:r>
      <w:r w:rsidR="27D55A1B" w:rsidRPr="005B05B3">
        <w:t>not our experience. We have been met with generous contributions, frank insights and considered solutions.</w:t>
      </w:r>
    </w:p>
    <w:p w14:paraId="49CBEBBA" w14:textId="27E34FFE" w:rsidR="1E1C198D" w:rsidRPr="005B05B3" w:rsidRDefault="27D55A1B" w:rsidP="00C20FD6">
      <w:pPr>
        <w:spacing w:after="160"/>
      </w:pPr>
      <w:r w:rsidRPr="005B05B3">
        <w:t xml:space="preserve">The advice we </w:t>
      </w:r>
      <w:r w:rsidR="088C8034" w:rsidRPr="005B05B3">
        <w:t>now</w:t>
      </w:r>
      <w:r w:rsidRPr="005B05B3">
        <w:t xml:space="preserve"> provide to the Minister for the National Disability Insurance Scheme</w:t>
      </w:r>
      <w:r w:rsidR="00D76E3F" w:rsidRPr="005B05B3">
        <w:t xml:space="preserve"> (NDIS)</w:t>
      </w:r>
      <w:r w:rsidRPr="005B05B3">
        <w:t xml:space="preserve"> is richer and more sophisticated for the</w:t>
      </w:r>
      <w:r w:rsidR="429DECC6" w:rsidRPr="005B05B3">
        <w:t>se views. I am extraordinarily grateful for those tha</w:t>
      </w:r>
      <w:r w:rsidR="465E81BF" w:rsidRPr="005B05B3">
        <w:t xml:space="preserve">t provided a submission, met with us or came to a </w:t>
      </w:r>
      <w:r w:rsidR="00DF2B91" w:rsidRPr="005B05B3">
        <w:t>r</w:t>
      </w:r>
      <w:r w:rsidR="46D039D5" w:rsidRPr="005B05B3">
        <w:t>oundtable</w:t>
      </w:r>
      <w:r w:rsidR="465E81BF" w:rsidRPr="005B05B3">
        <w:t>. In particular, I acknowledge the outstanding contribution of the Advisory Working Groups</w:t>
      </w:r>
      <w:r w:rsidR="000D4D64" w:rsidRPr="005B05B3">
        <w:t xml:space="preserve"> (AWGs)</w:t>
      </w:r>
      <w:r w:rsidR="465E81BF" w:rsidRPr="005B05B3">
        <w:t xml:space="preserve"> who met with us regularly and assisted us to consider the key design elements of the model. The commitment and expertise of the AWGs was a significa</w:t>
      </w:r>
      <w:r w:rsidR="22938BE7" w:rsidRPr="005B05B3">
        <w:t>nt contributor to our work.</w:t>
      </w:r>
    </w:p>
    <w:p w14:paraId="1F81F496" w14:textId="5EA39B07" w:rsidR="7CDEF149" w:rsidRPr="005B05B3" w:rsidRDefault="7CDEF149" w:rsidP="00C20FD6">
      <w:pPr>
        <w:spacing w:after="160"/>
      </w:pPr>
      <w:r w:rsidRPr="005B05B3">
        <w:t xml:space="preserve">While this advice is not </w:t>
      </w:r>
      <w:r w:rsidR="00AD43D0">
        <w:t>a magic wand</w:t>
      </w:r>
      <w:r w:rsidRPr="005B05B3">
        <w:t xml:space="preserve"> to fix all issues in ensuring quality and safeguarding in disability support services, it is also not the end of the conversation on developing a</w:t>
      </w:r>
      <w:r w:rsidR="593707A5" w:rsidRPr="005B05B3">
        <w:t xml:space="preserve"> registration model for NDIS </w:t>
      </w:r>
      <w:r w:rsidR="00465EC4" w:rsidRPr="005B05B3">
        <w:t>p</w:t>
      </w:r>
      <w:r w:rsidR="593707A5" w:rsidRPr="005B05B3">
        <w:t>roviders. We have built on the work of the NDIS Review and directed the model toward a human</w:t>
      </w:r>
      <w:r w:rsidR="002925D1" w:rsidRPr="005B05B3">
        <w:t xml:space="preserve"> </w:t>
      </w:r>
      <w:r w:rsidR="593707A5" w:rsidRPr="005B05B3">
        <w:t xml:space="preserve">rights approach, with ways for people to continue to manage their support. But it does not </w:t>
      </w:r>
      <w:r w:rsidR="25A4AFAC" w:rsidRPr="005B05B3">
        <w:t xml:space="preserve">stop </w:t>
      </w:r>
      <w:r w:rsidR="593707A5" w:rsidRPr="005B05B3">
        <w:t>here. We have o</w:t>
      </w:r>
      <w:r w:rsidR="3A933A06" w:rsidRPr="005B05B3">
        <w:t xml:space="preserve">utlined a way forward for government and the disability community and sector to continue to work together to develop this model. There is much work to do, but we are confident, based on what we have heard, that by working together, a registration model that advances quality and safety in </w:t>
      </w:r>
      <w:r w:rsidR="55E41951" w:rsidRPr="005B05B3">
        <w:t>disability</w:t>
      </w:r>
      <w:r w:rsidR="3A933A06" w:rsidRPr="005B05B3">
        <w:t xml:space="preserve"> support services can be achieved. </w:t>
      </w:r>
      <w:r w:rsidR="6B19188F" w:rsidRPr="005B05B3">
        <w:t>We hope government, community and sector take up this once-in-a-generation opportunity.</w:t>
      </w:r>
    </w:p>
    <w:p w14:paraId="1F447F88" w14:textId="214A53D9" w:rsidR="6B19188F" w:rsidRPr="005B05B3" w:rsidRDefault="6B19188F" w:rsidP="00C20FD6">
      <w:pPr>
        <w:spacing w:after="160"/>
      </w:pPr>
      <w:r w:rsidRPr="005B05B3">
        <w:t xml:space="preserve">Finally, I acknowledge the erudite contributions of my colleagues, the Honourable Vicki O’Halloran </w:t>
      </w:r>
      <w:r w:rsidR="7A199DF7" w:rsidRPr="005B05B3">
        <w:t>AO CVO, Michael Borowick JP and Professor Allan Fels AO. Their unwavering commitment to</w:t>
      </w:r>
      <w:r w:rsidR="2029CD9E" w:rsidRPr="005B05B3">
        <w:t xml:space="preserve"> ensuring the exploration of a registration model </w:t>
      </w:r>
      <w:r w:rsidR="22EB1A46" w:rsidRPr="005B05B3">
        <w:t xml:space="preserve">which </w:t>
      </w:r>
      <w:r w:rsidR="2029CD9E" w:rsidRPr="005B05B3">
        <w:t>was embedded with the voices of people with disability, their families, representative organisations, providers, unions and stakeholders is evident through</w:t>
      </w:r>
      <w:r w:rsidR="45AFE3D9" w:rsidRPr="005B05B3">
        <w:t>out</w:t>
      </w:r>
      <w:r w:rsidR="2029CD9E" w:rsidRPr="005B05B3">
        <w:t xml:space="preserve"> our work. </w:t>
      </w:r>
      <w:r w:rsidR="41D9FFE0" w:rsidRPr="005B05B3">
        <w:t>Behind the scenes, it takes a lot to run a Taskforce; my deepest respect and thanks to Amanda Lee and Siobhan Campbell from the Department of Social Services for leading our Secretariat with unrivalled impar</w:t>
      </w:r>
      <w:r w:rsidR="0A6C505B" w:rsidRPr="005B05B3">
        <w:t>tiality, organisation</w:t>
      </w:r>
      <w:r w:rsidR="00AD43D0">
        <w:t>, inclusivity</w:t>
      </w:r>
      <w:r w:rsidR="0A6C505B" w:rsidRPr="005B05B3">
        <w:t xml:space="preserve"> and efficiency.</w:t>
      </w:r>
    </w:p>
    <w:p w14:paraId="76901103" w14:textId="529FD95E" w:rsidR="260E4EB2" w:rsidRPr="005B05B3" w:rsidRDefault="0F412BA3" w:rsidP="260E4EB2">
      <w:r w:rsidRPr="005B05B3">
        <w:t>I trust this advice is of assistance to the Minister for the National Disability Insurance Scheme in pursuing a human</w:t>
      </w:r>
      <w:r w:rsidR="002925D1" w:rsidRPr="005B05B3">
        <w:t xml:space="preserve"> </w:t>
      </w:r>
      <w:r w:rsidRPr="005B05B3">
        <w:t xml:space="preserve">rights focused </w:t>
      </w:r>
      <w:r w:rsidR="18F762AE" w:rsidRPr="005B05B3">
        <w:t>registration scheme for NDIS Providers and Workers.</w:t>
      </w:r>
    </w:p>
    <w:p w14:paraId="3CEF1EFA" w14:textId="0699E8A8" w:rsidR="0A6C505B" w:rsidRPr="005B05B3" w:rsidRDefault="0A6C505B" w:rsidP="260E4EB2">
      <w:pPr>
        <w:spacing w:after="0"/>
      </w:pPr>
      <w:r w:rsidRPr="005B05B3">
        <w:t>Natalie Wade</w:t>
      </w:r>
    </w:p>
    <w:p w14:paraId="2BA1C1DA" w14:textId="5962DA91" w:rsidR="18739206" w:rsidRPr="005B05B3" w:rsidRDefault="18739206" w:rsidP="260E4EB2">
      <w:pPr>
        <w:spacing w:after="0"/>
      </w:pPr>
      <w:r w:rsidRPr="005B05B3">
        <w:t>Chair</w:t>
      </w:r>
    </w:p>
    <w:p w14:paraId="035686C3" w14:textId="77777777" w:rsidR="00A101BD" w:rsidRPr="005B05B3" w:rsidRDefault="18739206" w:rsidP="260E4EB2">
      <w:pPr>
        <w:spacing w:after="0"/>
        <w:sectPr w:rsidR="00A101BD" w:rsidRPr="005B05B3" w:rsidSect="00426684">
          <w:pgSz w:w="11906" w:h="16838"/>
          <w:pgMar w:top="1404" w:right="1110" w:bottom="1440" w:left="1440" w:header="907" w:footer="709" w:gutter="0"/>
          <w:cols w:space="708"/>
          <w:titlePg/>
          <w:docGrid w:linePitch="360"/>
        </w:sectPr>
      </w:pPr>
      <w:r w:rsidRPr="005B05B3">
        <w:t>NDIS Provider and Worker Registration Taskforce</w:t>
      </w:r>
    </w:p>
    <w:p w14:paraId="6E5937DE" w14:textId="4B1E63C2" w:rsidR="00B95977" w:rsidRPr="005B05B3" w:rsidRDefault="18B1C937" w:rsidP="00426684">
      <w:pPr>
        <w:pStyle w:val="Heading1"/>
        <w:numPr>
          <w:ilvl w:val="0"/>
          <w:numId w:val="0"/>
        </w:numPr>
        <w:ind w:left="851" w:hanging="851"/>
      </w:pPr>
      <w:bookmarkStart w:id="4" w:name="_Toc170128714"/>
      <w:bookmarkStart w:id="5" w:name="_Toc173318045"/>
      <w:r w:rsidRPr="005B05B3">
        <w:lastRenderedPageBreak/>
        <w:t>Recommendations</w:t>
      </w:r>
      <w:bookmarkEnd w:id="4"/>
      <w:bookmarkEnd w:id="5"/>
      <w:r w:rsidR="0692B5D2" w:rsidRPr="005B05B3">
        <w:t xml:space="preserve"> </w:t>
      </w:r>
    </w:p>
    <w:p w14:paraId="1AF9FD60" w14:textId="55BAC9AE" w:rsidR="00E16A24" w:rsidRPr="005B05B3" w:rsidRDefault="4E2FA5B2" w:rsidP="002D6AB8">
      <w:pPr>
        <w:pStyle w:val="ListParagraph"/>
        <w:numPr>
          <w:ilvl w:val="0"/>
          <w:numId w:val="13"/>
        </w:numPr>
        <w:spacing w:line="276" w:lineRule="auto"/>
        <w:ind w:left="426"/>
        <w:rPr>
          <w:rFonts w:eastAsia="Aptos"/>
          <w:color w:val="auto"/>
        </w:rPr>
      </w:pPr>
      <w:r w:rsidRPr="005B05B3">
        <w:rPr>
          <w:rFonts w:eastAsia="Aptos"/>
          <w:color w:val="auto"/>
        </w:rPr>
        <w:t xml:space="preserve">The Taskforce </w:t>
      </w:r>
      <w:r w:rsidR="00586663" w:rsidRPr="005B05B3">
        <w:rPr>
          <w:rFonts w:eastAsia="Aptos"/>
          <w:color w:val="auto"/>
        </w:rPr>
        <w:t>propose</w:t>
      </w:r>
      <w:r w:rsidR="0098366A" w:rsidRPr="005B05B3">
        <w:rPr>
          <w:rFonts w:eastAsia="Aptos"/>
          <w:color w:val="auto"/>
        </w:rPr>
        <w:t>s</w:t>
      </w:r>
      <w:r w:rsidRPr="005B05B3">
        <w:rPr>
          <w:rFonts w:eastAsia="Aptos"/>
          <w:color w:val="auto"/>
        </w:rPr>
        <w:t xml:space="preserve"> that not all providers as defined in the NDIS Act should be registered</w:t>
      </w:r>
      <w:r w:rsidR="00DC24B7" w:rsidRPr="005B05B3">
        <w:rPr>
          <w:rFonts w:eastAsia="Aptos"/>
          <w:color w:val="auto"/>
        </w:rPr>
        <w:t>. B</w:t>
      </w:r>
      <w:r w:rsidRPr="005B05B3">
        <w:rPr>
          <w:rFonts w:eastAsia="Aptos"/>
          <w:color w:val="auto"/>
        </w:rPr>
        <w:t xml:space="preserve">ut to determine the best way to achieve that </w:t>
      </w:r>
      <w:r w:rsidR="5175BBF9" w:rsidRPr="005B05B3">
        <w:rPr>
          <w:rFonts w:eastAsia="Aptos"/>
          <w:color w:val="auto"/>
        </w:rPr>
        <w:t>and avoid unintended consequences requires</w:t>
      </w:r>
      <w:r w:rsidRPr="005B05B3">
        <w:rPr>
          <w:rFonts w:eastAsia="Aptos"/>
          <w:color w:val="auto"/>
        </w:rPr>
        <w:t xml:space="preserve"> further consideration, including consultation with the disability community and sector. We anticipate that those who would </w:t>
      </w:r>
      <w:r w:rsidRPr="005B05B3">
        <w:rPr>
          <w:rFonts w:eastAsia="Aptos"/>
          <w:color w:val="auto"/>
          <w:u w:val="single"/>
        </w:rPr>
        <w:t>not</w:t>
      </w:r>
      <w:r w:rsidRPr="005B05B3">
        <w:rPr>
          <w:rFonts w:eastAsia="Aptos"/>
          <w:color w:val="auto"/>
        </w:rPr>
        <w:t xml:space="preserve"> be registered would include, but not be limited to:</w:t>
      </w:r>
    </w:p>
    <w:p w14:paraId="61149B61" w14:textId="450D7D79" w:rsidR="00E16A24" w:rsidRPr="005B05B3" w:rsidRDefault="075B4005" w:rsidP="002D6AB8">
      <w:pPr>
        <w:pStyle w:val="ListParagraph"/>
        <w:numPr>
          <w:ilvl w:val="1"/>
          <w:numId w:val="13"/>
        </w:numPr>
        <w:spacing w:line="276" w:lineRule="auto"/>
        <w:ind w:left="1418"/>
      </w:pPr>
      <w:r w:rsidRPr="005B05B3">
        <w:t>unregistered providers who provide support to participants who are registered as having self-directed support</w:t>
      </w:r>
    </w:p>
    <w:p w14:paraId="73C40BD9" w14:textId="23915669" w:rsidR="4E2FA5B2" w:rsidRPr="005B05B3" w:rsidRDefault="4E2FA5B2" w:rsidP="002D6AB8">
      <w:pPr>
        <w:pStyle w:val="ListParagraph"/>
        <w:numPr>
          <w:ilvl w:val="1"/>
          <w:numId w:val="13"/>
        </w:numPr>
        <w:spacing w:after="160" w:line="276" w:lineRule="auto"/>
        <w:ind w:left="1417" w:hanging="357"/>
        <w:contextualSpacing w:val="0"/>
        <w:rPr>
          <w:rFonts w:eastAsia="Aptos"/>
          <w:color w:val="auto"/>
        </w:rPr>
      </w:pPr>
      <w:r w:rsidRPr="005B05B3">
        <w:rPr>
          <w:rFonts w:eastAsia="Aptos"/>
          <w:color w:val="auto"/>
        </w:rPr>
        <w:t>goods purchased off-the-shelf from mainstream providers. In these instances, the visibility created through evidence of purchase should be sufficient.</w:t>
      </w:r>
    </w:p>
    <w:p w14:paraId="6F33892C" w14:textId="77777777" w:rsidR="006B1B87" w:rsidRPr="005B05B3" w:rsidRDefault="006B1B87" w:rsidP="002D6AB8">
      <w:pPr>
        <w:pStyle w:val="ListParagraph"/>
        <w:numPr>
          <w:ilvl w:val="0"/>
          <w:numId w:val="13"/>
        </w:numPr>
        <w:spacing w:after="160" w:line="276" w:lineRule="auto"/>
        <w:ind w:left="425" w:hanging="357"/>
        <w:contextualSpacing w:val="0"/>
        <w:rPr>
          <w:color w:val="auto"/>
        </w:rPr>
      </w:pPr>
      <w:r w:rsidRPr="005B05B3">
        <w:t xml:space="preserve">The Taskforce acknowledges that visibility of payments is important to the integrity of the NDIS. To ensure visibility of NDIS funding, the Taskforce adopts Recommendation 10.3 of the NDIS Review, that the National Disability Insurance Agency (NDIA) should transition to fully </w:t>
      </w:r>
      <w:r w:rsidRPr="005B05B3">
        <w:rPr>
          <w:color w:val="auto"/>
        </w:rPr>
        <w:t>electronic payments to improve the visibility of payments.</w:t>
      </w:r>
    </w:p>
    <w:p w14:paraId="5F1B9D7B" w14:textId="2FB0F093" w:rsidR="00DC24B7" w:rsidRPr="005B05B3" w:rsidRDefault="007F3595" w:rsidP="002D6AB8">
      <w:pPr>
        <w:pStyle w:val="ListParagraph"/>
        <w:numPr>
          <w:ilvl w:val="0"/>
          <w:numId w:val="13"/>
        </w:numPr>
        <w:spacing w:after="160" w:line="276" w:lineRule="auto"/>
        <w:ind w:left="426" w:hanging="357"/>
        <w:contextualSpacing w:val="0"/>
        <w:rPr>
          <w:rFonts w:eastAsia="Aptos"/>
          <w:color w:val="4EA72E" w:themeColor="accent6"/>
        </w:rPr>
      </w:pPr>
      <w:r w:rsidRPr="005B05B3">
        <w:rPr>
          <w:rFonts w:eastAsia="Aptos"/>
          <w:color w:val="auto"/>
        </w:rPr>
        <w:t>The Taskforce believes that</w:t>
      </w:r>
      <w:r w:rsidR="00DC24B7" w:rsidRPr="005B05B3">
        <w:rPr>
          <w:rFonts w:eastAsia="Aptos"/>
          <w:color w:val="auto"/>
        </w:rPr>
        <w:t xml:space="preserve"> the framework provided in the discussion of Recommendation 17 of the NDIS Review provides a useful framework for understanding risk</w:t>
      </w:r>
      <w:r w:rsidR="005402DF" w:rsidRPr="005B05B3">
        <w:rPr>
          <w:rFonts w:eastAsia="Aptos"/>
          <w:color w:val="auto"/>
        </w:rPr>
        <w:t>.</w:t>
      </w:r>
      <w:r w:rsidR="00DC24B7" w:rsidRPr="005B05B3">
        <w:rPr>
          <w:rFonts w:eastAsia="Aptos"/>
          <w:color w:val="auto"/>
        </w:rPr>
        <w:t xml:space="preserve"> </w:t>
      </w:r>
      <w:r w:rsidR="004C14B1" w:rsidRPr="0063683B">
        <w:rPr>
          <w:rFonts w:eastAsia="Aptos"/>
          <w:color w:val="auto"/>
        </w:rPr>
        <w:t xml:space="preserve">The Taskforce recommends that </w:t>
      </w:r>
      <w:r w:rsidR="00DC24B7" w:rsidRPr="0063683B">
        <w:rPr>
          <w:rFonts w:eastAsia="Aptos"/>
          <w:color w:val="auto"/>
        </w:rPr>
        <w:t>the registration categories</w:t>
      </w:r>
      <w:r w:rsidR="001B6EDC" w:rsidRPr="0063683B">
        <w:rPr>
          <w:rFonts w:eastAsia="Aptos"/>
          <w:color w:val="auto"/>
        </w:rPr>
        <w:t>,</w:t>
      </w:r>
      <w:r w:rsidR="00DC24B7" w:rsidRPr="0063683B">
        <w:rPr>
          <w:rFonts w:eastAsia="Aptos"/>
          <w:color w:val="auto"/>
        </w:rPr>
        <w:t xml:space="preserve"> as outlined </w:t>
      </w:r>
      <w:r w:rsidR="004C14B1" w:rsidRPr="0063683B">
        <w:rPr>
          <w:rFonts w:eastAsia="Aptos"/>
          <w:color w:val="auto"/>
        </w:rPr>
        <w:t>in</w:t>
      </w:r>
      <w:r w:rsidR="00C5083B" w:rsidRPr="0063683B">
        <w:rPr>
          <w:rFonts w:eastAsia="Aptos"/>
          <w:color w:val="auto"/>
        </w:rPr>
        <w:t xml:space="preserve"> the comprehensive graduated and risk-proportionate registration and enrolment framework</w:t>
      </w:r>
      <w:r w:rsidR="004C14B1" w:rsidRPr="0063683B">
        <w:rPr>
          <w:rFonts w:eastAsia="Aptos"/>
          <w:color w:val="auto"/>
        </w:rPr>
        <w:t xml:space="preserve"> </w:t>
      </w:r>
      <w:r w:rsidR="00C5083B" w:rsidRPr="0063683B">
        <w:rPr>
          <w:rFonts w:eastAsia="Aptos"/>
          <w:color w:val="auto"/>
        </w:rPr>
        <w:t xml:space="preserve">at </w:t>
      </w:r>
      <w:r w:rsidR="004C14B1" w:rsidRPr="0063683B">
        <w:rPr>
          <w:rFonts w:eastAsia="Aptos"/>
          <w:color w:val="auto"/>
        </w:rPr>
        <w:t xml:space="preserve">Table </w:t>
      </w:r>
      <w:r w:rsidR="008E2BED" w:rsidRPr="0063683B">
        <w:rPr>
          <w:rFonts w:eastAsia="Aptos"/>
          <w:color w:val="auto"/>
        </w:rPr>
        <w:t>1 (Annexure A)</w:t>
      </w:r>
      <w:r w:rsidR="004C14B1" w:rsidRPr="0063683B">
        <w:rPr>
          <w:rFonts w:eastAsia="Aptos"/>
          <w:color w:val="auto"/>
        </w:rPr>
        <w:t xml:space="preserve"> </w:t>
      </w:r>
      <w:r w:rsidR="00DC24B7" w:rsidRPr="0063683B">
        <w:rPr>
          <w:rFonts w:eastAsia="Aptos"/>
          <w:color w:val="auto"/>
        </w:rPr>
        <w:t>should be used as the basis for most provider registration.</w:t>
      </w:r>
      <w:r w:rsidR="00DC24B7" w:rsidRPr="005B05B3">
        <w:rPr>
          <w:rFonts w:eastAsia="Aptos"/>
          <w:color w:val="auto"/>
        </w:rPr>
        <w:t xml:space="preserve"> </w:t>
      </w:r>
    </w:p>
    <w:p w14:paraId="0ED45E3A" w14:textId="088540A2" w:rsidR="7C06EBCC" w:rsidRPr="005B05B3" w:rsidRDefault="008B1818" w:rsidP="002D6AB8">
      <w:pPr>
        <w:pStyle w:val="ListParagraph"/>
        <w:numPr>
          <w:ilvl w:val="0"/>
          <w:numId w:val="13"/>
        </w:numPr>
        <w:spacing w:after="160" w:line="276" w:lineRule="auto"/>
        <w:ind w:left="425" w:hanging="357"/>
        <w:contextualSpacing w:val="0"/>
        <w:rPr>
          <w:color w:val="auto"/>
        </w:rPr>
      </w:pPr>
      <w:r w:rsidRPr="005B05B3">
        <w:t>T</w:t>
      </w:r>
      <w:r w:rsidR="00F32AB4" w:rsidRPr="005B05B3">
        <w:t>he Taskforce recommends that t</w:t>
      </w:r>
      <w:r w:rsidR="7C06EBCC" w:rsidRPr="005B05B3">
        <w:t xml:space="preserve">here is no distinction between those operating in different environments such as in-person or online, in an organisation or alone. Platform </w:t>
      </w:r>
      <w:r w:rsidR="00E30865" w:rsidRPr="005B05B3">
        <w:t>p</w:t>
      </w:r>
      <w:r w:rsidR="7C06EBCC" w:rsidRPr="005B05B3">
        <w:t>roviders should be required to be registere</w:t>
      </w:r>
      <w:r w:rsidR="7C06EBCC" w:rsidRPr="005B05B3">
        <w:rPr>
          <w:color w:val="auto"/>
        </w:rPr>
        <w:t>d. The registration category depends on the services provided</w:t>
      </w:r>
      <w:r w:rsidR="002D37CF" w:rsidRPr="005B05B3">
        <w:rPr>
          <w:color w:val="auto"/>
        </w:rPr>
        <w:t>, not the type of organisation.</w:t>
      </w:r>
    </w:p>
    <w:p w14:paraId="2F9D47EA" w14:textId="6B94A793" w:rsidR="61B5B80D" w:rsidRPr="005B05B3" w:rsidRDefault="00F32AB4" w:rsidP="002D6AB8">
      <w:pPr>
        <w:pStyle w:val="ListParagraph"/>
        <w:numPr>
          <w:ilvl w:val="0"/>
          <w:numId w:val="13"/>
        </w:numPr>
        <w:spacing w:line="276" w:lineRule="auto"/>
        <w:ind w:left="426"/>
        <w:rPr>
          <w:color w:val="auto"/>
        </w:rPr>
      </w:pPr>
      <w:r w:rsidRPr="005B05B3">
        <w:t xml:space="preserve">The Taskforce recommends that </w:t>
      </w:r>
      <w:r w:rsidR="0D5FB208" w:rsidRPr="005B05B3">
        <w:rPr>
          <w:color w:val="auto"/>
        </w:rPr>
        <w:t xml:space="preserve">Group Homes </w:t>
      </w:r>
      <w:r w:rsidR="24A4CC89" w:rsidRPr="005B05B3">
        <w:rPr>
          <w:color w:val="auto"/>
        </w:rPr>
        <w:t>should</w:t>
      </w:r>
      <w:r w:rsidR="0D5FB208" w:rsidRPr="005B05B3">
        <w:rPr>
          <w:color w:val="auto"/>
        </w:rPr>
        <w:t xml:space="preserve"> be subject to </w:t>
      </w:r>
      <w:r w:rsidR="41E66E35" w:rsidRPr="005B05B3">
        <w:rPr>
          <w:color w:val="auto"/>
        </w:rPr>
        <w:t>un</w:t>
      </w:r>
      <w:r w:rsidR="5E6BA427" w:rsidRPr="005B05B3">
        <w:rPr>
          <w:color w:val="auto"/>
        </w:rPr>
        <w:t xml:space="preserve">announced visits and the NDIS Commission </w:t>
      </w:r>
      <w:r w:rsidR="2B991E4E" w:rsidRPr="005B05B3">
        <w:rPr>
          <w:color w:val="auto"/>
        </w:rPr>
        <w:t>should</w:t>
      </w:r>
      <w:r w:rsidR="5E6BA427" w:rsidRPr="005B05B3">
        <w:rPr>
          <w:color w:val="auto"/>
        </w:rPr>
        <w:t xml:space="preserve"> have a statutory right to enter the premises.</w:t>
      </w:r>
    </w:p>
    <w:p w14:paraId="1B5441BA" w14:textId="68DA7FDD" w:rsidR="52C919D7" w:rsidRPr="005B05B3" w:rsidRDefault="58E40023" w:rsidP="008A7C96">
      <w:pPr>
        <w:pStyle w:val="ListParagraph"/>
        <w:numPr>
          <w:ilvl w:val="1"/>
          <w:numId w:val="13"/>
        </w:numPr>
        <w:spacing w:after="0" w:line="276" w:lineRule="auto"/>
        <w:ind w:left="993"/>
        <w:rPr>
          <w:color w:val="auto"/>
        </w:rPr>
      </w:pPr>
      <w:r w:rsidRPr="005B05B3">
        <w:rPr>
          <w:rFonts w:eastAsia="Aptos"/>
          <w:color w:val="auto"/>
        </w:rPr>
        <w:t>All p</w:t>
      </w:r>
      <w:r w:rsidR="52C919D7" w:rsidRPr="005B05B3">
        <w:rPr>
          <w:rFonts w:eastAsia="Aptos"/>
          <w:color w:val="auto"/>
        </w:rPr>
        <w:t>roviders of S</w:t>
      </w:r>
      <w:r w:rsidR="00242AC8" w:rsidRPr="005B05B3">
        <w:rPr>
          <w:rFonts w:eastAsia="Aptos"/>
          <w:color w:val="auto"/>
        </w:rPr>
        <w:t xml:space="preserve">upported </w:t>
      </w:r>
      <w:r w:rsidR="52C919D7" w:rsidRPr="005B05B3">
        <w:rPr>
          <w:rFonts w:eastAsia="Aptos"/>
          <w:color w:val="auto"/>
        </w:rPr>
        <w:t>I</w:t>
      </w:r>
      <w:r w:rsidR="00242AC8" w:rsidRPr="005B05B3">
        <w:rPr>
          <w:rFonts w:eastAsia="Aptos"/>
          <w:color w:val="auto"/>
        </w:rPr>
        <w:t xml:space="preserve">ndependent </w:t>
      </w:r>
      <w:r w:rsidR="52C919D7" w:rsidRPr="005B05B3">
        <w:rPr>
          <w:rFonts w:eastAsia="Aptos"/>
          <w:color w:val="auto"/>
        </w:rPr>
        <w:t>L</w:t>
      </w:r>
      <w:r w:rsidR="00242AC8" w:rsidRPr="005B05B3">
        <w:rPr>
          <w:rFonts w:eastAsia="Aptos"/>
          <w:color w:val="auto"/>
        </w:rPr>
        <w:t>iving (SIL)</w:t>
      </w:r>
      <w:r w:rsidR="52C919D7" w:rsidRPr="005B05B3">
        <w:rPr>
          <w:rFonts w:eastAsia="Aptos"/>
          <w:color w:val="auto"/>
        </w:rPr>
        <w:t xml:space="preserve"> and Home and Living supports should be seen as </w:t>
      </w:r>
      <w:r w:rsidR="52C919D7" w:rsidRPr="008430F9">
        <w:rPr>
          <w:rFonts w:eastAsia="Aptos"/>
        </w:rPr>
        <w:t xml:space="preserve">requiring registration as a matter of urgency (within 12 months). </w:t>
      </w:r>
      <w:r w:rsidR="6557F7CA" w:rsidRPr="008430F9">
        <w:rPr>
          <w:rFonts w:eastAsia="Aptos"/>
        </w:rPr>
        <w:t xml:space="preserve">This should be implemented immediately, noting the significant risk to </w:t>
      </w:r>
      <w:r w:rsidR="00B2346F" w:rsidRPr="008430F9">
        <w:rPr>
          <w:rFonts w:eastAsia="Aptos"/>
        </w:rPr>
        <w:t>some p</w:t>
      </w:r>
      <w:r w:rsidR="6557F7CA" w:rsidRPr="008430F9">
        <w:t xml:space="preserve">articipants </w:t>
      </w:r>
      <w:r w:rsidR="6557F7CA" w:rsidRPr="008430F9">
        <w:rPr>
          <w:rFonts w:eastAsia="Aptos"/>
        </w:rPr>
        <w:t xml:space="preserve">of violence, abuse, neglect and exploitation in these services and the importance </w:t>
      </w:r>
      <w:r w:rsidR="6557F7CA" w:rsidRPr="005B05B3">
        <w:rPr>
          <w:rFonts w:eastAsia="Aptos"/>
          <w:color w:val="auto"/>
        </w:rPr>
        <w:t xml:space="preserve">of </w:t>
      </w:r>
      <w:r w:rsidR="005C4E33" w:rsidRPr="005B05B3">
        <w:rPr>
          <w:rFonts w:eastAsia="Aptos"/>
          <w:color w:val="auto"/>
        </w:rPr>
        <w:t>S</w:t>
      </w:r>
      <w:r w:rsidR="6557F7CA" w:rsidRPr="005B05B3">
        <w:rPr>
          <w:color w:val="auto"/>
        </w:rPr>
        <w:t>cheme integrity.</w:t>
      </w:r>
    </w:p>
    <w:p w14:paraId="6C726C55" w14:textId="4A7129EB" w:rsidR="006F5327" w:rsidRPr="005B05B3" w:rsidRDefault="6557F7CA" w:rsidP="008A7C96">
      <w:pPr>
        <w:pStyle w:val="ListParagraph"/>
        <w:numPr>
          <w:ilvl w:val="1"/>
          <w:numId w:val="13"/>
        </w:numPr>
        <w:spacing w:after="0" w:line="276" w:lineRule="auto"/>
        <w:ind w:left="993"/>
        <w:jc w:val="both"/>
        <w:rPr>
          <w:rFonts w:eastAsia="Aptos"/>
          <w:color w:val="auto"/>
        </w:rPr>
      </w:pPr>
      <w:r w:rsidRPr="005B05B3">
        <w:rPr>
          <w:rFonts w:eastAsia="Aptos"/>
          <w:color w:val="auto"/>
        </w:rPr>
        <w:t>Registration of SIL and Home and Living supports should</w:t>
      </w:r>
      <w:r w:rsidR="52C919D7" w:rsidRPr="005B05B3">
        <w:rPr>
          <w:rFonts w:eastAsia="Aptos"/>
          <w:color w:val="auto"/>
        </w:rPr>
        <w:t xml:space="preserve"> be done under the existing registration framework and should not wait for new arrangements to be developed.</w:t>
      </w:r>
    </w:p>
    <w:p w14:paraId="11838A3C" w14:textId="363FA16D" w:rsidR="52C919D7" w:rsidRPr="005B05B3" w:rsidRDefault="52C919D7" w:rsidP="008A7C96">
      <w:pPr>
        <w:pStyle w:val="ListParagraph"/>
        <w:numPr>
          <w:ilvl w:val="1"/>
          <w:numId w:val="13"/>
        </w:numPr>
        <w:spacing w:after="160" w:line="276" w:lineRule="auto"/>
        <w:ind w:left="993" w:hanging="357"/>
        <w:contextualSpacing w:val="0"/>
        <w:jc w:val="both"/>
        <w:rPr>
          <w:rFonts w:eastAsia="Aptos"/>
          <w:color w:val="auto"/>
        </w:rPr>
      </w:pPr>
      <w:r w:rsidRPr="005B05B3">
        <w:rPr>
          <w:rFonts w:eastAsia="Aptos"/>
          <w:color w:val="auto"/>
        </w:rPr>
        <w:lastRenderedPageBreak/>
        <w:t>In the future registration scheme providers of SIL and Home and Living should be required to have ‘Advanced Registration’</w:t>
      </w:r>
      <w:r w:rsidR="00772C9E">
        <w:rPr>
          <w:rFonts w:eastAsia="Aptos"/>
          <w:color w:val="auto"/>
        </w:rPr>
        <w:t>(see Annexure A – Table1</w:t>
      </w:r>
      <w:r w:rsidR="006E654E">
        <w:rPr>
          <w:rFonts w:eastAsia="Aptos"/>
          <w:color w:val="auto"/>
        </w:rPr>
        <w:t>)</w:t>
      </w:r>
      <w:r w:rsidRPr="005B05B3">
        <w:rPr>
          <w:rFonts w:eastAsia="Aptos"/>
          <w:color w:val="auto"/>
        </w:rPr>
        <w:t xml:space="preserve"> under the proposed registration framework.</w:t>
      </w:r>
      <w:r w:rsidR="00B22B62">
        <w:rPr>
          <w:rFonts w:eastAsia="Aptos"/>
          <w:color w:val="auto"/>
        </w:rPr>
        <w:t xml:space="preserve"> </w:t>
      </w:r>
    </w:p>
    <w:p w14:paraId="39CD64A0" w14:textId="2168344D" w:rsidR="00293997" w:rsidRPr="005B05B3" w:rsidRDefault="00126D1D" w:rsidP="002D6AB8">
      <w:pPr>
        <w:pStyle w:val="ListParagraph"/>
        <w:numPr>
          <w:ilvl w:val="0"/>
          <w:numId w:val="13"/>
        </w:numPr>
        <w:spacing w:after="0" w:line="276" w:lineRule="auto"/>
        <w:ind w:left="426"/>
      </w:pPr>
      <w:r w:rsidRPr="005B05B3">
        <w:t xml:space="preserve">The Taskforce recommends that </w:t>
      </w:r>
      <w:r w:rsidR="00293997" w:rsidRPr="005B05B3">
        <w:t xml:space="preserve">mechanisms </w:t>
      </w:r>
      <w:r w:rsidRPr="005B05B3">
        <w:t xml:space="preserve">be </w:t>
      </w:r>
      <w:r w:rsidR="00293997" w:rsidRPr="005B05B3">
        <w:t>put in place to support arrangements for self-directed supports. A process should be developed whereby the participant will register themselves for self-directed supports, and thereby all their support providers would then also automatically become registered and visible.</w:t>
      </w:r>
    </w:p>
    <w:p w14:paraId="179A2485" w14:textId="77777777" w:rsidR="00293997" w:rsidRPr="005B05B3" w:rsidRDefault="00293997" w:rsidP="008A7C96">
      <w:pPr>
        <w:pStyle w:val="ListParagraph"/>
        <w:numPr>
          <w:ilvl w:val="1"/>
          <w:numId w:val="13"/>
        </w:numPr>
        <w:spacing w:after="0" w:line="276" w:lineRule="auto"/>
        <w:ind w:left="993"/>
        <w:jc w:val="both"/>
        <w:rPr>
          <w:rFonts w:eastAsia="Aptos"/>
          <w:color w:val="auto"/>
        </w:rPr>
      </w:pPr>
      <w:r w:rsidRPr="005B05B3">
        <w:rPr>
          <w:rFonts w:eastAsia="Aptos"/>
          <w:color w:val="auto"/>
        </w:rPr>
        <w:t>The process of registration of self-directed supports should be co-designed with people with a disability.</w:t>
      </w:r>
    </w:p>
    <w:p w14:paraId="0F77C65B" w14:textId="6A0DFDD7" w:rsidR="00293997" w:rsidRPr="005B05B3" w:rsidRDefault="00293997" w:rsidP="00D275E4">
      <w:pPr>
        <w:pStyle w:val="ListParagraph"/>
        <w:numPr>
          <w:ilvl w:val="1"/>
          <w:numId w:val="13"/>
        </w:numPr>
        <w:spacing w:after="160" w:line="276" w:lineRule="auto"/>
        <w:ind w:left="851" w:hanging="216"/>
        <w:contextualSpacing w:val="0"/>
        <w:rPr>
          <w:rFonts w:eastAsia="Aptos"/>
          <w:color w:val="auto"/>
        </w:rPr>
      </w:pPr>
      <w:r w:rsidRPr="005B05B3">
        <w:rPr>
          <w:rFonts w:eastAsia="Aptos"/>
          <w:color w:val="auto"/>
        </w:rPr>
        <w:t>Self-directed supports would sit in a new category within the registration categories but would also be subject to review and auditing consistent with arrangements for other service providers</w:t>
      </w:r>
      <w:r w:rsidR="00037619">
        <w:rPr>
          <w:rFonts w:eastAsia="Aptos"/>
          <w:color w:val="auto"/>
        </w:rPr>
        <w:t xml:space="preserve">, </w:t>
      </w:r>
      <w:r w:rsidR="00AC2BF2" w:rsidRPr="00AC2BF2">
        <w:rPr>
          <w:rFonts w:eastAsia="Aptos"/>
          <w:color w:val="auto"/>
        </w:rPr>
        <w:t>except for the evaluation of Practice Standards which do not apply to self-directed supports</w:t>
      </w:r>
      <w:r w:rsidRPr="005B05B3">
        <w:rPr>
          <w:rFonts w:eastAsia="Aptos"/>
          <w:color w:val="auto"/>
        </w:rPr>
        <w:t>.</w:t>
      </w:r>
      <w:r w:rsidR="00AD43D0">
        <w:rPr>
          <w:rFonts w:eastAsia="Aptos"/>
          <w:color w:val="auto"/>
        </w:rPr>
        <w:t xml:space="preserve"> These approaches need to be co-designed with people with disability.</w:t>
      </w:r>
    </w:p>
    <w:p w14:paraId="010141D7" w14:textId="557AB3B7" w:rsidR="00293997" w:rsidRPr="005B05B3" w:rsidRDefault="00126D1D" w:rsidP="002D6AB8">
      <w:pPr>
        <w:pStyle w:val="ListParagraph"/>
        <w:numPr>
          <w:ilvl w:val="0"/>
          <w:numId w:val="13"/>
        </w:numPr>
        <w:spacing w:after="160" w:line="276" w:lineRule="auto"/>
        <w:ind w:left="426" w:hanging="357"/>
        <w:contextualSpacing w:val="0"/>
      </w:pPr>
      <w:r w:rsidRPr="005B05B3">
        <w:t xml:space="preserve">The Taskforce recommends that the Australian </w:t>
      </w:r>
      <w:r w:rsidR="00293997" w:rsidRPr="005B05B3">
        <w:t>Government should invest in offering peer support and capacity building programs to engage in the NDIS regulatory framework, including for participants who self-direct their supports.</w:t>
      </w:r>
    </w:p>
    <w:p w14:paraId="2461F3ED" w14:textId="3682939B" w:rsidR="61BF861B" w:rsidRPr="005B05B3" w:rsidRDefault="61BF861B" w:rsidP="002D6AB8">
      <w:pPr>
        <w:pStyle w:val="ListParagraph"/>
        <w:numPr>
          <w:ilvl w:val="0"/>
          <w:numId w:val="13"/>
        </w:numPr>
        <w:spacing w:line="276" w:lineRule="auto"/>
        <w:ind w:left="426"/>
      </w:pPr>
      <w:r w:rsidRPr="005B05B3">
        <w:t>To be applied in a graduated, risk-proportionate manner</w:t>
      </w:r>
      <w:r w:rsidR="467FAD58" w:rsidRPr="005B05B3">
        <w:t xml:space="preserve"> (</w:t>
      </w:r>
      <w:r w:rsidR="0087793D" w:rsidRPr="005B05B3">
        <w:t>see</w:t>
      </w:r>
      <w:r w:rsidR="0087793D">
        <w:t xml:space="preserve"> Annexure A</w:t>
      </w:r>
      <w:r w:rsidR="000F16FD">
        <w:t xml:space="preserve"> – Table 1</w:t>
      </w:r>
      <w:r w:rsidR="467FAD58" w:rsidRPr="005B05B3">
        <w:t>)</w:t>
      </w:r>
      <w:r w:rsidRPr="005B05B3">
        <w:t>, the Taskforce recommend</w:t>
      </w:r>
      <w:r w:rsidR="62DBDE25" w:rsidRPr="005B05B3">
        <w:t>s</w:t>
      </w:r>
      <w:r w:rsidRPr="005B05B3">
        <w:t xml:space="preserve"> that the following </w:t>
      </w:r>
      <w:r w:rsidRPr="005B05B3">
        <w:rPr>
          <w:b/>
        </w:rPr>
        <w:t>Provider Obligations</w:t>
      </w:r>
      <w:r w:rsidRPr="005B05B3">
        <w:t xml:space="preserve"> be included for registration:</w:t>
      </w:r>
    </w:p>
    <w:p w14:paraId="0EEA97AC" w14:textId="35AB40D8" w:rsidR="61BF861B" w:rsidRPr="005B05B3" w:rsidRDefault="61BF861B" w:rsidP="00FC7DB0">
      <w:pPr>
        <w:pStyle w:val="ListParagraph"/>
        <w:numPr>
          <w:ilvl w:val="1"/>
          <w:numId w:val="13"/>
        </w:numPr>
        <w:spacing w:line="276" w:lineRule="auto"/>
        <w:ind w:left="993"/>
      </w:pPr>
      <w:r w:rsidRPr="005B05B3">
        <w:rPr>
          <w:b/>
        </w:rPr>
        <w:t xml:space="preserve">Code of Conduct: </w:t>
      </w:r>
      <w:r w:rsidRPr="005B05B3">
        <w:t>remain a legislative instrument, the Code of Conduct requires review and to be co-designed with people with disability, the disability community and disability sector.</w:t>
      </w:r>
    </w:p>
    <w:p w14:paraId="1D463AF8" w14:textId="26881086" w:rsidR="61BF861B" w:rsidRPr="005B05B3" w:rsidRDefault="61BF861B" w:rsidP="00FC7DB0">
      <w:pPr>
        <w:pStyle w:val="ListParagraph"/>
        <w:numPr>
          <w:ilvl w:val="1"/>
          <w:numId w:val="13"/>
        </w:numPr>
        <w:spacing w:line="276" w:lineRule="auto"/>
        <w:ind w:left="993"/>
      </w:pPr>
      <w:r w:rsidRPr="005B05B3">
        <w:rPr>
          <w:b/>
        </w:rPr>
        <w:t>Worker Screening:</w:t>
      </w:r>
      <w:r w:rsidRPr="005B05B3">
        <w:t xml:space="preserve"> to be applied to all workers employed, contracted or engaged by NDIS Providers (per our recommend</w:t>
      </w:r>
      <w:r w:rsidR="00AD43D0">
        <w:t>ation on the</w:t>
      </w:r>
      <w:r w:rsidRPr="005B05B3">
        <w:t xml:space="preserve"> definition</w:t>
      </w:r>
      <w:r w:rsidR="00AD43D0">
        <w:t xml:space="preserve"> of Provider</w:t>
      </w:r>
      <w:r w:rsidRPr="005B05B3">
        <w:t xml:space="preserve">), in risk assessed roles for </w:t>
      </w:r>
      <w:r w:rsidR="00084410" w:rsidRPr="005B05B3">
        <w:t>Advanced</w:t>
      </w:r>
      <w:r w:rsidRPr="005B05B3">
        <w:t xml:space="preserve"> and </w:t>
      </w:r>
      <w:r w:rsidR="00084410" w:rsidRPr="005B05B3">
        <w:t>General</w:t>
      </w:r>
      <w:r w:rsidRPr="005B05B3">
        <w:t xml:space="preserve"> </w:t>
      </w:r>
      <w:r w:rsidR="00A04172" w:rsidRPr="005B05B3">
        <w:t>r</w:t>
      </w:r>
      <w:r w:rsidRPr="005B05B3">
        <w:t xml:space="preserve">egistration </w:t>
      </w:r>
      <w:r w:rsidR="00A04172" w:rsidRPr="005B05B3">
        <w:t>c</w:t>
      </w:r>
      <w:r w:rsidRPr="005B05B3">
        <w:t>ategories.</w:t>
      </w:r>
      <w:r w:rsidR="5A4D1B0E" w:rsidRPr="005B05B3">
        <w:t xml:space="preserve"> We do not make any recommendations to change the substance of the Screening Check in terms of intent or what is considered. We do recommend</w:t>
      </w:r>
      <w:r w:rsidR="00D71213" w:rsidRPr="005B05B3">
        <w:t>:</w:t>
      </w:r>
    </w:p>
    <w:p w14:paraId="6814B6DE" w14:textId="3C2BD5F2" w:rsidR="5A4D1B0E" w:rsidRPr="005B05B3" w:rsidRDefault="5CAF03D9" w:rsidP="00FC7DB0">
      <w:pPr>
        <w:pStyle w:val="ListParagraph"/>
        <w:numPr>
          <w:ilvl w:val="2"/>
          <w:numId w:val="13"/>
        </w:numPr>
        <w:spacing w:line="276" w:lineRule="auto"/>
        <w:ind w:left="1843"/>
      </w:pPr>
      <w:r w:rsidRPr="005B05B3">
        <w:t xml:space="preserve">Australian </w:t>
      </w:r>
      <w:r w:rsidR="00244FF8" w:rsidRPr="005B05B3">
        <w:t>g</w:t>
      </w:r>
      <w:r w:rsidR="5A4D1B0E" w:rsidRPr="005B05B3">
        <w:t xml:space="preserve">overnments </w:t>
      </w:r>
      <w:r w:rsidR="4F5C81C9" w:rsidRPr="005B05B3">
        <w:t>including the states</w:t>
      </w:r>
      <w:r w:rsidR="5A4D1B0E" w:rsidRPr="005B05B3">
        <w:t xml:space="preserve"> and </w:t>
      </w:r>
      <w:r w:rsidR="4F5C81C9" w:rsidRPr="005B05B3">
        <w:t>territories</w:t>
      </w:r>
      <w:r w:rsidR="5A4D1B0E" w:rsidRPr="005B05B3">
        <w:t xml:space="preserve"> improve information sharing between jurisdictions to ensure that the information considered in a screening assessment is complete, accurate and robust</w:t>
      </w:r>
    </w:p>
    <w:p w14:paraId="7C380CB3" w14:textId="4A009A8C" w:rsidR="5A4D1B0E" w:rsidRPr="005B05B3" w:rsidRDefault="007157AD" w:rsidP="00FC7DB0">
      <w:pPr>
        <w:pStyle w:val="ListParagraph"/>
        <w:numPr>
          <w:ilvl w:val="2"/>
          <w:numId w:val="13"/>
        </w:numPr>
        <w:spacing w:before="122" w:after="0" w:line="276" w:lineRule="auto"/>
        <w:ind w:left="1843"/>
      </w:pPr>
      <w:r w:rsidRPr="005B05B3">
        <w:t>c</w:t>
      </w:r>
      <w:r w:rsidR="5A4D1B0E" w:rsidRPr="005B05B3">
        <w:t xml:space="preserve">ulturally safe rules or procedures </w:t>
      </w:r>
      <w:r w:rsidR="00C93AF9" w:rsidRPr="005B05B3">
        <w:t xml:space="preserve">are developed </w:t>
      </w:r>
      <w:r w:rsidR="5A4D1B0E" w:rsidRPr="005B05B3">
        <w:t>to consider identification documents differences faced by First Nations people</w:t>
      </w:r>
      <w:r w:rsidR="66DDDF8E" w:rsidRPr="005B05B3">
        <w:t>s</w:t>
      </w:r>
      <w:r w:rsidR="5A4D1B0E" w:rsidRPr="005B05B3">
        <w:t>.</w:t>
      </w:r>
    </w:p>
    <w:p w14:paraId="35567E3F" w14:textId="3C7EAAA1" w:rsidR="5A4D1B0E" w:rsidRPr="005B05B3" w:rsidRDefault="5A4D1B0E" w:rsidP="00FC7DB0">
      <w:pPr>
        <w:pStyle w:val="ListParagraph"/>
        <w:numPr>
          <w:ilvl w:val="1"/>
          <w:numId w:val="13"/>
        </w:numPr>
        <w:spacing w:line="276" w:lineRule="auto"/>
        <w:ind w:left="993"/>
      </w:pPr>
      <w:r w:rsidRPr="005B05B3">
        <w:rPr>
          <w:b/>
        </w:rPr>
        <w:t xml:space="preserve">Complaints: </w:t>
      </w:r>
      <w:r w:rsidRPr="005B05B3">
        <w:t xml:space="preserve">process is to be redesigned through a co-design process with people with disability. </w:t>
      </w:r>
      <w:r w:rsidR="05DC8D99" w:rsidRPr="005B05B3">
        <w:t xml:space="preserve">Complaints are to be a </w:t>
      </w:r>
      <w:r w:rsidR="05DC8D99" w:rsidRPr="005B05B3">
        <w:rPr>
          <w:lang w:val="en-US"/>
        </w:rPr>
        <w:t xml:space="preserve">Provider Obligation </w:t>
      </w:r>
      <w:r w:rsidR="05DC8D99" w:rsidRPr="005B05B3">
        <w:t>for all categories of registration,</w:t>
      </w:r>
      <w:r w:rsidR="75DDFCD5" w:rsidRPr="005B05B3">
        <w:t xml:space="preserve"> and a </w:t>
      </w:r>
      <w:r w:rsidR="00DF7F96" w:rsidRPr="005B05B3">
        <w:t>p</w:t>
      </w:r>
      <w:r w:rsidR="75DDFCD5" w:rsidRPr="005B05B3">
        <w:t>articipant must be able to make a complaint about any organisation or individual if paid with NDIS funding</w:t>
      </w:r>
      <w:r w:rsidR="1937FA39" w:rsidRPr="005B05B3">
        <w:t>, regardless of registration status</w:t>
      </w:r>
      <w:r w:rsidR="75DDFCD5" w:rsidRPr="005B05B3">
        <w:t>.</w:t>
      </w:r>
      <w:r w:rsidR="37F892C0" w:rsidRPr="005B05B3">
        <w:t xml:space="preserve"> </w:t>
      </w:r>
      <w:r w:rsidR="05DC8D99" w:rsidRPr="005B05B3">
        <w:t xml:space="preserve">However, it should be recognised within the process that </w:t>
      </w:r>
      <w:r w:rsidR="05DC8D99" w:rsidRPr="005B05B3">
        <w:lastRenderedPageBreak/>
        <w:t xml:space="preserve">complaints may need to be referred to other bodies who are appropriately able to respond in certain circumstances. The Taskforce recommend that the NDIS Commission publish a Practice Note or Guideline which sets out the process, timelines and handling of complaints. </w:t>
      </w:r>
      <w:r w:rsidR="74AA3E24" w:rsidRPr="005B05B3">
        <w:t>For example, a complaint should be acknowledged within 7 days and unless exceptional circumstances apply, resolved within 21 days.</w:t>
      </w:r>
    </w:p>
    <w:p w14:paraId="589349D7" w14:textId="6502F297" w:rsidR="00397C03" w:rsidRPr="00E33733" w:rsidRDefault="74AA3E24" w:rsidP="00FC7DB0">
      <w:pPr>
        <w:pStyle w:val="ListParagraph"/>
        <w:numPr>
          <w:ilvl w:val="1"/>
          <w:numId w:val="13"/>
        </w:numPr>
        <w:spacing w:line="276" w:lineRule="auto"/>
        <w:ind w:left="993"/>
      </w:pPr>
      <w:r w:rsidRPr="005B05B3">
        <w:rPr>
          <w:b/>
        </w:rPr>
        <w:t xml:space="preserve">Incident reporting: </w:t>
      </w:r>
      <w:r w:rsidR="10192B6E" w:rsidRPr="005B05B3">
        <w:t>The Taskforce supports the recommendations of the Disability Royal Commission to facilitate the sharing of information between the NDIS Commission and a wider range of state and territory safeguarding bodies to support the safety of NDIS participants</w:t>
      </w:r>
      <w:r w:rsidR="007E645B">
        <w:t>.</w:t>
      </w:r>
      <w:r w:rsidR="5A4D1B0E" w:rsidRPr="005B05B3">
        <w:rPr>
          <w:vertAlign w:val="superscript"/>
        </w:rPr>
        <w:footnoteReference w:id="2"/>
      </w:r>
      <w:r w:rsidR="10192B6E" w:rsidRPr="005B05B3">
        <w:t xml:space="preserve"> The Taskforce recommends that legislative amendment be considered to ensure referral of incidents to other bodies such as the police, A</w:t>
      </w:r>
      <w:r w:rsidR="00412767" w:rsidRPr="005B05B3">
        <w:t xml:space="preserve">ustralian </w:t>
      </w:r>
      <w:r w:rsidR="10192B6E" w:rsidRPr="005B05B3">
        <w:t>C</w:t>
      </w:r>
      <w:r w:rsidR="00412767" w:rsidRPr="005B05B3">
        <w:t xml:space="preserve">ompetition and </w:t>
      </w:r>
      <w:r w:rsidR="10192B6E" w:rsidRPr="005B05B3">
        <w:t>C</w:t>
      </w:r>
      <w:r w:rsidR="00412767" w:rsidRPr="005B05B3">
        <w:t xml:space="preserve">onsumer </w:t>
      </w:r>
      <w:r w:rsidR="10192B6E" w:rsidRPr="005B05B3">
        <w:t>C</w:t>
      </w:r>
      <w:r w:rsidR="00412767" w:rsidRPr="005B05B3">
        <w:t>ommission (ACCC)</w:t>
      </w:r>
      <w:r w:rsidR="10192B6E" w:rsidRPr="005B05B3">
        <w:t xml:space="preserve"> or Ombudsman in appropriate circumstances.</w:t>
      </w:r>
    </w:p>
    <w:p w14:paraId="75663C1B" w14:textId="57E57A2D" w:rsidR="5A4D1B0E" w:rsidRPr="005B05B3" w:rsidRDefault="10192B6E" w:rsidP="00FC7DB0">
      <w:pPr>
        <w:pStyle w:val="ListParagraph"/>
        <w:numPr>
          <w:ilvl w:val="1"/>
          <w:numId w:val="13"/>
        </w:numPr>
        <w:spacing w:line="276" w:lineRule="auto"/>
        <w:ind w:left="993"/>
      </w:pPr>
      <w:r w:rsidRPr="005B05B3">
        <w:rPr>
          <w:b/>
        </w:rPr>
        <w:t xml:space="preserve">Practice Standards: </w:t>
      </w:r>
      <w:r w:rsidRPr="005B05B3">
        <w:t xml:space="preserve">it is recommended that Practice Standards apply to </w:t>
      </w:r>
      <w:r w:rsidR="00084410" w:rsidRPr="005B05B3">
        <w:t>Advanced</w:t>
      </w:r>
      <w:r w:rsidRPr="005B05B3">
        <w:t xml:space="preserve"> and </w:t>
      </w:r>
      <w:r w:rsidR="00084410" w:rsidRPr="005B05B3">
        <w:t>General</w:t>
      </w:r>
      <w:r w:rsidRPr="005B05B3">
        <w:t xml:space="preserve"> registration categories </w:t>
      </w:r>
      <w:r w:rsidR="007C00A3" w:rsidRPr="005B05B3">
        <w:t>(see</w:t>
      </w:r>
      <w:r w:rsidR="007C00A3">
        <w:t xml:space="preserve"> Annexure A – Table 1</w:t>
      </w:r>
      <w:r w:rsidR="007C00A3" w:rsidRPr="005B05B3">
        <w:t xml:space="preserve">), </w:t>
      </w:r>
      <w:r w:rsidRPr="005B05B3">
        <w:t xml:space="preserve">and that they be co-designed going forward. The requirement to co-design Practice Standards should be a requirement </w:t>
      </w:r>
      <w:r w:rsidR="1C5E099C" w:rsidRPr="005B05B3">
        <w:t>of legislative Rules.</w:t>
      </w:r>
    </w:p>
    <w:p w14:paraId="5B3D9300" w14:textId="41A70C79" w:rsidR="5A4D1B0E" w:rsidRPr="005B05B3" w:rsidRDefault="1C5E099C" w:rsidP="00FC7DB0">
      <w:pPr>
        <w:pStyle w:val="ListParagraph"/>
        <w:numPr>
          <w:ilvl w:val="1"/>
          <w:numId w:val="13"/>
        </w:numPr>
        <w:spacing w:line="276" w:lineRule="auto"/>
        <w:ind w:left="993"/>
      </w:pPr>
      <w:r w:rsidRPr="005B05B3">
        <w:rPr>
          <w:b/>
        </w:rPr>
        <w:t>Regular Check</w:t>
      </w:r>
      <w:r w:rsidR="00820CC9" w:rsidRPr="005B05B3">
        <w:rPr>
          <w:b/>
        </w:rPr>
        <w:t>-</w:t>
      </w:r>
      <w:r w:rsidRPr="005B05B3">
        <w:rPr>
          <w:b/>
        </w:rPr>
        <w:t xml:space="preserve">Ins with the NDIS Commission: </w:t>
      </w:r>
      <w:r w:rsidR="00CE4F39" w:rsidRPr="005B05B3">
        <w:t>p</w:t>
      </w:r>
      <w:r w:rsidRPr="005B05B3">
        <w:t xml:space="preserve">articipants </w:t>
      </w:r>
      <w:r w:rsidR="00084410" w:rsidRPr="005B05B3">
        <w:t>under Self Directed Support Registration</w:t>
      </w:r>
      <w:r w:rsidR="00084410" w:rsidRPr="005B05B3" w:rsidDel="00084410">
        <w:t xml:space="preserve"> </w:t>
      </w:r>
      <w:r w:rsidRPr="005B05B3">
        <w:t xml:space="preserve">will be subject to this </w:t>
      </w:r>
      <w:r w:rsidR="53851BF5" w:rsidRPr="005B05B3">
        <w:t>Obligation. We recommend that the Check-In requirements be co-designed with people with disability. However, as an Obligation, it is a requirement of gaining and maintaining registration. As such, if a Participant registered does not meet this Obligation, registration can be suspended o</w:t>
      </w:r>
      <w:r w:rsidR="4146520B" w:rsidRPr="005B05B3">
        <w:t>r revoked.</w:t>
      </w:r>
    </w:p>
    <w:p w14:paraId="72BFE44C" w14:textId="5EEEADFC" w:rsidR="00845AAD" w:rsidRPr="005B05B3" w:rsidRDefault="4E876383" w:rsidP="00FC7DB0">
      <w:pPr>
        <w:pStyle w:val="ListParagraph"/>
        <w:numPr>
          <w:ilvl w:val="1"/>
          <w:numId w:val="13"/>
        </w:numPr>
        <w:spacing w:after="160" w:line="276" w:lineRule="auto"/>
        <w:ind w:left="993" w:hanging="357"/>
        <w:contextualSpacing w:val="0"/>
      </w:pPr>
      <w:r w:rsidRPr="005B05B3">
        <w:rPr>
          <w:b/>
        </w:rPr>
        <w:t>Performance Measurement</w:t>
      </w:r>
      <w:r w:rsidR="1E7F7EA6" w:rsidRPr="005B05B3">
        <w:rPr>
          <w:b/>
        </w:rPr>
        <w:t xml:space="preserve"> (see NDIS Review Action 12.3)</w:t>
      </w:r>
      <w:r w:rsidRPr="005B05B3">
        <w:t xml:space="preserve">: </w:t>
      </w:r>
      <w:r w:rsidR="1F38D917" w:rsidRPr="005B05B3">
        <w:t xml:space="preserve">designed to </w:t>
      </w:r>
      <w:r w:rsidR="2B973E5A" w:rsidRPr="005B05B3">
        <w:t>incentivi</w:t>
      </w:r>
      <w:r w:rsidR="007D610C" w:rsidRPr="005B05B3">
        <w:t>s</w:t>
      </w:r>
      <w:r w:rsidR="2B973E5A" w:rsidRPr="005B05B3">
        <w:t>e</w:t>
      </w:r>
      <w:r w:rsidR="1F38D917" w:rsidRPr="005B05B3">
        <w:t xml:space="preserve"> </w:t>
      </w:r>
      <w:r w:rsidR="15B33D25" w:rsidRPr="005B05B3">
        <w:t xml:space="preserve">improvements by providers and drive greater competition on quality. It should be supported by accessible and useful </w:t>
      </w:r>
      <w:r w:rsidR="784645E8" w:rsidRPr="005B05B3">
        <w:t>information</w:t>
      </w:r>
      <w:r w:rsidR="15B33D25" w:rsidRPr="005B05B3">
        <w:t xml:space="preserve"> to support people with disability in making choices about providers. Over time, this should incorporate measurement of outcomes, and be accompanied by consequences </w:t>
      </w:r>
      <w:r w:rsidR="6B673566" w:rsidRPr="005B05B3">
        <w:t>for good and poor performance.</w:t>
      </w:r>
    </w:p>
    <w:p w14:paraId="03D8213B" w14:textId="47B1D155" w:rsidR="4146520B" w:rsidRPr="005B05B3" w:rsidRDefault="4146520B" w:rsidP="002D6AB8">
      <w:pPr>
        <w:pStyle w:val="ListParagraph"/>
        <w:numPr>
          <w:ilvl w:val="0"/>
          <w:numId w:val="13"/>
        </w:numPr>
        <w:spacing w:line="276" w:lineRule="auto"/>
      </w:pPr>
      <w:r w:rsidRPr="005B05B3">
        <w:t>The Taskforce recommend</w:t>
      </w:r>
      <w:r w:rsidR="00FA0457" w:rsidRPr="005B05B3">
        <w:t>s</w:t>
      </w:r>
      <w:r w:rsidRPr="005B05B3">
        <w:t xml:space="preserve"> the following </w:t>
      </w:r>
      <w:r w:rsidRPr="005B05B3">
        <w:rPr>
          <w:b/>
        </w:rPr>
        <w:t>Provider Processes</w:t>
      </w:r>
      <w:r w:rsidRPr="005B05B3">
        <w:t xml:space="preserve"> which enforce the Provider Obligations:</w:t>
      </w:r>
    </w:p>
    <w:p w14:paraId="2DF3CC33" w14:textId="1F425397" w:rsidR="4146520B" w:rsidRPr="005B05B3" w:rsidRDefault="513B58BB" w:rsidP="002D6AB8">
      <w:pPr>
        <w:pStyle w:val="ListParagraph"/>
        <w:numPr>
          <w:ilvl w:val="0"/>
          <w:numId w:val="21"/>
        </w:numPr>
        <w:spacing w:line="276" w:lineRule="auto"/>
      </w:pPr>
      <w:r w:rsidRPr="005B05B3">
        <w:t>Application</w:t>
      </w:r>
    </w:p>
    <w:p w14:paraId="16A8C5EC" w14:textId="3B022A60" w:rsidR="00C14943" w:rsidRPr="005B05B3" w:rsidRDefault="4146520B" w:rsidP="002D6AB8">
      <w:pPr>
        <w:pStyle w:val="ListParagraph"/>
        <w:numPr>
          <w:ilvl w:val="0"/>
          <w:numId w:val="21"/>
        </w:numPr>
        <w:spacing w:line="276" w:lineRule="auto"/>
      </w:pPr>
      <w:r w:rsidRPr="005B05B3">
        <w:t>Identification verification</w:t>
      </w:r>
    </w:p>
    <w:p w14:paraId="7B6FEB9C" w14:textId="73058443" w:rsidR="00C14943" w:rsidRPr="005B05B3" w:rsidRDefault="4146520B" w:rsidP="002D6AB8">
      <w:pPr>
        <w:pStyle w:val="ListParagraph"/>
        <w:numPr>
          <w:ilvl w:val="0"/>
          <w:numId w:val="21"/>
        </w:numPr>
        <w:spacing w:line="276" w:lineRule="auto"/>
      </w:pPr>
      <w:r w:rsidRPr="005B05B3">
        <w:t>Code of conduct attestation</w:t>
      </w:r>
    </w:p>
    <w:p w14:paraId="3113090A" w14:textId="37703529" w:rsidR="4146520B" w:rsidRPr="005B05B3" w:rsidRDefault="4146520B" w:rsidP="002D6AB8">
      <w:pPr>
        <w:pStyle w:val="ListParagraph"/>
        <w:numPr>
          <w:ilvl w:val="0"/>
          <w:numId w:val="21"/>
        </w:numPr>
        <w:spacing w:line="276" w:lineRule="auto"/>
      </w:pPr>
      <w:r w:rsidRPr="005B05B3">
        <w:t>Worker screening attestation</w:t>
      </w:r>
    </w:p>
    <w:p w14:paraId="42ABD0DC" w14:textId="54DE613B" w:rsidR="4146520B" w:rsidRPr="005B05B3" w:rsidRDefault="4146520B" w:rsidP="002D6AB8">
      <w:pPr>
        <w:pStyle w:val="ListParagraph"/>
        <w:numPr>
          <w:ilvl w:val="0"/>
          <w:numId w:val="21"/>
        </w:numPr>
        <w:spacing w:line="276" w:lineRule="auto"/>
      </w:pPr>
      <w:r w:rsidRPr="005B05B3">
        <w:t>Audits by the NDIS Commission and Audits by Approved Quality Auditors</w:t>
      </w:r>
    </w:p>
    <w:p w14:paraId="614AD9A0" w14:textId="71755815" w:rsidR="43863AA6" w:rsidRPr="005B05B3" w:rsidRDefault="43863AA6" w:rsidP="002D6AB8">
      <w:pPr>
        <w:pStyle w:val="ListParagraph"/>
        <w:numPr>
          <w:ilvl w:val="0"/>
          <w:numId w:val="21"/>
        </w:numPr>
        <w:spacing w:line="276" w:lineRule="auto"/>
      </w:pPr>
      <w:r w:rsidRPr="005B05B3">
        <w:t>Suitability assessment of provider and key personnel</w:t>
      </w:r>
    </w:p>
    <w:p w14:paraId="0F86C5DD" w14:textId="68223D22" w:rsidR="007B49D4" w:rsidRPr="005B05B3" w:rsidRDefault="032D9C49" w:rsidP="002D6AB8">
      <w:pPr>
        <w:pStyle w:val="ListParagraph"/>
        <w:numPr>
          <w:ilvl w:val="0"/>
          <w:numId w:val="21"/>
        </w:numPr>
        <w:spacing w:after="160" w:line="276" w:lineRule="auto"/>
        <w:ind w:left="1434" w:hanging="357"/>
        <w:contextualSpacing w:val="0"/>
      </w:pPr>
      <w:r w:rsidRPr="005B05B3">
        <w:t>Ongoing monitoring and compliance</w:t>
      </w:r>
    </w:p>
    <w:p w14:paraId="395BA610" w14:textId="1BF8B13F" w:rsidR="000C0869" w:rsidRPr="005B05B3" w:rsidRDefault="00F95D10" w:rsidP="002D6AB8">
      <w:pPr>
        <w:pStyle w:val="ListParagraph"/>
        <w:numPr>
          <w:ilvl w:val="0"/>
          <w:numId w:val="13"/>
        </w:numPr>
        <w:spacing w:line="276" w:lineRule="auto"/>
        <w:rPr>
          <w:rFonts w:eastAsia="Arial"/>
        </w:rPr>
      </w:pPr>
      <w:r w:rsidRPr="005B05B3">
        <w:rPr>
          <w:color w:val="auto"/>
        </w:rPr>
        <w:lastRenderedPageBreak/>
        <w:t xml:space="preserve">The Taskforce recommends </w:t>
      </w:r>
      <w:r w:rsidRPr="005B05B3">
        <w:rPr>
          <w:rFonts w:eastAsia="Arial"/>
        </w:rPr>
        <w:t>a</w:t>
      </w:r>
      <w:r w:rsidR="08E9601C" w:rsidRPr="005B05B3">
        <w:rPr>
          <w:rFonts w:eastAsia="Arial"/>
        </w:rPr>
        <w:t xml:space="preserve"> </w:t>
      </w:r>
      <w:r w:rsidR="08E9601C" w:rsidRPr="00414BA8">
        <w:rPr>
          <w:rFonts w:eastAsia="Arial"/>
          <w:b/>
          <w:bCs/>
        </w:rPr>
        <w:t>Worker Registration Scheme</w:t>
      </w:r>
      <w:r w:rsidR="08E9601C" w:rsidRPr="005B05B3">
        <w:rPr>
          <w:rFonts w:eastAsia="Arial"/>
        </w:rPr>
        <w:t xml:space="preserve"> be introduced for all workers. However, the scope of the definition of </w:t>
      </w:r>
      <w:r w:rsidR="00AE18BE" w:rsidRPr="005B05B3">
        <w:rPr>
          <w:rFonts w:eastAsia="Arial"/>
        </w:rPr>
        <w:t>‘</w:t>
      </w:r>
      <w:r w:rsidR="08E9601C" w:rsidRPr="005B05B3">
        <w:rPr>
          <w:rFonts w:eastAsia="Arial"/>
        </w:rPr>
        <w:t>worker</w:t>
      </w:r>
      <w:r w:rsidR="00AE18BE" w:rsidRPr="005B05B3">
        <w:rPr>
          <w:rFonts w:eastAsia="Arial"/>
        </w:rPr>
        <w:t>’</w:t>
      </w:r>
      <w:r w:rsidR="08E9601C" w:rsidRPr="005B05B3">
        <w:rPr>
          <w:rFonts w:eastAsia="Arial"/>
        </w:rPr>
        <w:t xml:space="preserve">, like NDIS </w:t>
      </w:r>
      <w:r w:rsidR="00465EC4" w:rsidRPr="005B05B3">
        <w:rPr>
          <w:rFonts w:eastAsia="Arial"/>
        </w:rPr>
        <w:t>p</w:t>
      </w:r>
      <w:r w:rsidR="08E9601C" w:rsidRPr="005B05B3">
        <w:rPr>
          <w:rFonts w:eastAsia="Arial"/>
        </w:rPr>
        <w:t>roviders, needs further consideration and co-design with the disability community and sector.</w:t>
      </w:r>
      <w:r w:rsidR="000C0869" w:rsidRPr="005B05B3">
        <w:rPr>
          <w:rFonts w:eastAsia="Arial"/>
        </w:rPr>
        <w:t xml:space="preserve"> </w:t>
      </w:r>
      <w:r w:rsidR="00F52ECD" w:rsidRPr="005B05B3">
        <w:rPr>
          <w:rFonts w:eastAsia="Arial"/>
        </w:rPr>
        <w:t>A</w:t>
      </w:r>
      <w:r w:rsidR="002711C1">
        <w:rPr>
          <w:rFonts w:eastAsia="Arial"/>
        </w:rPr>
        <w:t xml:space="preserve"> </w:t>
      </w:r>
      <w:r w:rsidR="00654A56" w:rsidRPr="005B05B3">
        <w:rPr>
          <w:rFonts w:eastAsia="Arial"/>
        </w:rPr>
        <w:t>W</w:t>
      </w:r>
      <w:r w:rsidR="009F6E3F" w:rsidRPr="005B05B3">
        <w:rPr>
          <w:rFonts w:eastAsia="Arial"/>
        </w:rPr>
        <w:t xml:space="preserve">orker </w:t>
      </w:r>
      <w:r w:rsidR="00654A56" w:rsidRPr="005B05B3">
        <w:rPr>
          <w:rFonts w:eastAsia="Arial"/>
        </w:rPr>
        <w:t>R</w:t>
      </w:r>
      <w:r w:rsidR="009F6E3F" w:rsidRPr="005B05B3">
        <w:rPr>
          <w:rFonts w:eastAsia="Arial"/>
        </w:rPr>
        <w:t xml:space="preserve">egistration </w:t>
      </w:r>
      <w:r w:rsidR="00E32988">
        <w:rPr>
          <w:rFonts w:eastAsia="Arial"/>
        </w:rPr>
        <w:t>S</w:t>
      </w:r>
      <w:r w:rsidR="000C0869" w:rsidRPr="005B05B3">
        <w:rPr>
          <w:rFonts w:eastAsia="Arial"/>
        </w:rPr>
        <w:t xml:space="preserve">cheme </w:t>
      </w:r>
      <w:r w:rsidR="00B300C3" w:rsidRPr="005B05B3">
        <w:rPr>
          <w:rFonts w:eastAsia="Arial"/>
        </w:rPr>
        <w:t>should</w:t>
      </w:r>
      <w:r w:rsidR="000C0869" w:rsidRPr="005B05B3">
        <w:rPr>
          <w:rFonts w:eastAsia="Arial"/>
        </w:rPr>
        <w:t xml:space="preserve"> include: </w:t>
      </w:r>
    </w:p>
    <w:p w14:paraId="0BFE93E0" w14:textId="77777777" w:rsidR="000C0869" w:rsidRPr="005B05B3" w:rsidRDefault="000C0869" w:rsidP="002D6AB8">
      <w:pPr>
        <w:pStyle w:val="ListParagraph"/>
        <w:numPr>
          <w:ilvl w:val="0"/>
          <w:numId w:val="22"/>
        </w:numPr>
        <w:spacing w:after="0" w:line="276" w:lineRule="auto"/>
        <w:rPr>
          <w:rFonts w:eastAsia="Arial"/>
        </w:rPr>
      </w:pPr>
      <w:r w:rsidRPr="005B05B3">
        <w:rPr>
          <w:rFonts w:eastAsia="Arial"/>
        </w:rPr>
        <w:t>a public register to be established of workers registered to provide services under the NDIS</w:t>
      </w:r>
    </w:p>
    <w:p w14:paraId="407BA69B" w14:textId="523E5578" w:rsidR="000C0869" w:rsidRPr="005B05B3" w:rsidRDefault="000C0869" w:rsidP="002D6AB8">
      <w:pPr>
        <w:pStyle w:val="ListParagraph"/>
        <w:numPr>
          <w:ilvl w:val="0"/>
          <w:numId w:val="22"/>
        </w:numPr>
        <w:spacing w:after="0" w:line="276" w:lineRule="auto"/>
        <w:rPr>
          <w:rFonts w:eastAsia="Arial"/>
        </w:rPr>
      </w:pPr>
      <w:r w:rsidRPr="005B05B3">
        <w:rPr>
          <w:rFonts w:eastAsia="Arial"/>
        </w:rPr>
        <w:t>requirements for professional development</w:t>
      </w:r>
    </w:p>
    <w:p w14:paraId="7D596AB6" w14:textId="7AD3E3F1" w:rsidR="0021733F" w:rsidRDefault="000C0869" w:rsidP="002D6AB8">
      <w:pPr>
        <w:pStyle w:val="ListParagraph"/>
        <w:numPr>
          <w:ilvl w:val="0"/>
          <w:numId w:val="22"/>
        </w:numPr>
        <w:shd w:val="clear" w:color="auto" w:fill="FFFFFF" w:themeFill="background1"/>
        <w:spacing w:after="0" w:line="276" w:lineRule="auto"/>
        <w:rPr>
          <w:rFonts w:eastAsia="Arial"/>
        </w:rPr>
      </w:pPr>
      <w:r w:rsidRPr="005B05B3">
        <w:rPr>
          <w:rFonts w:eastAsia="Arial"/>
        </w:rPr>
        <w:t xml:space="preserve">a </w:t>
      </w:r>
      <w:r w:rsidR="00A33583">
        <w:rPr>
          <w:rFonts w:eastAsia="Arial"/>
        </w:rPr>
        <w:t>w</w:t>
      </w:r>
      <w:r w:rsidRPr="005B05B3">
        <w:rPr>
          <w:rFonts w:eastAsia="Arial"/>
        </w:rPr>
        <w:t xml:space="preserve">orker </w:t>
      </w:r>
      <w:r w:rsidR="00A33583">
        <w:rPr>
          <w:rFonts w:eastAsia="Arial"/>
        </w:rPr>
        <w:t>t</w:t>
      </w:r>
      <w:r w:rsidRPr="005B05B3">
        <w:rPr>
          <w:rFonts w:eastAsia="Arial"/>
        </w:rPr>
        <w:t xml:space="preserve">raining and </w:t>
      </w:r>
      <w:r w:rsidR="00A33583">
        <w:rPr>
          <w:rFonts w:eastAsia="Arial"/>
        </w:rPr>
        <w:t>q</w:t>
      </w:r>
      <w:r w:rsidRPr="005B05B3">
        <w:rPr>
          <w:rFonts w:eastAsia="Arial"/>
        </w:rPr>
        <w:t xml:space="preserve">ualifications </w:t>
      </w:r>
      <w:r w:rsidR="00A33583">
        <w:rPr>
          <w:rFonts w:eastAsia="Arial"/>
        </w:rPr>
        <w:t>f</w:t>
      </w:r>
      <w:r w:rsidRPr="005B05B3">
        <w:rPr>
          <w:rFonts w:eastAsia="Arial"/>
        </w:rPr>
        <w:t>ramework (including minimum training and qualification requirements) to apply to the disability sector</w:t>
      </w:r>
      <w:r w:rsidR="0063046D">
        <w:rPr>
          <w:rFonts w:eastAsia="Arial"/>
        </w:rPr>
        <w:t>.</w:t>
      </w:r>
    </w:p>
    <w:p w14:paraId="0E8ED743" w14:textId="00243A3B" w:rsidR="08E9601C" w:rsidRPr="005B05B3" w:rsidRDefault="0021733F" w:rsidP="002D6AB8">
      <w:pPr>
        <w:pStyle w:val="ListParagraph"/>
        <w:numPr>
          <w:ilvl w:val="0"/>
          <w:numId w:val="22"/>
        </w:numPr>
        <w:shd w:val="clear" w:color="auto" w:fill="FFFFFF" w:themeFill="background1"/>
        <w:spacing w:after="0" w:line="276" w:lineRule="auto"/>
        <w:rPr>
          <w:rFonts w:eastAsia="Arial"/>
        </w:rPr>
      </w:pPr>
      <w:r>
        <w:rPr>
          <w:rFonts w:eastAsia="Arial"/>
        </w:rPr>
        <w:t>w</w:t>
      </w:r>
      <w:r w:rsidR="08E9601C" w:rsidRPr="005B05B3">
        <w:rPr>
          <w:rFonts w:eastAsia="Arial"/>
        </w:rPr>
        <w:t>orker registration to be automatic, simple and enabled through an online portal (with alternative accessible formats as needed)</w:t>
      </w:r>
    </w:p>
    <w:p w14:paraId="658962EC" w14:textId="476EB50C" w:rsidR="08E9601C" w:rsidRPr="005B05B3" w:rsidRDefault="0021733F" w:rsidP="002D6AB8">
      <w:pPr>
        <w:pStyle w:val="ListParagraph"/>
        <w:numPr>
          <w:ilvl w:val="0"/>
          <w:numId w:val="22"/>
        </w:numPr>
        <w:shd w:val="clear" w:color="auto" w:fill="FFFFFF" w:themeFill="background1"/>
        <w:spacing w:after="0" w:line="276" w:lineRule="auto"/>
        <w:rPr>
          <w:rFonts w:eastAsia="Arial"/>
        </w:rPr>
      </w:pPr>
      <w:r>
        <w:rPr>
          <w:rFonts w:eastAsia="Arial"/>
        </w:rPr>
        <w:t>r</w:t>
      </w:r>
      <w:r w:rsidR="08E9601C" w:rsidRPr="005B05B3">
        <w:rPr>
          <w:rFonts w:eastAsia="Arial"/>
        </w:rPr>
        <w:t>egistration is to be transparent, not place unreasonable costs on workers or Providers and enable identification verification to be conducted via myGov including the requirement of photo identification</w:t>
      </w:r>
    </w:p>
    <w:p w14:paraId="28841131" w14:textId="0D585AEB" w:rsidR="009F577F" w:rsidRPr="005B05B3" w:rsidRDefault="0021733F" w:rsidP="002D6AB8">
      <w:pPr>
        <w:pStyle w:val="ListParagraph"/>
        <w:numPr>
          <w:ilvl w:val="0"/>
          <w:numId w:val="22"/>
        </w:numPr>
        <w:shd w:val="clear" w:color="auto" w:fill="FFFFFF" w:themeFill="background1"/>
        <w:spacing w:after="0" w:line="276" w:lineRule="auto"/>
        <w:rPr>
          <w:rFonts w:eastAsia="Arial"/>
        </w:rPr>
      </w:pPr>
      <w:r>
        <w:rPr>
          <w:rFonts w:eastAsia="Arial"/>
        </w:rPr>
        <w:t>a</w:t>
      </w:r>
      <w:r w:rsidR="00B3480C" w:rsidRPr="005B05B3">
        <w:rPr>
          <w:rFonts w:eastAsia="Arial"/>
        </w:rPr>
        <w:t xml:space="preserve">ll NDIS </w:t>
      </w:r>
      <w:r w:rsidR="00465EC4" w:rsidRPr="005B05B3">
        <w:rPr>
          <w:rFonts w:eastAsia="Arial"/>
        </w:rPr>
        <w:t>p</w:t>
      </w:r>
      <w:r w:rsidR="00B3480C" w:rsidRPr="005B05B3">
        <w:rPr>
          <w:rFonts w:eastAsia="Arial"/>
        </w:rPr>
        <w:t xml:space="preserve">roviders </w:t>
      </w:r>
      <w:r w:rsidR="17DDF012" w:rsidRPr="005B05B3">
        <w:rPr>
          <w:rFonts w:eastAsia="Arial"/>
        </w:rPr>
        <w:t xml:space="preserve">must provide such instruction, training and supervision to workers as is necessary to enable workers to perform their work in a way that is safe and without risks to the </w:t>
      </w:r>
      <w:r w:rsidR="00DF7F96" w:rsidRPr="005B05B3">
        <w:rPr>
          <w:rFonts w:eastAsia="Arial"/>
        </w:rPr>
        <w:t>p</w:t>
      </w:r>
      <w:r w:rsidR="17DDF012" w:rsidRPr="005B05B3">
        <w:rPr>
          <w:rFonts w:eastAsia="Arial"/>
        </w:rPr>
        <w:t>articipant or themselves.</w:t>
      </w:r>
    </w:p>
    <w:p w14:paraId="69442B37" w14:textId="7D127DB2" w:rsidR="08E9601C" w:rsidRPr="005B05B3" w:rsidRDefault="08E9601C" w:rsidP="002D6AB8">
      <w:pPr>
        <w:pStyle w:val="ListParagraph"/>
        <w:numPr>
          <w:ilvl w:val="0"/>
          <w:numId w:val="22"/>
        </w:numPr>
        <w:shd w:val="clear" w:color="auto" w:fill="FFFFFF" w:themeFill="background1"/>
        <w:spacing w:after="0" w:line="276" w:lineRule="auto"/>
        <w:rPr>
          <w:rFonts w:eastAsia="Arial"/>
        </w:rPr>
      </w:pPr>
      <w:r w:rsidRPr="005B05B3">
        <w:rPr>
          <w:rFonts w:eastAsia="Arial"/>
        </w:rPr>
        <w:t xml:space="preserve">NDIS Providers in the Advanced and General Registration Categories who employ or have a job placement arrangement with five or more workers has, as a condition of their ongoing registration, </w:t>
      </w:r>
      <w:r w:rsidR="005B3E47" w:rsidRPr="005B05B3">
        <w:rPr>
          <w:rFonts w:eastAsia="Arial"/>
        </w:rPr>
        <w:t xml:space="preserve">responsibility for ensuring that each worker has an individual training, skills enhancement and accreditation plan which is updated in consultation with the worker at least every </w:t>
      </w:r>
      <w:r w:rsidR="00322A97" w:rsidRPr="005B05B3">
        <w:rPr>
          <w:rFonts w:eastAsia="Arial"/>
        </w:rPr>
        <w:t>12</w:t>
      </w:r>
      <w:r w:rsidR="005B3E47" w:rsidRPr="005B05B3">
        <w:rPr>
          <w:rFonts w:eastAsia="Arial"/>
        </w:rPr>
        <w:t xml:space="preserve"> months</w:t>
      </w:r>
      <w:r w:rsidR="00AA38BD" w:rsidRPr="005B05B3">
        <w:rPr>
          <w:rFonts w:eastAsia="Arial"/>
        </w:rPr>
        <w:t>.</w:t>
      </w:r>
    </w:p>
    <w:p w14:paraId="7210F47A" w14:textId="1C54DAB3" w:rsidR="08E9601C" w:rsidRPr="005B05B3" w:rsidRDefault="08E9601C" w:rsidP="002D6AB8">
      <w:pPr>
        <w:pStyle w:val="ListParagraph"/>
        <w:numPr>
          <w:ilvl w:val="0"/>
          <w:numId w:val="22"/>
        </w:numPr>
        <w:shd w:val="clear" w:color="auto" w:fill="FFFFFF" w:themeFill="background1"/>
        <w:spacing w:after="120" w:line="276" w:lineRule="auto"/>
        <w:ind w:left="1434" w:hanging="357"/>
        <w:contextualSpacing w:val="0"/>
        <w:rPr>
          <w:rFonts w:eastAsia="Arial"/>
        </w:rPr>
      </w:pPr>
      <w:r w:rsidRPr="005B05B3">
        <w:rPr>
          <w:rFonts w:eastAsia="Arial"/>
        </w:rPr>
        <w:t>to maintain registration, registered workers be required to undertake 10 hours per year of ongoing professional development training</w:t>
      </w:r>
    </w:p>
    <w:p w14:paraId="75A28354" w14:textId="1F549109" w:rsidR="00897FEC" w:rsidRPr="005B05B3" w:rsidRDefault="0039719B" w:rsidP="002D6AB8">
      <w:pPr>
        <w:pStyle w:val="ListParagraph"/>
        <w:numPr>
          <w:ilvl w:val="0"/>
          <w:numId w:val="13"/>
        </w:numPr>
        <w:shd w:val="clear" w:color="auto" w:fill="FFFFFF" w:themeFill="background1"/>
        <w:spacing w:after="160" w:line="276" w:lineRule="auto"/>
        <w:ind w:left="714" w:hanging="357"/>
        <w:contextualSpacing w:val="0"/>
      </w:pPr>
      <w:r w:rsidRPr="005B05B3">
        <w:rPr>
          <w:color w:val="auto"/>
        </w:rPr>
        <w:t>The Taskforce recommends</w:t>
      </w:r>
      <w:r w:rsidRPr="005B05B3">
        <w:rPr>
          <w:rFonts w:eastAsia="Arial"/>
        </w:rPr>
        <w:t xml:space="preserve"> p</w:t>
      </w:r>
      <w:r w:rsidR="41013AB4" w:rsidRPr="005B05B3">
        <w:rPr>
          <w:rFonts w:eastAsia="Arial"/>
        </w:rPr>
        <w:t>ractitioners</w:t>
      </w:r>
      <w:r w:rsidRPr="005B05B3">
        <w:rPr>
          <w:rFonts w:eastAsia="Arial"/>
        </w:rPr>
        <w:t>,</w:t>
      </w:r>
      <w:r w:rsidR="41013AB4" w:rsidRPr="005B05B3">
        <w:rPr>
          <w:rFonts w:eastAsia="Arial"/>
        </w:rPr>
        <w:t xml:space="preserve"> </w:t>
      </w:r>
      <w:r w:rsidR="1DC4AFCE" w:rsidRPr="005B05B3">
        <w:rPr>
          <w:rFonts w:eastAsia="Arial"/>
        </w:rPr>
        <w:t>including allied</w:t>
      </w:r>
      <w:r w:rsidR="41013AB4" w:rsidRPr="005B05B3">
        <w:rPr>
          <w:rFonts w:eastAsia="Arial"/>
        </w:rPr>
        <w:t xml:space="preserve"> health practitioners</w:t>
      </w:r>
      <w:r w:rsidRPr="005B05B3">
        <w:rPr>
          <w:rFonts w:eastAsia="Arial"/>
        </w:rPr>
        <w:t>,</w:t>
      </w:r>
      <w:r w:rsidR="41013AB4" w:rsidRPr="005B05B3">
        <w:rPr>
          <w:rFonts w:eastAsia="Arial"/>
        </w:rPr>
        <w:t xml:space="preserve"> </w:t>
      </w:r>
      <w:r w:rsidR="004A6435" w:rsidRPr="005B05B3">
        <w:rPr>
          <w:rFonts w:eastAsia="Arial"/>
        </w:rPr>
        <w:t>who</w:t>
      </w:r>
      <w:r w:rsidR="41013AB4" w:rsidRPr="005B05B3">
        <w:rPr>
          <w:rFonts w:eastAsia="Arial"/>
        </w:rPr>
        <w:t xml:space="preserve"> hold professional registration</w:t>
      </w:r>
      <w:r w:rsidR="00434457">
        <w:rPr>
          <w:rFonts w:eastAsia="Arial"/>
        </w:rPr>
        <w:t>,</w:t>
      </w:r>
      <w:r w:rsidR="41013AB4" w:rsidRPr="005B05B3">
        <w:rPr>
          <w:rFonts w:eastAsia="Arial"/>
        </w:rPr>
        <w:t xml:space="preserve"> may have that registration recognised to avoid duplication and administrative burden. However, where there is a differen</w:t>
      </w:r>
      <w:r w:rsidR="00794628" w:rsidRPr="005B05B3">
        <w:rPr>
          <w:rFonts w:eastAsia="Arial"/>
        </w:rPr>
        <w:t>ce</w:t>
      </w:r>
      <w:r w:rsidR="41013AB4" w:rsidRPr="005B05B3">
        <w:rPr>
          <w:rFonts w:eastAsia="Arial"/>
        </w:rPr>
        <w:t xml:space="preserve"> between the professional </w:t>
      </w:r>
      <w:r w:rsidR="148C16F9" w:rsidRPr="005B05B3">
        <w:rPr>
          <w:rFonts w:eastAsia="Arial"/>
        </w:rPr>
        <w:t>registration and the NDIS Provider and Worker Registration Scheme, the practitioner will need to meet those outstanding obligations to provide NDIS s</w:t>
      </w:r>
      <w:r w:rsidR="689C507E" w:rsidRPr="005B05B3">
        <w:rPr>
          <w:rFonts w:eastAsia="Arial"/>
        </w:rPr>
        <w:t>upports</w:t>
      </w:r>
      <w:r w:rsidR="148C16F9" w:rsidRPr="005B05B3">
        <w:rPr>
          <w:rFonts w:eastAsia="Arial"/>
        </w:rPr>
        <w:t>.</w:t>
      </w:r>
    </w:p>
    <w:p w14:paraId="03E12512" w14:textId="25916845" w:rsidR="00186BDC" w:rsidRPr="005B05B3" w:rsidRDefault="1B9769C8" w:rsidP="008430F9">
      <w:pPr>
        <w:spacing w:after="80" w:line="276" w:lineRule="auto"/>
      </w:pPr>
      <w:r w:rsidRPr="005B05B3">
        <w:t>To implement</w:t>
      </w:r>
      <w:r w:rsidR="58C4D802" w:rsidRPr="005B05B3">
        <w:t xml:space="preserve"> these </w:t>
      </w:r>
      <w:r w:rsidR="00AB0A76" w:rsidRPr="005B05B3">
        <w:t>r</w:t>
      </w:r>
      <w:r w:rsidR="58C4D802" w:rsidRPr="005B05B3">
        <w:t xml:space="preserve">ecommendations, the Taskforce </w:t>
      </w:r>
      <w:r w:rsidR="4DFCB502" w:rsidRPr="005B05B3">
        <w:t>recommend</w:t>
      </w:r>
      <w:r w:rsidR="58C4D802" w:rsidRPr="005B05B3">
        <w:t xml:space="preserve"> the following </w:t>
      </w:r>
      <w:r w:rsidR="58C4D802" w:rsidRPr="005B05B3">
        <w:rPr>
          <w:b/>
          <w:bCs/>
        </w:rPr>
        <w:t>Implementation Actions</w:t>
      </w:r>
      <w:r w:rsidR="58C4D802" w:rsidRPr="005B05B3">
        <w:t>:</w:t>
      </w:r>
    </w:p>
    <w:p w14:paraId="7247FC75" w14:textId="79C657FE" w:rsidR="492AB811" w:rsidRPr="005B05B3" w:rsidRDefault="005A37B4" w:rsidP="002D6AB8">
      <w:pPr>
        <w:pStyle w:val="ListParagraph"/>
        <w:numPr>
          <w:ilvl w:val="0"/>
          <w:numId w:val="13"/>
        </w:numPr>
        <w:shd w:val="clear" w:color="auto" w:fill="FFFFFF" w:themeFill="background1"/>
        <w:spacing w:after="80" w:line="276" w:lineRule="auto"/>
      </w:pPr>
      <w:r w:rsidRPr="005B05B3">
        <w:rPr>
          <w:b/>
          <w:bCs/>
        </w:rPr>
        <w:t xml:space="preserve">Expand core functions of the </w:t>
      </w:r>
      <w:r w:rsidR="00DF2C8E" w:rsidRPr="005B05B3">
        <w:rPr>
          <w:b/>
          <w:bCs/>
        </w:rPr>
        <w:t xml:space="preserve">NDIS Commission through co-design: </w:t>
      </w:r>
      <w:r w:rsidR="00416DC6" w:rsidRPr="005B05B3">
        <w:t xml:space="preserve">existing core </w:t>
      </w:r>
      <w:r w:rsidR="37A2BE80" w:rsidRPr="005B05B3">
        <w:t>f</w:t>
      </w:r>
      <w:r w:rsidR="77EACC67" w:rsidRPr="005B05B3">
        <w:t xml:space="preserve">unctions </w:t>
      </w:r>
      <w:r w:rsidR="492AB811" w:rsidRPr="005B05B3">
        <w:t xml:space="preserve">of the </w:t>
      </w:r>
      <w:r w:rsidR="00D45058" w:rsidRPr="005B05B3">
        <w:t xml:space="preserve">NDIS </w:t>
      </w:r>
      <w:r w:rsidR="492AB811" w:rsidRPr="005B05B3">
        <w:t>Commission</w:t>
      </w:r>
      <w:r w:rsidR="00751BEC" w:rsidRPr="005B05B3">
        <w:t xml:space="preserve"> be expanded </w:t>
      </w:r>
      <w:r w:rsidR="492AB811" w:rsidRPr="005B05B3">
        <w:t xml:space="preserve">in a co-design process with people with disability for the purposes of </w:t>
      </w:r>
      <w:r w:rsidR="00552DE3" w:rsidRPr="005B05B3">
        <w:t>implementing</w:t>
      </w:r>
      <w:r w:rsidR="00416DC6" w:rsidRPr="005B05B3">
        <w:t xml:space="preserve"> </w:t>
      </w:r>
      <w:r w:rsidR="492AB811" w:rsidRPr="005B05B3">
        <w:t xml:space="preserve">the proposed </w:t>
      </w:r>
      <w:r w:rsidR="00FD112D" w:rsidRPr="005B05B3">
        <w:t>registration</w:t>
      </w:r>
      <w:r w:rsidR="005E6A58" w:rsidRPr="005B05B3">
        <w:t xml:space="preserve"> </w:t>
      </w:r>
      <w:r w:rsidR="492AB811" w:rsidRPr="005B05B3">
        <w:t>model</w:t>
      </w:r>
      <w:r w:rsidR="00447CD3" w:rsidRPr="005B05B3">
        <w:t xml:space="preserve">, with the following considered </w:t>
      </w:r>
      <w:r w:rsidR="00197081" w:rsidRPr="005B05B3">
        <w:t xml:space="preserve">to be </w:t>
      </w:r>
      <w:r w:rsidR="00447CD3" w:rsidRPr="005B05B3">
        <w:t xml:space="preserve">added to the </w:t>
      </w:r>
      <w:r w:rsidR="492AB811" w:rsidRPr="005B05B3">
        <w:t>core functions:</w:t>
      </w:r>
    </w:p>
    <w:p w14:paraId="6144CBD2" w14:textId="1448F8AE" w:rsidR="00186BDC" w:rsidRPr="005B05B3" w:rsidRDefault="492AB811" w:rsidP="008430F9">
      <w:pPr>
        <w:pStyle w:val="ListParagraph"/>
        <w:numPr>
          <w:ilvl w:val="1"/>
          <w:numId w:val="1"/>
        </w:numPr>
        <w:spacing w:after="80" w:line="276" w:lineRule="auto"/>
      </w:pPr>
      <w:r w:rsidRPr="005B05B3">
        <w:t>The promotion of best practice within service providers to deliver high quality, individualised and innovative services.</w:t>
      </w:r>
    </w:p>
    <w:p w14:paraId="24BBDF57" w14:textId="559159A3" w:rsidR="00186BDC" w:rsidRPr="005B05B3" w:rsidRDefault="492AB811" w:rsidP="008430F9">
      <w:pPr>
        <w:pStyle w:val="ListParagraph"/>
        <w:numPr>
          <w:ilvl w:val="1"/>
          <w:numId w:val="1"/>
        </w:numPr>
        <w:spacing w:after="80" w:line="276" w:lineRule="auto"/>
      </w:pPr>
      <w:r w:rsidRPr="005B05B3">
        <w:t xml:space="preserve">The promotion of safe, secure </w:t>
      </w:r>
      <w:r w:rsidR="00447CD3" w:rsidRPr="005B05B3">
        <w:t xml:space="preserve">workplaces that </w:t>
      </w:r>
      <w:r w:rsidRPr="005B05B3">
        <w:t>value workers providing disability support services.</w:t>
      </w:r>
    </w:p>
    <w:p w14:paraId="2EC447F2" w14:textId="73D80BA0" w:rsidR="00186BDC" w:rsidRPr="005B05B3" w:rsidRDefault="01CACF1A" w:rsidP="008430F9">
      <w:pPr>
        <w:pStyle w:val="ListParagraph"/>
        <w:numPr>
          <w:ilvl w:val="1"/>
          <w:numId w:val="1"/>
        </w:numPr>
        <w:spacing w:after="80" w:line="276" w:lineRule="auto"/>
        <w:ind w:hanging="357"/>
        <w:contextualSpacing w:val="0"/>
        <w:rPr>
          <w:b/>
        </w:rPr>
      </w:pPr>
      <w:r w:rsidRPr="005B05B3">
        <w:lastRenderedPageBreak/>
        <w:t>The reduction of segregation in closed settings and causes of isolation of people with disability.</w:t>
      </w:r>
    </w:p>
    <w:p w14:paraId="55953A22" w14:textId="49875C76" w:rsidR="007D07A7" w:rsidRPr="005B05B3" w:rsidRDefault="01CACF1A" w:rsidP="002D6AB8">
      <w:pPr>
        <w:pStyle w:val="ListParagraph"/>
        <w:numPr>
          <w:ilvl w:val="0"/>
          <w:numId w:val="13"/>
        </w:numPr>
        <w:shd w:val="clear" w:color="auto" w:fill="FFFFFF" w:themeFill="background1"/>
        <w:spacing w:after="80" w:line="276" w:lineRule="auto"/>
        <w:ind w:left="714" w:hanging="357"/>
        <w:contextualSpacing w:val="0"/>
      </w:pPr>
      <w:r w:rsidRPr="005B05B3">
        <w:rPr>
          <w:b/>
          <w:bCs/>
        </w:rPr>
        <w:t>Provider registration:</w:t>
      </w:r>
      <w:r w:rsidRPr="005B05B3">
        <w:t xml:space="preserve"> a new legislative framework to support the recommended Provider Framework is required, including the separation of the registration and reportable incidents.</w:t>
      </w:r>
      <w:r w:rsidR="516836DC" w:rsidRPr="005B05B3">
        <w:t xml:space="preserve"> Within the legislative framework, there needs to be consideration of the </w:t>
      </w:r>
      <w:r w:rsidR="7ECA1081" w:rsidRPr="005B05B3">
        <w:t>recognition of other professional registration for allied health practitioners.</w:t>
      </w:r>
    </w:p>
    <w:p w14:paraId="5840243D" w14:textId="46661533" w:rsidR="007D07A7" w:rsidRPr="005B05B3" w:rsidRDefault="240D84FE" w:rsidP="002D6AB8">
      <w:pPr>
        <w:pStyle w:val="ListParagraph"/>
        <w:numPr>
          <w:ilvl w:val="0"/>
          <w:numId w:val="13"/>
        </w:numPr>
        <w:shd w:val="clear" w:color="auto" w:fill="FFFFFF" w:themeFill="background1"/>
        <w:spacing w:after="80" w:line="276" w:lineRule="auto"/>
        <w:ind w:left="714" w:hanging="357"/>
        <w:contextualSpacing w:val="0"/>
      </w:pPr>
      <w:r w:rsidRPr="005B05B3">
        <w:rPr>
          <w:b/>
        </w:rPr>
        <w:t xml:space="preserve">Worker registration: </w:t>
      </w:r>
      <w:r w:rsidRPr="005B05B3">
        <w:t xml:space="preserve">a legislative framework to support the recommended </w:t>
      </w:r>
      <w:r w:rsidR="00AF7A79" w:rsidRPr="005B05B3">
        <w:t>w</w:t>
      </w:r>
      <w:r w:rsidRPr="005B05B3">
        <w:t xml:space="preserve">orker </w:t>
      </w:r>
      <w:r w:rsidR="00AF7A79" w:rsidRPr="005B05B3">
        <w:t>r</w:t>
      </w:r>
      <w:r w:rsidRPr="005B05B3">
        <w:t>egistration framework is required. This should be co-designed with people with disability</w:t>
      </w:r>
      <w:r w:rsidR="3AA029E9" w:rsidRPr="005B05B3">
        <w:t>, the disability sector and wo</w:t>
      </w:r>
      <w:r w:rsidR="2B4C2ACB" w:rsidRPr="005B05B3">
        <w:t>rkers and their union representatives.</w:t>
      </w:r>
    </w:p>
    <w:p w14:paraId="01DCB93E" w14:textId="2B087A20" w:rsidR="240D84FE" w:rsidRPr="005B05B3" w:rsidRDefault="0062614F" w:rsidP="002D6AB8">
      <w:pPr>
        <w:pStyle w:val="ListParagraph"/>
        <w:numPr>
          <w:ilvl w:val="0"/>
          <w:numId w:val="13"/>
        </w:numPr>
        <w:shd w:val="clear" w:color="auto" w:fill="FFFFFF" w:themeFill="background1"/>
        <w:spacing w:after="160" w:line="276" w:lineRule="auto"/>
      </w:pPr>
      <w:r w:rsidRPr="005B05B3">
        <w:rPr>
          <w:b/>
          <w:bCs/>
        </w:rPr>
        <w:t>Strengthened complaints function:</w:t>
      </w:r>
      <w:r w:rsidRPr="005B05B3">
        <w:t xml:space="preserve"> t</w:t>
      </w:r>
      <w:r w:rsidR="240D84FE" w:rsidRPr="005B05B3">
        <w:t>he Complaints function should be redesigned in the NDIS Act to include:</w:t>
      </w:r>
    </w:p>
    <w:p w14:paraId="5CEC8DF3" w14:textId="55481E04" w:rsidR="240D84FE" w:rsidRPr="005B05B3" w:rsidRDefault="00C87A9C" w:rsidP="002D6AB8">
      <w:pPr>
        <w:pStyle w:val="ListParagraph"/>
        <w:numPr>
          <w:ilvl w:val="0"/>
          <w:numId w:val="70"/>
        </w:numPr>
        <w:spacing w:line="276" w:lineRule="auto"/>
        <w:ind w:left="1418"/>
      </w:pPr>
      <w:r w:rsidRPr="005B05B3">
        <w:t>p</w:t>
      </w:r>
      <w:r w:rsidR="240D84FE" w:rsidRPr="005B05B3">
        <w:t>reliminary inquiries</w:t>
      </w:r>
    </w:p>
    <w:p w14:paraId="5A2DCE5B" w14:textId="06CC21A7" w:rsidR="240D84FE" w:rsidRPr="005B05B3" w:rsidRDefault="00C87A9C" w:rsidP="002D6AB8">
      <w:pPr>
        <w:pStyle w:val="ListParagraph"/>
        <w:numPr>
          <w:ilvl w:val="0"/>
          <w:numId w:val="70"/>
        </w:numPr>
        <w:spacing w:after="160" w:line="276" w:lineRule="auto"/>
        <w:ind w:left="1418"/>
      </w:pPr>
      <w:r w:rsidRPr="005B05B3">
        <w:t>i</w:t>
      </w:r>
      <w:r w:rsidR="240D84FE" w:rsidRPr="005B05B3">
        <w:t>nvestigations, including a right to entry in certain circumstances while balancing the right to privacy especially for private homes</w:t>
      </w:r>
    </w:p>
    <w:p w14:paraId="0049CB43" w14:textId="384597CD" w:rsidR="240D84FE" w:rsidRPr="005B05B3" w:rsidRDefault="00C87A9C" w:rsidP="002D6AB8">
      <w:pPr>
        <w:pStyle w:val="ListParagraph"/>
        <w:numPr>
          <w:ilvl w:val="0"/>
          <w:numId w:val="70"/>
        </w:numPr>
        <w:spacing w:after="160" w:line="276" w:lineRule="auto"/>
        <w:ind w:left="1418"/>
      </w:pPr>
      <w:r w:rsidRPr="005B05B3">
        <w:t>a</w:t>
      </w:r>
      <w:r w:rsidR="240D84FE" w:rsidRPr="005B05B3">
        <w:t>rrangements for investigations by other authorities such as the Australian Crime Commission, Australian Competition and Consumer Commissioner or the Ombudsman</w:t>
      </w:r>
    </w:p>
    <w:p w14:paraId="4ED04E48" w14:textId="25BAF5A6" w:rsidR="240D84FE" w:rsidRPr="005B05B3" w:rsidRDefault="00C87A9C" w:rsidP="002D6AB8">
      <w:pPr>
        <w:pStyle w:val="ListParagraph"/>
        <w:numPr>
          <w:ilvl w:val="0"/>
          <w:numId w:val="70"/>
        </w:numPr>
        <w:spacing w:after="160" w:line="276" w:lineRule="auto"/>
        <w:ind w:left="1418"/>
      </w:pPr>
      <w:r w:rsidRPr="005B05B3">
        <w:t>p</w:t>
      </w:r>
      <w:r w:rsidR="240D84FE" w:rsidRPr="005B05B3">
        <w:t>ower to obtain information and documents</w:t>
      </w:r>
    </w:p>
    <w:p w14:paraId="06DAE69E" w14:textId="106E9981" w:rsidR="240D84FE" w:rsidRPr="005B05B3" w:rsidRDefault="00C87A9C" w:rsidP="002D6AB8">
      <w:pPr>
        <w:pStyle w:val="ListParagraph"/>
        <w:numPr>
          <w:ilvl w:val="0"/>
          <w:numId w:val="70"/>
        </w:numPr>
        <w:spacing w:after="80" w:line="276" w:lineRule="auto"/>
        <w:ind w:left="1418"/>
        <w:contextualSpacing w:val="0"/>
      </w:pPr>
      <w:r w:rsidRPr="005B05B3">
        <w:t>a</w:t>
      </w:r>
      <w:r w:rsidR="240D84FE" w:rsidRPr="005B05B3">
        <w:t>dministrative review of the decision in relation to the outcome of the complaint. An internal review and external review of the outcome should be made available. The Administrative Appeals Tribunal should be empowered to conduct external reviews of the Commissioner’s decisions on complaints.</w:t>
      </w:r>
    </w:p>
    <w:p w14:paraId="6370C70A" w14:textId="03CBC367" w:rsidR="007D07A7" w:rsidRPr="005B05B3" w:rsidRDefault="00CF5BDD" w:rsidP="002D6AB8">
      <w:pPr>
        <w:pStyle w:val="ListParagraph"/>
        <w:numPr>
          <w:ilvl w:val="0"/>
          <w:numId w:val="13"/>
        </w:numPr>
        <w:shd w:val="clear" w:color="auto" w:fill="FFFFFF" w:themeFill="background1"/>
        <w:spacing w:after="80" w:line="276" w:lineRule="auto"/>
        <w:ind w:left="714" w:hanging="357"/>
        <w:contextualSpacing w:val="0"/>
      </w:pPr>
      <w:r w:rsidRPr="005B05B3">
        <w:rPr>
          <w:b/>
          <w:bCs/>
        </w:rPr>
        <w:t>Code of Conduct:</w:t>
      </w:r>
      <w:r w:rsidRPr="005B05B3">
        <w:t xml:space="preserve"> </w:t>
      </w:r>
      <w:r w:rsidR="00E62EC2" w:rsidRPr="005B05B3">
        <w:t xml:space="preserve">redesign </w:t>
      </w:r>
      <w:r w:rsidR="6D5B0C0D" w:rsidRPr="005B05B3">
        <w:t>legislative provision for the</w:t>
      </w:r>
      <w:r w:rsidR="240D84FE" w:rsidRPr="005B05B3">
        <w:t xml:space="preserve"> Code of Conduct</w:t>
      </w:r>
      <w:r w:rsidR="469A2E00" w:rsidRPr="005B05B3">
        <w:t>, including making it clear that it applies to any good</w:t>
      </w:r>
      <w:r w:rsidR="002C1682" w:rsidRPr="005B05B3">
        <w:t>s</w:t>
      </w:r>
      <w:r w:rsidR="469A2E00" w:rsidRPr="005B05B3">
        <w:t xml:space="preserve"> or service purchased with NDIS funding, which may be a registered provider or not.</w:t>
      </w:r>
    </w:p>
    <w:p w14:paraId="4AC83F0E" w14:textId="2D3DF96F" w:rsidR="00CE7E78" w:rsidRPr="005B05B3" w:rsidRDefault="6E8046C5" w:rsidP="002D6AB8">
      <w:pPr>
        <w:pStyle w:val="ListParagraph"/>
        <w:numPr>
          <w:ilvl w:val="0"/>
          <w:numId w:val="13"/>
        </w:numPr>
        <w:shd w:val="clear" w:color="auto" w:fill="FFFFFF" w:themeFill="background1"/>
        <w:spacing w:after="80" w:line="276" w:lineRule="auto"/>
        <w:ind w:left="714" w:hanging="357"/>
        <w:contextualSpacing w:val="0"/>
      </w:pPr>
      <w:r w:rsidRPr="005B05B3">
        <w:rPr>
          <w:b/>
          <w:bCs/>
        </w:rPr>
        <w:t>Audits:</w:t>
      </w:r>
      <w:r w:rsidRPr="005B05B3">
        <w:t xml:space="preserve"> legi</w:t>
      </w:r>
      <w:r w:rsidR="7A7546F5" w:rsidRPr="005B05B3">
        <w:t xml:space="preserve">slative change </w:t>
      </w:r>
      <w:r w:rsidR="00F10AD0" w:rsidRPr="005B05B3">
        <w:t>to audit processes that is</w:t>
      </w:r>
      <w:r w:rsidR="7A7546F5" w:rsidRPr="005B05B3">
        <w:t xml:space="preserve"> co-</w:t>
      </w:r>
      <w:r w:rsidR="12509825" w:rsidRPr="005B05B3">
        <w:t>designed</w:t>
      </w:r>
      <w:r w:rsidR="7A7546F5" w:rsidRPr="005B05B3">
        <w:t xml:space="preserve"> with people with disabilit</w:t>
      </w:r>
      <w:r w:rsidR="23AB485D" w:rsidRPr="005B05B3">
        <w:t>y</w:t>
      </w:r>
      <w:r w:rsidR="7A7546F5" w:rsidRPr="005B05B3">
        <w:t>, their families and the sector. In particular, we recommend</w:t>
      </w:r>
      <w:r w:rsidR="4A4BF95C" w:rsidRPr="005B05B3">
        <w:t xml:space="preserve"> that audits be enshrined in the NDIS, shifting away from reliance on Rules and Guidelines to set the standards for the audit process.</w:t>
      </w:r>
    </w:p>
    <w:p w14:paraId="0D45259E" w14:textId="1F067A97" w:rsidR="4A4BF95C" w:rsidRPr="005B05B3" w:rsidRDefault="4A4BF95C" w:rsidP="002D6AB8">
      <w:pPr>
        <w:pStyle w:val="ListParagraph"/>
        <w:numPr>
          <w:ilvl w:val="0"/>
          <w:numId w:val="13"/>
        </w:numPr>
        <w:shd w:val="clear" w:color="auto" w:fill="FFFFFF" w:themeFill="background1"/>
        <w:spacing w:after="80" w:line="276" w:lineRule="auto"/>
        <w:ind w:left="714" w:hanging="357"/>
        <w:contextualSpacing w:val="0"/>
      </w:pPr>
      <w:r w:rsidRPr="005B05B3">
        <w:rPr>
          <w:b/>
          <w:bCs/>
        </w:rPr>
        <w:t>Practice Standards:</w:t>
      </w:r>
      <w:r w:rsidRPr="005B05B3">
        <w:t xml:space="preserve"> require an amendment to the governing Rules to ensure that Practice Standards are co-designed with people with disability.</w:t>
      </w:r>
    </w:p>
    <w:p w14:paraId="0A8B20CA" w14:textId="7DFB6B79" w:rsidR="0093484A" w:rsidRDefault="00CF5BDD" w:rsidP="002D6AB8">
      <w:pPr>
        <w:pStyle w:val="ListParagraph"/>
        <w:numPr>
          <w:ilvl w:val="0"/>
          <w:numId w:val="13"/>
        </w:numPr>
        <w:shd w:val="clear" w:color="auto" w:fill="FFFFFF" w:themeFill="background1"/>
        <w:spacing w:after="80" w:line="276" w:lineRule="auto"/>
      </w:pPr>
      <w:r w:rsidRPr="005B05B3">
        <w:rPr>
          <w:b/>
          <w:bCs/>
        </w:rPr>
        <w:t>Monitoring and compliance:</w:t>
      </w:r>
      <w:r w:rsidRPr="005B05B3">
        <w:t xml:space="preserve"> </w:t>
      </w:r>
      <w:r w:rsidR="4A4BF95C" w:rsidRPr="005B05B3">
        <w:t>D</w:t>
      </w:r>
      <w:r w:rsidR="00E6433E" w:rsidRPr="005B05B3">
        <w:t xml:space="preserve">epartment of </w:t>
      </w:r>
      <w:r w:rsidR="4A4BF95C" w:rsidRPr="005B05B3">
        <w:t>S</w:t>
      </w:r>
      <w:r w:rsidR="00E6433E" w:rsidRPr="005B05B3">
        <w:t xml:space="preserve">ocial </w:t>
      </w:r>
      <w:r w:rsidR="4A4BF95C" w:rsidRPr="005B05B3">
        <w:t>S</w:t>
      </w:r>
      <w:r w:rsidR="00E6433E" w:rsidRPr="005B05B3">
        <w:t>ervices (DSS)</w:t>
      </w:r>
      <w:r w:rsidR="4A4BF95C" w:rsidRPr="005B05B3">
        <w:t xml:space="preserve"> and NDIS Commission to work together to develop reform for monitoring and compliance powers.</w:t>
      </w:r>
    </w:p>
    <w:p w14:paraId="0BC620AC" w14:textId="010BEFF9" w:rsidR="00E61A26" w:rsidRDefault="00E61A26" w:rsidP="00E61A26">
      <w:pPr>
        <w:shd w:val="clear" w:color="auto" w:fill="FFFFFF" w:themeFill="background1"/>
        <w:spacing w:after="80" w:line="276" w:lineRule="auto"/>
        <w:ind w:left="360"/>
      </w:pPr>
      <w:r>
        <w:br w:type="page"/>
      </w:r>
    </w:p>
    <w:p w14:paraId="25527CED" w14:textId="1C19F736" w:rsidR="0093484A" w:rsidRPr="005B05B3" w:rsidRDefault="001542EA" w:rsidP="002D6AB8">
      <w:pPr>
        <w:pStyle w:val="ListParagraph"/>
        <w:numPr>
          <w:ilvl w:val="0"/>
          <w:numId w:val="13"/>
        </w:numPr>
        <w:shd w:val="clear" w:color="auto" w:fill="FFFFFF" w:themeFill="background1"/>
        <w:spacing w:before="120" w:after="0" w:line="276" w:lineRule="auto"/>
        <w:ind w:left="714" w:hanging="357"/>
        <w:contextualSpacing w:val="0"/>
        <w:rPr>
          <w:rFonts w:eastAsia="Arial"/>
        </w:rPr>
      </w:pPr>
      <w:r>
        <w:rPr>
          <w:rFonts w:eastAsia="Arial"/>
        </w:rPr>
        <w:lastRenderedPageBreak/>
        <w:t xml:space="preserve">The following </w:t>
      </w:r>
      <w:r w:rsidR="005651E1">
        <w:rPr>
          <w:rFonts w:eastAsia="Arial"/>
        </w:rPr>
        <w:t>be</w:t>
      </w:r>
      <w:r w:rsidR="0093484A" w:rsidRPr="005B05B3">
        <w:rPr>
          <w:rFonts w:eastAsia="Arial"/>
        </w:rPr>
        <w:t xml:space="preserve"> establish</w:t>
      </w:r>
      <w:r w:rsidR="005651E1">
        <w:rPr>
          <w:rFonts w:eastAsia="Arial"/>
        </w:rPr>
        <w:t>ed</w:t>
      </w:r>
      <w:r w:rsidR="0093484A" w:rsidRPr="005B05B3">
        <w:rPr>
          <w:rFonts w:eastAsia="Arial"/>
        </w:rPr>
        <w:t>:</w:t>
      </w:r>
    </w:p>
    <w:p w14:paraId="688F4EA9" w14:textId="37C7EF70" w:rsidR="0093484A" w:rsidRPr="005B05B3" w:rsidRDefault="0093484A" w:rsidP="00EF7125">
      <w:pPr>
        <w:pStyle w:val="ListParagraph"/>
        <w:numPr>
          <w:ilvl w:val="0"/>
          <w:numId w:val="51"/>
        </w:numPr>
        <w:spacing w:line="276" w:lineRule="auto"/>
      </w:pPr>
      <w:r w:rsidRPr="005B05B3">
        <w:t xml:space="preserve">an </w:t>
      </w:r>
      <w:r w:rsidRPr="005B05B3">
        <w:rPr>
          <w:b/>
          <w:bCs/>
        </w:rPr>
        <w:t>Innovation Community of Practice</w:t>
      </w:r>
      <w:r w:rsidR="00991565">
        <w:rPr>
          <w:b/>
          <w:bCs/>
        </w:rPr>
        <w:t xml:space="preserve"> and working groups</w:t>
      </w:r>
      <w:r w:rsidRPr="005B05B3">
        <w:t xml:space="preserve"> to support and nurture quality and innovation within the NDIS</w:t>
      </w:r>
      <w:r w:rsidR="00673128">
        <w:t xml:space="preserve"> led by the NDIS Commission</w:t>
      </w:r>
    </w:p>
    <w:p w14:paraId="4FAE471C" w14:textId="77777777" w:rsidR="00AD43D0" w:rsidRDefault="0093484A" w:rsidP="00576E1A">
      <w:pPr>
        <w:pStyle w:val="ListParagraph"/>
        <w:numPr>
          <w:ilvl w:val="0"/>
          <w:numId w:val="51"/>
        </w:numPr>
        <w:spacing w:line="276" w:lineRule="auto"/>
        <w:ind w:left="1434" w:hanging="357"/>
        <w:contextualSpacing w:val="0"/>
      </w:pPr>
      <w:r w:rsidRPr="005B05B3">
        <w:t>a</w:t>
      </w:r>
      <w:r w:rsidRPr="005B05B3">
        <w:rPr>
          <w:b/>
          <w:bCs/>
        </w:rPr>
        <w:t xml:space="preserve"> project group</w:t>
      </w:r>
      <w:r w:rsidR="00673128">
        <w:rPr>
          <w:b/>
          <w:bCs/>
        </w:rPr>
        <w:t>, managed by the NDIS Commission,</w:t>
      </w:r>
      <w:r w:rsidRPr="005B05B3">
        <w:rPr>
          <w:b/>
          <w:bCs/>
        </w:rPr>
        <w:t xml:space="preserve"> to consider the utility of the introduction and mandating of Individual Safeguarding Plans</w:t>
      </w:r>
      <w:r w:rsidRPr="005B05B3">
        <w:t xml:space="preserve"> for participants without individual natural safeguarding relationships and/or for those participants in congregant care settings or in clusters supported by a singular provider</w:t>
      </w:r>
    </w:p>
    <w:p w14:paraId="67A7A52F" w14:textId="350F66F9" w:rsidR="0093484A" w:rsidRPr="002B372E" w:rsidRDefault="00AD43D0" w:rsidP="00AD43D0">
      <w:pPr>
        <w:pStyle w:val="ListParagraph"/>
        <w:numPr>
          <w:ilvl w:val="0"/>
          <w:numId w:val="13"/>
        </w:numPr>
        <w:spacing w:line="276" w:lineRule="auto"/>
        <w:sectPr w:rsidR="0093484A" w:rsidRPr="002B372E" w:rsidSect="00426684">
          <w:pgSz w:w="11906" w:h="16838"/>
          <w:pgMar w:top="1474" w:right="1252" w:bottom="1150" w:left="1440" w:header="907" w:footer="709" w:gutter="0"/>
          <w:cols w:space="708"/>
          <w:titlePg/>
          <w:docGrid w:linePitch="360"/>
        </w:sectPr>
      </w:pPr>
      <w:r w:rsidRPr="002B372E">
        <w:t xml:space="preserve">The Taskforce agrees with the Disability Royal Commission </w:t>
      </w:r>
      <w:r w:rsidR="00FF1FA8">
        <w:t xml:space="preserve">Final Report </w:t>
      </w:r>
      <w:r w:rsidR="009A6E24">
        <w:t>for there to be a</w:t>
      </w:r>
      <w:r w:rsidR="0093484A" w:rsidRPr="002B372E">
        <w:t xml:space="preserve"> </w:t>
      </w:r>
      <w:r w:rsidR="0093484A" w:rsidRPr="002B372E">
        <w:rPr>
          <w:b/>
          <w:bCs/>
        </w:rPr>
        <w:t>nationally consistent Community Visitor Scheme</w:t>
      </w:r>
      <w:r w:rsidR="0093484A" w:rsidRPr="002B372E">
        <w:t xml:space="preserve"> in each state and territory to provide independent oversight</w:t>
      </w:r>
      <w:r w:rsidRPr="002B372E">
        <w:t xml:space="preserve"> is required.</w:t>
      </w:r>
      <w:r w:rsidR="00226991">
        <w:rPr>
          <w:rStyle w:val="FootnoteReference"/>
        </w:rPr>
        <w:footnoteReference w:id="3"/>
      </w:r>
      <w:r w:rsidRPr="002B372E">
        <w:t xml:space="preserve"> </w:t>
      </w:r>
    </w:p>
    <w:p w14:paraId="7C3004F0" w14:textId="23AB87D8" w:rsidR="007C5663" w:rsidRPr="00697ECC" w:rsidRDefault="4AC810DF" w:rsidP="00426684">
      <w:pPr>
        <w:pStyle w:val="Heading1"/>
        <w:numPr>
          <w:ilvl w:val="0"/>
          <w:numId w:val="0"/>
        </w:numPr>
        <w:rPr>
          <w:rFonts w:eastAsia="Aptos" w:cs="Aptos"/>
          <w:color w:val="000000" w:themeColor="text1"/>
          <w:sz w:val="24"/>
          <w:szCs w:val="24"/>
        </w:rPr>
      </w:pPr>
      <w:bookmarkStart w:id="6" w:name="_Toc170128715"/>
      <w:bookmarkStart w:id="7" w:name="_Toc173318046"/>
      <w:r w:rsidRPr="005B05B3">
        <w:lastRenderedPageBreak/>
        <w:t>Executive Summary</w:t>
      </w:r>
      <w:bookmarkEnd w:id="6"/>
      <w:bookmarkEnd w:id="7"/>
    </w:p>
    <w:p w14:paraId="45BABB87" w14:textId="728657B2" w:rsidR="007C5663" w:rsidRPr="00697ECC" w:rsidRDefault="2E008DA3" w:rsidP="00ED72B5">
      <w:bookmarkStart w:id="8" w:name="_Toc170808338"/>
      <w:r w:rsidRPr="00697ECC">
        <w:t xml:space="preserve">The NDIS Provider and Worker Registration Taskforce (the Taskforce) was established to provide expert advice on the design and implementation of a new graduated risk-proportionate regulatory model proposed in the </w:t>
      </w:r>
      <w:hyperlink r:id="rId20" w:history="1">
        <w:r w:rsidR="00DC74AE" w:rsidRPr="00DC74AE">
          <w:rPr>
            <w:rStyle w:val="Hyperlink"/>
            <w:rFonts w:ascii="Calibri" w:hAnsi="Calibri"/>
          </w:rPr>
          <w:t>NDIS Review Final Report</w:t>
        </w:r>
      </w:hyperlink>
      <w:r w:rsidR="00DC74AE">
        <w:t xml:space="preserve"> </w:t>
      </w:r>
      <w:r w:rsidRPr="00697ECC">
        <w:t>(the Report) in consultation with the disability community.</w:t>
      </w:r>
      <w:bookmarkEnd w:id="8"/>
    </w:p>
    <w:p w14:paraId="5DC75FF0" w14:textId="01E01415" w:rsidR="007C5663" w:rsidRPr="005B05B3" w:rsidRDefault="2E008DA3" w:rsidP="00932CAB">
      <w:pPr>
        <w:pStyle w:val="TSDBodyNOSPACEAFTER"/>
        <w:spacing w:after="160" w:line="276" w:lineRule="auto"/>
        <w:rPr>
          <w:rFonts w:ascii="Aptos" w:eastAsia="Calibri" w:hAnsi="Aptos" w:cs="Calibri"/>
          <w:noProof w:val="0"/>
        </w:rPr>
      </w:pPr>
      <w:r w:rsidRPr="005B05B3">
        <w:rPr>
          <w:rFonts w:ascii="Aptos" w:eastAsia="Calibri" w:hAnsi="Aptos" w:cs="Calibri"/>
          <w:noProof w:val="0"/>
        </w:rPr>
        <w:t xml:space="preserve">Specifically, the Taskforce was asked to advise on </w:t>
      </w:r>
      <w:hyperlink r:id="rId21" w:anchor="recommendation-17-develop-and-deliver-a-risk-proportionate-model-for-the-visibility-and-regulation-of-all-providers-and-workers-and-strengthen-the-regulatory-response-to-long-standing-and-emerging-quality-and-safeguards-issues" w:history="1">
        <w:r w:rsidR="00DC74AE" w:rsidRPr="00DC74AE">
          <w:rPr>
            <w:rStyle w:val="Hyperlink"/>
            <w:rFonts w:ascii="Aptos" w:eastAsia="Calibri" w:hAnsi="Aptos" w:cs="Calibri"/>
          </w:rPr>
          <w:t>Recommendation 17</w:t>
        </w:r>
      </w:hyperlink>
      <w:r w:rsidR="003B15E3">
        <w:rPr>
          <w:rFonts w:ascii="Aptos" w:eastAsia="Calibri" w:hAnsi="Aptos" w:cs="Calibri"/>
          <w:noProof w:val="0"/>
        </w:rPr>
        <w:t xml:space="preserve"> w</w:t>
      </w:r>
      <w:r w:rsidRPr="005B05B3">
        <w:rPr>
          <w:rFonts w:ascii="Aptos" w:eastAsia="Calibri" w:hAnsi="Aptos" w:cs="Calibri"/>
          <w:noProof w:val="0"/>
        </w:rPr>
        <w:t xml:space="preserve">hich is to develop and deliver a risk-proportionate model for the visibility and regulation of all </w:t>
      </w:r>
      <w:r w:rsidR="00DC74AE">
        <w:rPr>
          <w:rFonts w:ascii="Aptos" w:eastAsia="Calibri" w:hAnsi="Aptos" w:cs="Calibri"/>
          <w:noProof w:val="0"/>
        </w:rPr>
        <w:t xml:space="preserve"> </w:t>
      </w:r>
      <w:r w:rsidRPr="005B05B3">
        <w:rPr>
          <w:rFonts w:ascii="Aptos" w:eastAsia="Calibri" w:hAnsi="Aptos" w:cs="Calibri"/>
          <w:noProof w:val="0"/>
        </w:rPr>
        <w:t>providers and workers and strengthen the regulatory response to long-standing and emerging quality and safeguards issues.</w:t>
      </w:r>
    </w:p>
    <w:p w14:paraId="62D40B0D" w14:textId="5414CE08" w:rsidR="007C5663" w:rsidRPr="005B05B3" w:rsidRDefault="2E008DA3" w:rsidP="00932CAB">
      <w:pPr>
        <w:pStyle w:val="TSDBodyNOSPACEAFTER"/>
        <w:spacing w:after="120" w:line="276" w:lineRule="auto"/>
        <w:rPr>
          <w:rFonts w:ascii="Aptos" w:eastAsia="Calibri" w:hAnsi="Aptos" w:cs="Calibri"/>
          <w:noProof w:val="0"/>
        </w:rPr>
      </w:pPr>
      <w:r w:rsidRPr="005B05B3">
        <w:rPr>
          <w:rFonts w:ascii="Aptos" w:eastAsia="Calibri" w:hAnsi="Aptos" w:cs="Calibri"/>
          <w:noProof w:val="0"/>
        </w:rPr>
        <w:t xml:space="preserve">The Taskforce </w:t>
      </w:r>
      <w:hyperlink r:id="rId22">
        <w:r w:rsidRPr="005B05B3">
          <w:rPr>
            <w:rStyle w:val="Hyperlink"/>
            <w:rFonts w:ascii="Aptos" w:eastAsia="Calibri" w:hAnsi="Aptos" w:cs="Calibri"/>
          </w:rPr>
          <w:t>Terms of Reference</w:t>
        </w:r>
      </w:hyperlink>
      <w:r w:rsidRPr="005B05B3">
        <w:rPr>
          <w:rFonts w:ascii="Aptos" w:eastAsia="Calibri" w:hAnsi="Aptos" w:cs="Calibri"/>
          <w:noProof w:val="0"/>
        </w:rPr>
        <w:t xml:space="preserve"> includes providing expert advice on:</w:t>
      </w:r>
    </w:p>
    <w:p w14:paraId="105A3D86" w14:textId="2BA45BF0" w:rsidR="007C5663" w:rsidRPr="005B05B3" w:rsidRDefault="00FE5FED" w:rsidP="002D6AB8">
      <w:pPr>
        <w:pStyle w:val="ListParagraph"/>
        <w:numPr>
          <w:ilvl w:val="0"/>
          <w:numId w:val="56"/>
        </w:numPr>
        <w:spacing w:line="276" w:lineRule="auto"/>
      </w:pPr>
      <w:r w:rsidRPr="005B05B3">
        <w:t>t</w:t>
      </w:r>
      <w:r w:rsidR="4BB71A77" w:rsidRPr="005B05B3">
        <w:t>he design and implementation of the recommended graduated risk-proportionate regulatory model, as it relates to upholding the rights of people with disability to exercise choice and control</w:t>
      </w:r>
    </w:p>
    <w:p w14:paraId="76DFC0EA" w14:textId="791B336A" w:rsidR="007C5663" w:rsidRPr="005B05B3" w:rsidRDefault="00FE5FED" w:rsidP="002D6AB8">
      <w:pPr>
        <w:pStyle w:val="ListParagraph"/>
        <w:numPr>
          <w:ilvl w:val="0"/>
          <w:numId w:val="56"/>
        </w:numPr>
        <w:spacing w:line="276" w:lineRule="auto"/>
      </w:pPr>
      <w:r w:rsidRPr="005B05B3">
        <w:t>a</w:t>
      </w:r>
      <w:r w:rsidR="4BB71A77" w:rsidRPr="005B05B3">
        <w:t xml:space="preserve"> Provider Risk Framework that identifies and evaluates the risk profile of different types of supports and providers</w:t>
      </w:r>
    </w:p>
    <w:p w14:paraId="01223F0B" w14:textId="23906E5C" w:rsidR="007C5663" w:rsidRPr="005B05B3" w:rsidRDefault="00FE5FED" w:rsidP="002D6AB8">
      <w:pPr>
        <w:pStyle w:val="ListParagraph"/>
        <w:numPr>
          <w:ilvl w:val="0"/>
          <w:numId w:val="56"/>
        </w:numPr>
        <w:spacing w:after="160" w:line="276" w:lineRule="auto"/>
        <w:ind w:left="714" w:hanging="357"/>
      </w:pPr>
      <w:r w:rsidRPr="005B05B3">
        <w:t>a</w:t>
      </w:r>
      <w:r w:rsidR="4BB71A77" w:rsidRPr="005B05B3">
        <w:t>rrangements for platform providers and circumstances where participants directly employ their workers.</w:t>
      </w:r>
    </w:p>
    <w:p w14:paraId="16519774" w14:textId="7FC4DD72" w:rsidR="007C5663" w:rsidRPr="005B05B3" w:rsidRDefault="4BB71A77" w:rsidP="00932CAB">
      <w:pPr>
        <w:spacing w:after="120" w:line="276" w:lineRule="auto"/>
      </w:pPr>
      <w:r w:rsidRPr="005B05B3">
        <w:t>The advice of the Taskforce is to ensure that the regulatory arrangements:</w:t>
      </w:r>
    </w:p>
    <w:p w14:paraId="7EBBF53F" w14:textId="5F453176" w:rsidR="007C5663" w:rsidRPr="005B05B3" w:rsidRDefault="00FE5FED" w:rsidP="002D6AB8">
      <w:pPr>
        <w:pStyle w:val="ListParagraph"/>
        <w:numPr>
          <w:ilvl w:val="0"/>
          <w:numId w:val="57"/>
        </w:numPr>
        <w:spacing w:line="276" w:lineRule="auto"/>
      </w:pPr>
      <w:r w:rsidRPr="005B05B3">
        <w:t>u</w:t>
      </w:r>
      <w:r w:rsidR="4BB71A77" w:rsidRPr="005B05B3">
        <w:t>phold the rights of people with disability including to determine their own best interests, improving their ability to exercise choice and control over the providers that they use, central to design of the new regulatory model</w:t>
      </w:r>
    </w:p>
    <w:p w14:paraId="702C02CB" w14:textId="1EC8C3F8" w:rsidR="007C5663" w:rsidRPr="005B05B3" w:rsidRDefault="00FE5FED" w:rsidP="002D6AB8">
      <w:pPr>
        <w:pStyle w:val="ListParagraph"/>
        <w:numPr>
          <w:ilvl w:val="0"/>
          <w:numId w:val="57"/>
        </w:numPr>
        <w:spacing w:line="276" w:lineRule="auto"/>
      </w:pPr>
      <w:r w:rsidRPr="005B05B3">
        <w:t>e</w:t>
      </w:r>
      <w:r w:rsidR="4BB71A77" w:rsidRPr="005B05B3">
        <w:t>nable people who are self-managing in the NDIS</w:t>
      </w:r>
      <w:r w:rsidR="00310F81">
        <w:t>,</w:t>
      </w:r>
      <w:r w:rsidR="4BB71A77" w:rsidRPr="005B05B3">
        <w:t xml:space="preserve"> and employing and engaging their own workers and providers</w:t>
      </w:r>
      <w:r w:rsidR="00310F81">
        <w:t>,</w:t>
      </w:r>
      <w:r w:rsidR="4BB71A77" w:rsidRPr="005B05B3">
        <w:t xml:space="preserve"> to continue to do so</w:t>
      </w:r>
    </w:p>
    <w:p w14:paraId="5EBE715C" w14:textId="01817703" w:rsidR="007C5663" w:rsidRPr="005B05B3" w:rsidRDefault="00FE5FED" w:rsidP="002D6AB8">
      <w:pPr>
        <w:pStyle w:val="ListParagraph"/>
        <w:numPr>
          <w:ilvl w:val="0"/>
          <w:numId w:val="57"/>
        </w:numPr>
        <w:spacing w:line="276" w:lineRule="auto"/>
      </w:pPr>
      <w:r w:rsidRPr="005B05B3">
        <w:t>r</w:t>
      </w:r>
      <w:r w:rsidR="4BB71A77" w:rsidRPr="005B05B3">
        <w:t>educe the potential for risk of harm to people with disability by taking a proportionate and risk</w:t>
      </w:r>
      <w:r w:rsidR="003D11C5" w:rsidRPr="005B05B3">
        <w:t>-</w:t>
      </w:r>
      <w:r w:rsidR="4BB71A77" w:rsidRPr="005B05B3">
        <w:t>based approach to regulation that considers both provider and support risk and the circumstances of the people using those services</w:t>
      </w:r>
    </w:p>
    <w:p w14:paraId="3EABB90B" w14:textId="043D9D88" w:rsidR="007C5663" w:rsidRPr="005B05B3" w:rsidRDefault="00037720" w:rsidP="002D6AB8">
      <w:pPr>
        <w:pStyle w:val="ListParagraph"/>
        <w:numPr>
          <w:ilvl w:val="0"/>
          <w:numId w:val="57"/>
        </w:numPr>
        <w:spacing w:line="276" w:lineRule="auto"/>
      </w:pPr>
      <w:r w:rsidRPr="005B05B3">
        <w:t>i</w:t>
      </w:r>
      <w:r w:rsidR="4BB71A77" w:rsidRPr="005B05B3">
        <w:t>ncrease quality and innovation of services and supports for all NDIS participants.</w:t>
      </w:r>
    </w:p>
    <w:p w14:paraId="3893FCCA" w14:textId="41E69E7D" w:rsidR="007C5663" w:rsidRPr="009A3E16" w:rsidRDefault="60C6A9BF" w:rsidP="001879E5">
      <w:pPr>
        <w:spacing w:before="360" w:after="120"/>
        <w:rPr>
          <w:color w:val="0D2B58"/>
          <w:sz w:val="32"/>
          <w:szCs w:val="32"/>
        </w:rPr>
      </w:pPr>
      <w:r w:rsidRPr="009A3E16">
        <w:rPr>
          <w:color w:val="0D2B58"/>
          <w:sz w:val="32"/>
          <w:szCs w:val="32"/>
        </w:rPr>
        <w:t>NDIS Review Recommendation 17</w:t>
      </w:r>
    </w:p>
    <w:p w14:paraId="12303C9E" w14:textId="51D57919" w:rsidR="007C5663" w:rsidRPr="009A2659" w:rsidRDefault="60C6A9BF" w:rsidP="009A2659">
      <w:r w:rsidRPr="009A2659">
        <w:t xml:space="preserve">The regulatory model presented in the </w:t>
      </w:r>
      <w:hyperlink r:id="rId23" w:history="1">
        <w:r w:rsidRPr="009A2659">
          <w:rPr>
            <w:rStyle w:val="Hyperlink"/>
          </w:rPr>
          <w:t>NDIS Review Recommendation 17</w:t>
        </w:r>
      </w:hyperlink>
      <w:r w:rsidRPr="009A2659">
        <w:t xml:space="preserve"> proposed that all NDIS providers must be registered or enrolled. It provided </w:t>
      </w:r>
      <w:r w:rsidR="004C7A99" w:rsidRPr="009A2659">
        <w:t>4</w:t>
      </w:r>
      <w:r w:rsidRPr="009A2659">
        <w:t xml:space="preserve"> proposed levels of registration, based on the level of risk associated with the supports provided:</w:t>
      </w:r>
    </w:p>
    <w:p w14:paraId="349B0C90" w14:textId="05B88CCE" w:rsidR="007C5663" w:rsidRPr="005B05B3" w:rsidRDefault="60C6A9BF" w:rsidP="002D6AB8">
      <w:pPr>
        <w:pStyle w:val="ListParagraph"/>
        <w:numPr>
          <w:ilvl w:val="0"/>
          <w:numId w:val="40"/>
        </w:numPr>
        <w:spacing w:after="80" w:line="276" w:lineRule="auto"/>
        <w:ind w:left="850" w:hanging="357"/>
        <w:rPr>
          <w:rFonts w:eastAsia="Aptos"/>
        </w:rPr>
      </w:pPr>
      <w:r w:rsidRPr="005B05B3">
        <w:rPr>
          <w:rFonts w:eastAsia="Aptos"/>
        </w:rPr>
        <w:t>Advanced registration for all high-risk supports</w:t>
      </w:r>
    </w:p>
    <w:p w14:paraId="3A244F69" w14:textId="760D802B" w:rsidR="007C5663" w:rsidRPr="005B05B3" w:rsidRDefault="60C6A9BF" w:rsidP="002D6AB8">
      <w:pPr>
        <w:pStyle w:val="ListParagraph"/>
        <w:numPr>
          <w:ilvl w:val="0"/>
          <w:numId w:val="40"/>
        </w:numPr>
        <w:spacing w:after="80" w:line="276" w:lineRule="auto"/>
        <w:ind w:left="850" w:hanging="357"/>
        <w:rPr>
          <w:rFonts w:eastAsia="Aptos"/>
        </w:rPr>
      </w:pPr>
      <w:r w:rsidRPr="005B05B3">
        <w:rPr>
          <w:rFonts w:eastAsia="Aptos"/>
        </w:rPr>
        <w:t>General registration for all medium-risk supports</w:t>
      </w:r>
    </w:p>
    <w:p w14:paraId="1557F7B4" w14:textId="251435A2" w:rsidR="007C5663" w:rsidRPr="005B05B3" w:rsidRDefault="60C6A9BF" w:rsidP="002D6AB8">
      <w:pPr>
        <w:pStyle w:val="ListParagraph"/>
        <w:numPr>
          <w:ilvl w:val="0"/>
          <w:numId w:val="40"/>
        </w:numPr>
        <w:spacing w:after="80" w:line="276" w:lineRule="auto"/>
        <w:ind w:left="850" w:hanging="357"/>
        <w:rPr>
          <w:rFonts w:eastAsia="Aptos"/>
        </w:rPr>
      </w:pPr>
      <w:r w:rsidRPr="005B05B3">
        <w:rPr>
          <w:rFonts w:eastAsia="Aptos"/>
        </w:rPr>
        <w:t>Basic registration for all lower-risk supports</w:t>
      </w:r>
    </w:p>
    <w:p w14:paraId="57AC3F83" w14:textId="5EBF5008" w:rsidR="007C5663" w:rsidRPr="005B05B3" w:rsidRDefault="60C6A9BF" w:rsidP="002D6AB8">
      <w:pPr>
        <w:pStyle w:val="ListParagraph"/>
        <w:numPr>
          <w:ilvl w:val="0"/>
          <w:numId w:val="40"/>
        </w:numPr>
        <w:spacing w:after="80" w:line="276" w:lineRule="auto"/>
        <w:ind w:left="850" w:hanging="357"/>
        <w:rPr>
          <w:rFonts w:eastAsia="Aptos"/>
        </w:rPr>
      </w:pPr>
      <w:r w:rsidRPr="005B05B3">
        <w:rPr>
          <w:rFonts w:eastAsia="Aptos"/>
        </w:rPr>
        <w:t>Enrolment of all providers of lowest-risk supports</w:t>
      </w:r>
    </w:p>
    <w:p w14:paraId="3D2610FD" w14:textId="3DE8536E" w:rsidR="000E2491" w:rsidRPr="009A3E16" w:rsidRDefault="00BC4B86" w:rsidP="001879E5">
      <w:pPr>
        <w:spacing w:before="360" w:after="120"/>
        <w:rPr>
          <w:color w:val="0D2B58"/>
          <w:sz w:val="32"/>
          <w:szCs w:val="32"/>
        </w:rPr>
      </w:pPr>
      <w:r w:rsidRPr="009A3E16">
        <w:rPr>
          <w:color w:val="0D2B58"/>
          <w:sz w:val="32"/>
          <w:szCs w:val="32"/>
        </w:rPr>
        <w:lastRenderedPageBreak/>
        <w:t>Engagement</w:t>
      </w:r>
      <w:r w:rsidR="000E2491" w:rsidRPr="009A3E16">
        <w:rPr>
          <w:color w:val="0D2B58"/>
          <w:sz w:val="32"/>
          <w:szCs w:val="32"/>
        </w:rPr>
        <w:t xml:space="preserve"> </w:t>
      </w:r>
    </w:p>
    <w:p w14:paraId="1BA881DF" w14:textId="7859ADAD" w:rsidR="007C5663" w:rsidRPr="005B05B3" w:rsidRDefault="60C6A9BF" w:rsidP="00CE3682">
      <w:pPr>
        <w:spacing w:after="160" w:line="276" w:lineRule="auto"/>
      </w:pPr>
      <w:r w:rsidRPr="005B05B3">
        <w:rPr>
          <w:rFonts w:eastAsia="Aptos"/>
        </w:rPr>
        <w:t xml:space="preserve">To understand the impacts of this proposed model, the Taskforce held meetings and roundtable events with NDIS </w:t>
      </w:r>
      <w:r w:rsidR="00472410" w:rsidRPr="005B05B3">
        <w:rPr>
          <w:rFonts w:eastAsia="Aptos"/>
        </w:rPr>
        <w:t>p</w:t>
      </w:r>
      <w:r w:rsidRPr="005B05B3">
        <w:rPr>
          <w:rFonts w:eastAsia="Aptos"/>
        </w:rPr>
        <w:t>articipants, families and carers, advocates and large and small providers, not-for-profit organisations, sole providers, microboards, union representatives and government agencies.</w:t>
      </w:r>
    </w:p>
    <w:p w14:paraId="05147D9B" w14:textId="3EECF2C9" w:rsidR="007C5663" w:rsidRPr="005B05B3" w:rsidRDefault="60C6A9BF" w:rsidP="00CE3682">
      <w:pPr>
        <w:spacing w:after="0" w:line="276" w:lineRule="auto"/>
      </w:pPr>
      <w:r w:rsidRPr="005B05B3">
        <w:t>There were more than 2,270 participations over the two phases of engagement from February to June 2024, which included:</w:t>
      </w:r>
    </w:p>
    <w:p w14:paraId="7C218BED" w14:textId="7D0A3A5C" w:rsidR="007C5663" w:rsidRPr="005B05B3" w:rsidRDefault="60C6A9BF" w:rsidP="002D6AB8">
      <w:pPr>
        <w:pStyle w:val="ListParagraph"/>
        <w:numPr>
          <w:ilvl w:val="0"/>
          <w:numId w:val="17"/>
        </w:numPr>
        <w:spacing w:after="120" w:line="276" w:lineRule="auto"/>
        <w:rPr>
          <w:rFonts w:eastAsia="Aptos"/>
        </w:rPr>
      </w:pPr>
      <w:r w:rsidRPr="005B05B3">
        <w:rPr>
          <w:rFonts w:eastAsia="Aptos"/>
        </w:rPr>
        <w:t>31 roundtables and webinars (with more than 1,200 participations across these events)</w:t>
      </w:r>
    </w:p>
    <w:p w14:paraId="32F2F660" w14:textId="79F4DB08" w:rsidR="007C5663" w:rsidRPr="005B05B3" w:rsidRDefault="60C6A9BF" w:rsidP="002D6AB8">
      <w:pPr>
        <w:pStyle w:val="ListParagraph"/>
        <w:numPr>
          <w:ilvl w:val="0"/>
          <w:numId w:val="17"/>
        </w:numPr>
        <w:spacing w:after="120" w:line="276" w:lineRule="auto"/>
        <w:rPr>
          <w:rFonts w:eastAsia="Aptos"/>
        </w:rPr>
      </w:pPr>
      <w:r w:rsidRPr="005B05B3">
        <w:rPr>
          <w:rFonts w:eastAsia="Aptos"/>
        </w:rPr>
        <w:t>more than 150 one-on-one and small group meetings (with more than 360 people in attendance across these meetings)</w:t>
      </w:r>
    </w:p>
    <w:p w14:paraId="50BFAD5A" w14:textId="33CBD4F4" w:rsidR="007C5663" w:rsidRPr="005B05B3" w:rsidRDefault="60C6A9BF" w:rsidP="002D6AB8">
      <w:pPr>
        <w:pStyle w:val="ListParagraph"/>
        <w:numPr>
          <w:ilvl w:val="0"/>
          <w:numId w:val="17"/>
        </w:numPr>
        <w:spacing w:after="120" w:line="276" w:lineRule="auto"/>
        <w:rPr>
          <w:rFonts w:eastAsia="Aptos"/>
        </w:rPr>
      </w:pPr>
      <w:r w:rsidRPr="005B05B3">
        <w:rPr>
          <w:rFonts w:eastAsia="Aptos"/>
        </w:rPr>
        <w:t>more than 700 submissions</w:t>
      </w:r>
    </w:p>
    <w:p w14:paraId="020FBAAE" w14:textId="2368C35B" w:rsidR="007C5663" w:rsidRPr="005B05B3" w:rsidRDefault="60C6A9BF" w:rsidP="002D6AB8">
      <w:pPr>
        <w:pStyle w:val="ListParagraph"/>
        <w:numPr>
          <w:ilvl w:val="0"/>
          <w:numId w:val="17"/>
        </w:numPr>
        <w:spacing w:after="120" w:line="276" w:lineRule="auto"/>
        <w:rPr>
          <w:rFonts w:eastAsia="Aptos"/>
        </w:rPr>
      </w:pPr>
      <w:r w:rsidRPr="005B05B3">
        <w:rPr>
          <w:rFonts w:eastAsia="Aptos"/>
        </w:rPr>
        <w:t>two regional trips.</w:t>
      </w:r>
    </w:p>
    <w:p w14:paraId="5F1B740D" w14:textId="1973C5B2" w:rsidR="007C5663" w:rsidRPr="005B05B3" w:rsidRDefault="60C6A9BF" w:rsidP="00CE3682">
      <w:pPr>
        <w:spacing w:after="160" w:line="276" w:lineRule="auto"/>
        <w:rPr>
          <w:rFonts w:eastAsia="Aptos"/>
        </w:rPr>
      </w:pPr>
      <w:r w:rsidRPr="005B05B3">
        <w:rPr>
          <w:rFonts w:eastAsia="Aptos"/>
        </w:rPr>
        <w:t xml:space="preserve">The advice and recommendations throughout this report are based on what the Taskforce heard from these consultations. </w:t>
      </w:r>
      <w:r w:rsidRPr="005B05B3">
        <w:t xml:space="preserve">They are also guided by </w:t>
      </w:r>
      <w:r w:rsidRPr="005B05B3">
        <w:rPr>
          <w:rFonts w:eastAsia="Aptos"/>
        </w:rPr>
        <w:t>five AWGs,</w:t>
      </w:r>
      <w:r w:rsidR="003022ED">
        <w:rPr>
          <w:rFonts w:eastAsia="Aptos"/>
        </w:rPr>
        <w:t xml:space="preserve"> </w:t>
      </w:r>
      <w:r w:rsidR="0052325F" w:rsidRPr="005B05B3">
        <w:rPr>
          <w:rFonts w:eastAsia="Aptos"/>
        </w:rPr>
        <w:t xml:space="preserve">who </w:t>
      </w:r>
      <w:r w:rsidR="4BB71A77" w:rsidRPr="005B05B3">
        <w:rPr>
          <w:rFonts w:eastAsia="Aptos"/>
        </w:rPr>
        <w:t xml:space="preserve">met regularly to discuss </w:t>
      </w:r>
      <w:r w:rsidR="162E1349" w:rsidRPr="005B05B3">
        <w:rPr>
          <w:rFonts w:eastAsia="Aptos"/>
        </w:rPr>
        <w:t>key design elements of a Provider and Worker Registration Scheme. The AWGs comprised of experts in NDIS policy, worker</w:t>
      </w:r>
      <w:r w:rsidR="00257FB9" w:rsidRPr="005B05B3">
        <w:rPr>
          <w:rFonts w:eastAsia="Aptos"/>
        </w:rPr>
        <w:t>’</w:t>
      </w:r>
      <w:r w:rsidR="162E1349" w:rsidRPr="005B05B3">
        <w:rPr>
          <w:rFonts w:eastAsia="Aptos"/>
        </w:rPr>
        <w:t xml:space="preserve">s rights, the sector and lived </w:t>
      </w:r>
      <w:r w:rsidR="01D276A6" w:rsidRPr="005B05B3">
        <w:rPr>
          <w:rFonts w:eastAsia="Aptos"/>
        </w:rPr>
        <w:t>experience.</w:t>
      </w:r>
    </w:p>
    <w:p w14:paraId="4B636111" w14:textId="2A5283B5" w:rsidR="007C5663" w:rsidRPr="005B05B3" w:rsidRDefault="4BB71A77" w:rsidP="00CE3682">
      <w:pPr>
        <w:pStyle w:val="TSDBodyNOSPACEAFTER"/>
        <w:spacing w:after="160" w:line="276" w:lineRule="auto"/>
        <w:rPr>
          <w:rFonts w:ascii="Aptos" w:eastAsia="Calibri" w:hAnsi="Aptos" w:cs="Calibri"/>
          <w:noProof w:val="0"/>
        </w:rPr>
      </w:pPr>
      <w:r w:rsidRPr="005B05B3">
        <w:rPr>
          <w:rFonts w:ascii="Aptos" w:eastAsia="Calibri" w:hAnsi="Aptos" w:cs="Calibri"/>
          <w:noProof w:val="0"/>
        </w:rPr>
        <w:t>In relation to the proposed regulatory mode, the Taskforce heard:</w:t>
      </w:r>
    </w:p>
    <w:p w14:paraId="768ED3C5" w14:textId="47763603" w:rsidR="007C5663" w:rsidRPr="005B05B3" w:rsidRDefault="4BB71A77" w:rsidP="00CE3682">
      <w:pPr>
        <w:spacing w:after="0" w:line="276" w:lineRule="auto"/>
        <w:rPr>
          <w:rFonts w:eastAsia="Aptos"/>
        </w:rPr>
      </w:pPr>
      <w:r w:rsidRPr="005B05B3">
        <w:rPr>
          <w:rFonts w:eastAsia="Aptos"/>
        </w:rPr>
        <w:t>There is broad agreement</w:t>
      </w:r>
      <w:r w:rsidR="007A63CB">
        <w:rPr>
          <w:rFonts w:eastAsia="Aptos"/>
        </w:rPr>
        <w:t>:</w:t>
      </w:r>
    </w:p>
    <w:p w14:paraId="07185150" w14:textId="2CC7A076" w:rsidR="007C5663" w:rsidRPr="005B05B3" w:rsidRDefault="4BB71A77" w:rsidP="002D6AB8">
      <w:pPr>
        <w:pStyle w:val="ListParagraph"/>
        <w:numPr>
          <w:ilvl w:val="0"/>
          <w:numId w:val="18"/>
        </w:numPr>
        <w:spacing w:after="120" w:line="276" w:lineRule="auto"/>
        <w:rPr>
          <w:rFonts w:eastAsia="Aptos"/>
        </w:rPr>
      </w:pPr>
      <w:r w:rsidRPr="005B05B3">
        <w:rPr>
          <w:rFonts w:eastAsia="Aptos"/>
          <w:b/>
          <w:bCs/>
        </w:rPr>
        <w:t>change is needed</w:t>
      </w:r>
      <w:r w:rsidRPr="005B05B3">
        <w:rPr>
          <w:rFonts w:eastAsia="Aptos"/>
        </w:rPr>
        <w:t xml:space="preserve"> </w:t>
      </w:r>
      <w:r w:rsidR="3F184AF9" w:rsidRPr="005B05B3">
        <w:rPr>
          <w:rFonts w:eastAsia="Aptos"/>
        </w:rPr>
        <w:t>and the current</w:t>
      </w:r>
      <w:r w:rsidRPr="005B05B3">
        <w:rPr>
          <w:rFonts w:eastAsia="Aptos"/>
        </w:rPr>
        <w:t xml:space="preserve"> provider registration system </w:t>
      </w:r>
      <w:r w:rsidR="52BD636F" w:rsidRPr="005B05B3">
        <w:rPr>
          <w:rFonts w:eastAsia="Aptos"/>
        </w:rPr>
        <w:t>is not fit for purpose</w:t>
      </w:r>
      <w:r w:rsidRPr="005B05B3">
        <w:rPr>
          <w:rFonts w:eastAsia="Aptos"/>
        </w:rPr>
        <w:t>; there must be a new approach to registration</w:t>
      </w:r>
    </w:p>
    <w:p w14:paraId="65AFE2D5" w14:textId="3B18AD60" w:rsidR="007C5663" w:rsidRPr="005B05B3" w:rsidRDefault="4BB71A77" w:rsidP="002D6AB8">
      <w:pPr>
        <w:pStyle w:val="ListParagraph"/>
        <w:numPr>
          <w:ilvl w:val="0"/>
          <w:numId w:val="18"/>
        </w:numPr>
        <w:spacing w:after="120" w:line="276" w:lineRule="auto"/>
        <w:rPr>
          <w:rFonts w:eastAsia="Aptos"/>
        </w:rPr>
      </w:pPr>
      <w:r w:rsidRPr="005B05B3">
        <w:rPr>
          <w:rFonts w:eastAsia="Aptos"/>
          <w:b/>
          <w:bCs/>
        </w:rPr>
        <w:t xml:space="preserve">visibility </w:t>
      </w:r>
      <w:r w:rsidRPr="005B05B3">
        <w:rPr>
          <w:rFonts w:eastAsia="Aptos"/>
        </w:rPr>
        <w:t>of providers and workers delivering disability supports and services is important, however</w:t>
      </w:r>
      <w:r w:rsidR="00FC4AD6" w:rsidRPr="005B05B3">
        <w:rPr>
          <w:rFonts w:eastAsia="Aptos"/>
        </w:rPr>
        <w:t>,</w:t>
      </w:r>
      <w:r w:rsidRPr="005B05B3">
        <w:rPr>
          <w:rFonts w:eastAsia="Aptos"/>
        </w:rPr>
        <w:t xml:space="preserve"> th</w:t>
      </w:r>
      <w:r w:rsidR="3E6E5765" w:rsidRPr="005B05B3">
        <w:rPr>
          <w:rFonts w:eastAsia="Aptos"/>
        </w:rPr>
        <w:t>is visibility can be achieved through a combination of payment systems and registration</w:t>
      </w:r>
    </w:p>
    <w:p w14:paraId="2B0F24A2" w14:textId="3CC018B6" w:rsidR="007C5663" w:rsidRPr="005B05B3" w:rsidRDefault="18D62845" w:rsidP="002D6AB8">
      <w:pPr>
        <w:pStyle w:val="ListParagraph"/>
        <w:numPr>
          <w:ilvl w:val="0"/>
          <w:numId w:val="18"/>
        </w:numPr>
        <w:spacing w:after="120" w:line="276" w:lineRule="auto"/>
        <w:rPr>
          <w:rFonts w:eastAsia="Aptos"/>
        </w:rPr>
      </w:pPr>
      <w:r w:rsidRPr="005B05B3">
        <w:rPr>
          <w:rFonts w:eastAsia="Aptos"/>
          <w:b/>
          <w:bCs/>
        </w:rPr>
        <w:t xml:space="preserve">choice and control </w:t>
      </w:r>
      <w:bookmarkStart w:id="9" w:name="_Int_E9odUmF6"/>
      <w:r w:rsidRPr="005B05B3">
        <w:rPr>
          <w:rFonts w:eastAsia="Aptos"/>
        </w:rPr>
        <w:t>is</w:t>
      </w:r>
      <w:bookmarkEnd w:id="9"/>
      <w:r w:rsidRPr="005B05B3">
        <w:rPr>
          <w:rFonts w:eastAsia="Aptos"/>
        </w:rPr>
        <w:t xml:space="preserve"> paramount to ensuring that people with disability can manage their supports and this needs to feature in the regulatory framework.</w:t>
      </w:r>
    </w:p>
    <w:p w14:paraId="4588DFC7" w14:textId="5A37402F" w:rsidR="007C5663" w:rsidRPr="005B05B3" w:rsidRDefault="6EE6E17A" w:rsidP="002D6AB8">
      <w:pPr>
        <w:pStyle w:val="ListParagraph"/>
        <w:numPr>
          <w:ilvl w:val="0"/>
          <w:numId w:val="18"/>
        </w:numPr>
        <w:spacing w:after="120" w:line="276" w:lineRule="auto"/>
        <w:rPr>
          <w:rFonts w:eastAsia="Aptos"/>
        </w:rPr>
      </w:pPr>
      <w:r w:rsidRPr="005B05B3">
        <w:rPr>
          <w:rFonts w:eastAsia="Aptos"/>
          <w:b/>
          <w:bCs/>
        </w:rPr>
        <w:t xml:space="preserve">providers </w:t>
      </w:r>
      <w:r w:rsidRPr="005B05B3">
        <w:rPr>
          <w:rFonts w:eastAsia="Aptos"/>
        </w:rPr>
        <w:t>need to be supported to innovate, be viable and continue delivering excellent services to people with disability</w:t>
      </w:r>
    </w:p>
    <w:p w14:paraId="554D5313" w14:textId="456450DC" w:rsidR="007C5663" w:rsidRPr="005B05B3" w:rsidRDefault="6EE6E17A" w:rsidP="002D6AB8">
      <w:pPr>
        <w:pStyle w:val="ListParagraph"/>
        <w:numPr>
          <w:ilvl w:val="0"/>
          <w:numId w:val="18"/>
        </w:numPr>
        <w:spacing w:after="120" w:line="276" w:lineRule="auto"/>
        <w:rPr>
          <w:rFonts w:eastAsia="Aptos"/>
        </w:rPr>
      </w:pPr>
      <w:r w:rsidRPr="005B05B3">
        <w:rPr>
          <w:rFonts w:eastAsia="Aptos"/>
          <w:b/>
          <w:bCs/>
        </w:rPr>
        <w:t xml:space="preserve">workers </w:t>
      </w:r>
      <w:r w:rsidRPr="005B05B3">
        <w:rPr>
          <w:rFonts w:eastAsia="Aptos"/>
        </w:rPr>
        <w:t>are valued and must be safe at work, supported in their commitment to provide high</w:t>
      </w:r>
      <w:r w:rsidR="003A4277" w:rsidRPr="005B05B3">
        <w:rPr>
          <w:rFonts w:eastAsia="Aptos"/>
        </w:rPr>
        <w:t xml:space="preserve"> </w:t>
      </w:r>
      <w:r w:rsidRPr="005B05B3">
        <w:rPr>
          <w:rFonts w:eastAsia="Aptos"/>
        </w:rPr>
        <w:t>quality services for people with disability and have a seat at the table when designing a new registration scheme</w:t>
      </w:r>
    </w:p>
    <w:p w14:paraId="64405941" w14:textId="566C67B0" w:rsidR="007C5663" w:rsidRPr="005B05B3" w:rsidRDefault="4BB71A77" w:rsidP="002D6AB8">
      <w:pPr>
        <w:pStyle w:val="ListParagraph"/>
        <w:numPr>
          <w:ilvl w:val="0"/>
          <w:numId w:val="18"/>
        </w:numPr>
        <w:spacing w:after="120" w:line="276" w:lineRule="auto"/>
        <w:rPr>
          <w:rFonts w:eastAsia="Aptos"/>
        </w:rPr>
      </w:pPr>
      <w:r w:rsidRPr="005B05B3">
        <w:rPr>
          <w:rFonts w:eastAsia="Aptos"/>
          <w:b/>
          <w:bCs/>
        </w:rPr>
        <w:t xml:space="preserve">any form of registration should </w:t>
      </w:r>
      <w:r w:rsidR="003C2BA4">
        <w:rPr>
          <w:rFonts w:eastAsia="Aptos"/>
          <w:b/>
          <w:bCs/>
        </w:rPr>
        <w:t>be</w:t>
      </w:r>
      <w:r w:rsidRPr="005B05B3">
        <w:rPr>
          <w:rFonts w:eastAsia="Aptos"/>
          <w:b/>
          <w:bCs/>
        </w:rPr>
        <w:t xml:space="preserve"> risk-proportionate</w:t>
      </w:r>
      <w:r w:rsidR="00BA287B">
        <w:rPr>
          <w:rFonts w:eastAsia="Aptos"/>
          <w:b/>
          <w:bCs/>
        </w:rPr>
        <w:t xml:space="preserve"> and </w:t>
      </w:r>
      <w:r w:rsidR="32D05C30" w:rsidRPr="005B05B3">
        <w:rPr>
          <w:rFonts w:eastAsia="Aptos"/>
          <w:b/>
          <w:bCs/>
        </w:rPr>
        <w:t xml:space="preserve">graduated </w:t>
      </w:r>
      <w:r w:rsidR="12F234AB" w:rsidRPr="005B05B3">
        <w:rPr>
          <w:rFonts w:eastAsia="Aptos"/>
        </w:rPr>
        <w:t>ensuring</w:t>
      </w:r>
      <w:r w:rsidRPr="005B05B3">
        <w:rPr>
          <w:rFonts w:eastAsia="Aptos"/>
        </w:rPr>
        <w:t xml:space="preserve"> </w:t>
      </w:r>
      <w:r w:rsidR="5D14AEA9" w:rsidRPr="005B05B3">
        <w:rPr>
          <w:rFonts w:eastAsia="Aptos"/>
        </w:rPr>
        <w:t>th</w:t>
      </w:r>
      <w:r w:rsidRPr="005B05B3">
        <w:rPr>
          <w:rFonts w:eastAsia="Aptos"/>
        </w:rPr>
        <w:t>e registration and auditing requirements differ based on</w:t>
      </w:r>
      <w:r w:rsidR="679B23BA" w:rsidRPr="005B05B3">
        <w:rPr>
          <w:rFonts w:eastAsia="Aptos"/>
        </w:rPr>
        <w:t xml:space="preserve"> </w:t>
      </w:r>
      <w:r w:rsidRPr="005B05B3">
        <w:rPr>
          <w:rFonts w:eastAsia="Aptos"/>
        </w:rPr>
        <w:t>types of supports provide</w:t>
      </w:r>
      <w:r w:rsidR="43F9229F" w:rsidRPr="005B05B3">
        <w:rPr>
          <w:rFonts w:eastAsia="Aptos"/>
        </w:rPr>
        <w:t>d and risks faced by services and individuals</w:t>
      </w:r>
    </w:p>
    <w:p w14:paraId="7B12026E" w14:textId="0F8544AB" w:rsidR="007C5663" w:rsidRPr="005B05B3" w:rsidRDefault="4BB71A77" w:rsidP="002D6AB8">
      <w:pPr>
        <w:pStyle w:val="ListParagraph"/>
        <w:numPr>
          <w:ilvl w:val="0"/>
          <w:numId w:val="18"/>
        </w:numPr>
        <w:spacing w:after="120" w:line="276" w:lineRule="auto"/>
        <w:rPr>
          <w:rFonts w:eastAsia="Aptos"/>
        </w:rPr>
      </w:pPr>
      <w:r w:rsidRPr="005B05B3">
        <w:rPr>
          <w:rFonts w:eastAsia="Aptos"/>
          <w:b/>
          <w:bCs/>
        </w:rPr>
        <w:t>recognise other forms of registration</w:t>
      </w:r>
      <w:r w:rsidRPr="005B05B3">
        <w:rPr>
          <w:rFonts w:eastAsia="Aptos"/>
        </w:rPr>
        <w:t>, such as those for allied health professionals, however</w:t>
      </w:r>
      <w:r w:rsidR="004E6EC7" w:rsidRPr="005B05B3">
        <w:rPr>
          <w:rFonts w:eastAsia="Aptos"/>
        </w:rPr>
        <w:t>,</w:t>
      </w:r>
      <w:r w:rsidRPr="005B05B3">
        <w:rPr>
          <w:rFonts w:eastAsia="Aptos"/>
        </w:rPr>
        <w:t xml:space="preserve"> also a number of comments that those existing registrations need to improve understanding and quality for supporting for people with disability.</w:t>
      </w:r>
    </w:p>
    <w:p w14:paraId="439EC18A" w14:textId="115F1A18" w:rsidR="007C5663" w:rsidRPr="005B05B3" w:rsidRDefault="4BB71A77" w:rsidP="008430F9">
      <w:pPr>
        <w:spacing w:after="120" w:line="276" w:lineRule="auto"/>
        <w:rPr>
          <w:rFonts w:eastAsia="Aptos"/>
        </w:rPr>
      </w:pPr>
      <w:r w:rsidRPr="005B05B3">
        <w:rPr>
          <w:rFonts w:eastAsia="Aptos"/>
        </w:rPr>
        <w:lastRenderedPageBreak/>
        <w:t xml:space="preserve">There are significant concerns mandatory registration </w:t>
      </w:r>
      <w:r w:rsidR="7BBCB41F" w:rsidRPr="005B05B3">
        <w:rPr>
          <w:rFonts w:eastAsia="Aptos"/>
        </w:rPr>
        <w:t xml:space="preserve">for all NDIS </w:t>
      </w:r>
      <w:r w:rsidR="00465EC4" w:rsidRPr="005B05B3">
        <w:rPr>
          <w:rFonts w:eastAsia="Aptos"/>
        </w:rPr>
        <w:t>p</w:t>
      </w:r>
      <w:r w:rsidR="7BBCB41F" w:rsidRPr="005B05B3">
        <w:rPr>
          <w:rFonts w:eastAsia="Aptos"/>
        </w:rPr>
        <w:t>roviders</w:t>
      </w:r>
      <w:r w:rsidR="525BFFAA" w:rsidRPr="005B05B3">
        <w:rPr>
          <w:rFonts w:eastAsia="Aptos"/>
        </w:rPr>
        <w:t xml:space="preserve"> w</w:t>
      </w:r>
      <w:r w:rsidRPr="005B05B3">
        <w:rPr>
          <w:rFonts w:eastAsia="Aptos"/>
        </w:rPr>
        <w:t>ould:</w:t>
      </w:r>
    </w:p>
    <w:p w14:paraId="4A4316A7" w14:textId="4F0BCEAB" w:rsidR="005D0972" w:rsidRPr="005B05B3" w:rsidRDefault="4BB71A77" w:rsidP="002D6AB8">
      <w:pPr>
        <w:pStyle w:val="ListParagraph"/>
        <w:numPr>
          <w:ilvl w:val="0"/>
          <w:numId w:val="19"/>
        </w:numPr>
        <w:spacing w:after="120" w:line="276" w:lineRule="auto"/>
        <w:rPr>
          <w:rFonts w:eastAsia="Aptos"/>
        </w:rPr>
      </w:pPr>
      <w:r w:rsidRPr="005B05B3">
        <w:rPr>
          <w:rFonts w:eastAsia="Aptos"/>
          <w:b/>
          <w:bCs/>
        </w:rPr>
        <w:t>significantly impact on choice and control</w:t>
      </w:r>
      <w:r w:rsidRPr="005B05B3">
        <w:rPr>
          <w:rFonts w:eastAsia="Aptos"/>
        </w:rPr>
        <w:t xml:space="preserve"> for NDIS </w:t>
      </w:r>
      <w:r w:rsidR="00CC4FA3" w:rsidRPr="005B05B3">
        <w:rPr>
          <w:rFonts w:eastAsia="Aptos"/>
        </w:rPr>
        <w:t>p</w:t>
      </w:r>
      <w:r w:rsidRPr="005B05B3">
        <w:rPr>
          <w:rFonts w:eastAsia="Aptos"/>
        </w:rPr>
        <w:t>articipants if mandatory provider and worker registration was put in place</w:t>
      </w:r>
      <w:r w:rsidR="1EB207FE" w:rsidRPr="005B05B3">
        <w:rPr>
          <w:rFonts w:eastAsia="Aptos"/>
        </w:rPr>
        <w:t xml:space="preserve"> without further design incorporating the current ways supports are managed</w:t>
      </w:r>
    </w:p>
    <w:p w14:paraId="0A8D6C4F" w14:textId="2F103403" w:rsidR="007C5663" w:rsidRPr="005B05B3" w:rsidRDefault="4BB71A77" w:rsidP="002D6AB8">
      <w:pPr>
        <w:pStyle w:val="ListParagraph"/>
        <w:numPr>
          <w:ilvl w:val="0"/>
          <w:numId w:val="19"/>
        </w:numPr>
        <w:spacing w:after="120" w:line="276" w:lineRule="auto"/>
        <w:rPr>
          <w:rFonts w:eastAsia="Aptos"/>
        </w:rPr>
      </w:pPr>
      <w:r w:rsidRPr="005B05B3">
        <w:rPr>
          <w:rFonts w:eastAsia="Aptos"/>
        </w:rPr>
        <w:t>be</w:t>
      </w:r>
      <w:r w:rsidRPr="005B05B3">
        <w:rPr>
          <w:rFonts w:eastAsia="Aptos"/>
          <w:b/>
          <w:bCs/>
        </w:rPr>
        <w:t xml:space="preserve"> costly or burdensome</w:t>
      </w:r>
      <w:r w:rsidRPr="005B05B3">
        <w:rPr>
          <w:rFonts w:eastAsia="Aptos"/>
        </w:rPr>
        <w:t xml:space="preserve"> to providers, particularly smaller providers, causing some to leave the NDIS market, which will reduce the number of providers in the NDIS and cause further barriers to accessing quality supports within the </w:t>
      </w:r>
      <w:r w:rsidRPr="005B05B3">
        <w:rPr>
          <w:rFonts w:eastAsia="Aptos" w:cs="Aptos"/>
        </w:rPr>
        <w:t xml:space="preserve">Scheme </w:t>
      </w:r>
      <w:r w:rsidRPr="005B05B3">
        <w:rPr>
          <w:rFonts w:eastAsia="Aptos"/>
        </w:rPr>
        <w:t>that are right for people with disability</w:t>
      </w:r>
    </w:p>
    <w:p w14:paraId="0BBEFF80" w14:textId="54AB2BDE" w:rsidR="007C5663" w:rsidRPr="005B05B3" w:rsidRDefault="4BB71A77" w:rsidP="002D6AB8">
      <w:pPr>
        <w:pStyle w:val="ListParagraph"/>
        <w:numPr>
          <w:ilvl w:val="0"/>
          <w:numId w:val="19"/>
        </w:numPr>
        <w:spacing w:after="120" w:line="276" w:lineRule="auto"/>
        <w:rPr>
          <w:rFonts w:eastAsia="Aptos"/>
        </w:rPr>
      </w:pPr>
      <w:r w:rsidRPr="005B05B3">
        <w:rPr>
          <w:rFonts w:eastAsia="Aptos"/>
          <w:b/>
          <w:bCs/>
        </w:rPr>
        <w:t>limit or stifle innovation and different models of supports</w:t>
      </w:r>
      <w:r w:rsidRPr="005B05B3">
        <w:rPr>
          <w:rFonts w:eastAsia="Aptos"/>
        </w:rPr>
        <w:t xml:space="preserve"> NDIS </w:t>
      </w:r>
      <w:r w:rsidR="00CC4FA3" w:rsidRPr="005B05B3">
        <w:rPr>
          <w:rFonts w:eastAsia="Aptos"/>
        </w:rPr>
        <w:t>p</w:t>
      </w:r>
      <w:r w:rsidRPr="005B05B3">
        <w:rPr>
          <w:rFonts w:eastAsia="Aptos"/>
        </w:rPr>
        <w:t>articipants and their families are exploring and using effectively.</w:t>
      </w:r>
    </w:p>
    <w:p w14:paraId="04E6C93D" w14:textId="5887BAAB" w:rsidR="007E577B" w:rsidRPr="009A3E16" w:rsidRDefault="007E577B" w:rsidP="001879E5">
      <w:pPr>
        <w:spacing w:before="360" w:after="120"/>
        <w:rPr>
          <w:color w:val="0D2B58"/>
          <w:sz w:val="32"/>
          <w:szCs w:val="32"/>
        </w:rPr>
      </w:pPr>
      <w:r w:rsidRPr="009A3E16">
        <w:rPr>
          <w:color w:val="0D2B58"/>
          <w:sz w:val="32"/>
          <w:szCs w:val="32"/>
        </w:rPr>
        <w:t>Making recommendations</w:t>
      </w:r>
    </w:p>
    <w:p w14:paraId="4B02706D" w14:textId="4E016000" w:rsidR="007C5663" w:rsidRPr="005B05B3" w:rsidRDefault="4BB71A77" w:rsidP="260E4EB2">
      <w:pPr>
        <w:spacing w:line="276" w:lineRule="auto"/>
        <w:rPr>
          <w:rFonts w:eastAsia="Aptos"/>
        </w:rPr>
      </w:pPr>
      <w:r w:rsidRPr="005B05B3">
        <w:rPr>
          <w:rFonts w:eastAsia="Aptos"/>
        </w:rPr>
        <w:t xml:space="preserve">The Taskforce has comprehensively outlined in this report the detail of concerns raised by the community, the disability sector and </w:t>
      </w:r>
      <w:r w:rsidR="4E7DFCBB" w:rsidRPr="005B05B3">
        <w:rPr>
          <w:rFonts w:eastAsia="Aptos"/>
        </w:rPr>
        <w:t>key stakeholders</w:t>
      </w:r>
      <w:r w:rsidRPr="005B05B3">
        <w:rPr>
          <w:rFonts w:eastAsia="Aptos"/>
        </w:rPr>
        <w:t xml:space="preserve">. The Taskforce has provided </w:t>
      </w:r>
      <w:r w:rsidR="00344EA3">
        <w:rPr>
          <w:rFonts w:eastAsia="Aptos"/>
        </w:rPr>
        <w:t>1</w:t>
      </w:r>
      <w:r w:rsidR="002845B8">
        <w:rPr>
          <w:rFonts w:eastAsia="Aptos"/>
        </w:rPr>
        <w:t>1</w:t>
      </w:r>
      <w:r w:rsidR="000B3930">
        <w:rPr>
          <w:rFonts w:eastAsia="Aptos"/>
        </w:rPr>
        <w:t xml:space="preserve"> </w:t>
      </w:r>
      <w:r w:rsidRPr="005B05B3">
        <w:rPr>
          <w:rFonts w:eastAsia="Aptos"/>
        </w:rPr>
        <w:t xml:space="preserve">recommendations </w:t>
      </w:r>
      <w:r w:rsidR="59228A4B" w:rsidRPr="005B05B3">
        <w:rPr>
          <w:rFonts w:eastAsia="Aptos"/>
        </w:rPr>
        <w:t xml:space="preserve">and </w:t>
      </w:r>
      <w:r w:rsidR="006A2669">
        <w:rPr>
          <w:rFonts w:eastAsia="Aptos"/>
        </w:rPr>
        <w:t>10</w:t>
      </w:r>
      <w:r w:rsidR="000B3930" w:rsidRPr="005B05B3">
        <w:rPr>
          <w:rFonts w:eastAsia="Aptos"/>
        </w:rPr>
        <w:t xml:space="preserve"> </w:t>
      </w:r>
      <w:r w:rsidR="59228A4B" w:rsidRPr="005B05B3">
        <w:rPr>
          <w:rFonts w:eastAsia="Aptos"/>
        </w:rPr>
        <w:t xml:space="preserve">Implementation Actions </w:t>
      </w:r>
      <w:r w:rsidRPr="005B05B3">
        <w:rPr>
          <w:rFonts w:eastAsia="Aptos"/>
        </w:rPr>
        <w:t>for consideration by Government about how a regulatory model for NDIS Provider and Worker Registration might be designed</w:t>
      </w:r>
      <w:r w:rsidR="006C7E71" w:rsidRPr="005B05B3">
        <w:rPr>
          <w:rFonts w:eastAsia="Aptos"/>
        </w:rPr>
        <w:t>,</w:t>
      </w:r>
      <w:r w:rsidRPr="005B05B3">
        <w:rPr>
          <w:rFonts w:eastAsia="Aptos"/>
        </w:rPr>
        <w:t xml:space="preserve"> with consideration to these concerns and the ideas and feedback heard during consultations.</w:t>
      </w:r>
    </w:p>
    <w:p w14:paraId="0B908185" w14:textId="720874DF" w:rsidR="007C5663" w:rsidRPr="005B05B3" w:rsidRDefault="32A1D5D4" w:rsidP="260E4EB2">
      <w:pPr>
        <w:spacing w:line="276" w:lineRule="auto"/>
        <w:rPr>
          <w:rFonts w:eastAsia="Aptos"/>
        </w:rPr>
      </w:pPr>
      <w:r w:rsidRPr="005B05B3">
        <w:rPr>
          <w:rFonts w:eastAsia="Aptos"/>
        </w:rPr>
        <w:t xml:space="preserve">The Taskforce believes that the framework provided in the discussion of Recommendation 17 of the NDIS Review provides a useful framework for understanding risk and that the registration categories as outlined should be used as the basis for most provider registration. However, </w:t>
      </w:r>
      <w:r w:rsidR="0033035A" w:rsidRPr="005B05B3">
        <w:rPr>
          <w:rFonts w:eastAsia="Aptos"/>
        </w:rPr>
        <w:t xml:space="preserve">it </w:t>
      </w:r>
      <w:r w:rsidR="00EA13DA" w:rsidRPr="005B05B3">
        <w:rPr>
          <w:rFonts w:eastAsia="Aptos"/>
        </w:rPr>
        <w:t>proposes</w:t>
      </w:r>
      <w:r w:rsidRPr="005B05B3">
        <w:rPr>
          <w:rFonts w:eastAsia="Aptos" w:cs="Aptos"/>
          <w:sz w:val="22"/>
          <w:szCs w:val="22"/>
          <w:lang w:val="en-US"/>
        </w:rPr>
        <w:t xml:space="preserve"> </w:t>
      </w:r>
      <w:r w:rsidRPr="00581394">
        <w:rPr>
          <w:rFonts w:eastAsia="Aptos" w:cs="Aptos"/>
          <w:lang w:val="en-US"/>
        </w:rPr>
        <w:t>not all providers</w:t>
      </w:r>
      <w:r w:rsidR="0033035A" w:rsidRPr="005B05B3">
        <w:rPr>
          <w:rFonts w:eastAsia="Aptos"/>
        </w:rPr>
        <w:t>,</w:t>
      </w:r>
      <w:r w:rsidRPr="005B05B3">
        <w:rPr>
          <w:rFonts w:eastAsia="Aptos"/>
        </w:rPr>
        <w:t xml:space="preserve"> as defined in the NDIS Act</w:t>
      </w:r>
      <w:r w:rsidR="0033035A" w:rsidRPr="005B05B3">
        <w:rPr>
          <w:rFonts w:eastAsia="Aptos"/>
        </w:rPr>
        <w:t>,</w:t>
      </w:r>
      <w:r w:rsidRPr="005B05B3">
        <w:rPr>
          <w:rFonts w:eastAsia="Aptos"/>
        </w:rPr>
        <w:t xml:space="preserve"> should be registered</w:t>
      </w:r>
      <w:r w:rsidR="006616CF" w:rsidRPr="005B05B3">
        <w:rPr>
          <w:rFonts w:eastAsia="Aptos"/>
        </w:rPr>
        <w:t>.</w:t>
      </w:r>
      <w:r w:rsidRPr="005B05B3">
        <w:rPr>
          <w:rFonts w:eastAsia="Aptos"/>
        </w:rPr>
        <w:t xml:space="preserve"> </w:t>
      </w:r>
      <w:r w:rsidR="00595C91" w:rsidRPr="005B05B3">
        <w:rPr>
          <w:rFonts w:eastAsia="Aptos"/>
        </w:rPr>
        <w:t>Further consideration, including consultation with the disability community and sector is required to avoid unintended consequences.</w:t>
      </w:r>
    </w:p>
    <w:p w14:paraId="4B318CF5" w14:textId="32CDE07A" w:rsidR="00831C35" w:rsidRPr="005B05B3" w:rsidRDefault="32A1D5D4" w:rsidP="008430F9">
      <w:pPr>
        <w:spacing w:line="276" w:lineRule="auto"/>
      </w:pPr>
      <w:hyperlink w:anchor="Annexure_A" w:history="1">
        <w:r w:rsidRPr="00A500A6">
          <w:rPr>
            <w:rStyle w:val="Hyperlink"/>
            <w:rFonts w:ascii="Aptos" w:eastAsia="Aptos" w:hAnsi="Aptos"/>
          </w:rPr>
          <w:t xml:space="preserve">Table </w:t>
        </w:r>
        <w:r w:rsidR="007E577B" w:rsidRPr="00A500A6">
          <w:rPr>
            <w:rStyle w:val="Hyperlink"/>
            <w:rFonts w:ascii="Aptos" w:eastAsia="Aptos" w:hAnsi="Aptos"/>
          </w:rPr>
          <w:t>1 (Annexure A)</w:t>
        </w:r>
      </w:hyperlink>
      <w:r w:rsidR="007E577B" w:rsidRPr="005B05B3">
        <w:rPr>
          <w:rFonts w:eastAsia="Aptos"/>
        </w:rPr>
        <w:t xml:space="preserve"> </w:t>
      </w:r>
      <w:r w:rsidRPr="005B05B3">
        <w:rPr>
          <w:rFonts w:eastAsia="Aptos"/>
        </w:rPr>
        <w:t>provides a summary of a comprehensive graduated and risk-proportionate registration and enrolment framework. There are four categories of registration and a fifth category for purchase visibility only (no registration is required).</w:t>
      </w:r>
      <w:r w:rsidR="00A920C3" w:rsidRPr="005B05B3">
        <w:t xml:space="preserve"> </w:t>
      </w:r>
      <w:r w:rsidR="691559F6" w:rsidRPr="005B05B3">
        <w:t>The registration category</w:t>
      </w:r>
      <w:r w:rsidR="008314D1" w:rsidRPr="005B05B3">
        <w:t xml:space="preserve"> makes no distinction between those operating in different environments, such as in-person or online, in an organisation or alone</w:t>
      </w:r>
      <w:r w:rsidR="00A920C3" w:rsidRPr="005B05B3">
        <w:t>, and the category to be required</w:t>
      </w:r>
      <w:r w:rsidR="691559F6" w:rsidRPr="005B05B3">
        <w:t xml:space="preserve"> depends on the services provided</w:t>
      </w:r>
      <w:r w:rsidR="00A920C3" w:rsidRPr="005B05B3">
        <w:t>, including for example,</w:t>
      </w:r>
      <w:r w:rsidR="691559F6" w:rsidRPr="005B05B3">
        <w:t xml:space="preserve"> </w:t>
      </w:r>
      <w:r w:rsidR="006114D2">
        <w:t xml:space="preserve">through </w:t>
      </w:r>
      <w:r w:rsidR="00A920C3" w:rsidRPr="005B05B3">
        <w:t xml:space="preserve">a </w:t>
      </w:r>
      <w:r w:rsidR="691559F6" w:rsidRPr="005B05B3">
        <w:t>platform</w:t>
      </w:r>
      <w:r w:rsidR="00A920C3" w:rsidRPr="005B05B3">
        <w:t xml:space="preserve"> provider</w:t>
      </w:r>
      <w:r w:rsidR="691559F6" w:rsidRPr="005B05B3">
        <w:t>.</w:t>
      </w:r>
      <w:r w:rsidR="00A5049C" w:rsidRPr="005B05B3">
        <w:t xml:space="preserve"> </w:t>
      </w:r>
      <w:r w:rsidR="00831C35" w:rsidRPr="005B05B3">
        <w:t xml:space="preserve">All SIL Providers must be subject to Advanced </w:t>
      </w:r>
      <w:r w:rsidR="004A6435" w:rsidRPr="005B05B3">
        <w:t>Registration,</w:t>
      </w:r>
      <w:r w:rsidR="00831C35" w:rsidRPr="005B05B3">
        <w:t xml:space="preserve"> and this should be implemented immediately, noting the significant risk to participants of violence, abuse, neglect and exploitation in these services and the importance of </w:t>
      </w:r>
      <w:r w:rsidR="00A46F8B">
        <w:t>S</w:t>
      </w:r>
      <w:r w:rsidR="00831C35" w:rsidRPr="005B05B3">
        <w:t xml:space="preserve">cheme integrity. This is urgent and could be done under the existing registration framework and </w:t>
      </w:r>
      <w:r w:rsidR="00595C91" w:rsidRPr="005B05B3">
        <w:t>should</w:t>
      </w:r>
      <w:r w:rsidR="00831C35" w:rsidRPr="005B05B3">
        <w:t xml:space="preserve"> not wait for new arrangements to be developed.</w:t>
      </w:r>
    </w:p>
    <w:p w14:paraId="534C4417" w14:textId="0F83391A" w:rsidR="007C5663" w:rsidRPr="005B05B3" w:rsidRDefault="27DC15A8" w:rsidP="008430F9">
      <w:pPr>
        <w:spacing w:line="276" w:lineRule="auto"/>
        <w:rPr>
          <w:rFonts w:eastAsia="Aptos"/>
        </w:rPr>
      </w:pPr>
      <w:r w:rsidRPr="005B05B3">
        <w:rPr>
          <w:rFonts w:eastAsia="Aptos"/>
        </w:rPr>
        <w:t xml:space="preserve">The Taskforce’s recommendations have a strong emphasis on protecting choice and control </w:t>
      </w:r>
      <w:r w:rsidR="3FADA6A9" w:rsidRPr="005B05B3">
        <w:rPr>
          <w:rFonts w:eastAsia="Aptos"/>
        </w:rPr>
        <w:t>with</w:t>
      </w:r>
      <w:r w:rsidRPr="005B05B3">
        <w:rPr>
          <w:rFonts w:eastAsia="Aptos"/>
        </w:rPr>
        <w:t xml:space="preserve"> </w:t>
      </w:r>
      <w:r w:rsidR="3FADA6A9" w:rsidRPr="005B05B3">
        <w:rPr>
          <w:rFonts w:eastAsia="Aptos"/>
        </w:rPr>
        <w:t>m</w:t>
      </w:r>
      <w:r w:rsidR="222428BA" w:rsidRPr="005B05B3">
        <w:rPr>
          <w:rFonts w:eastAsia="Aptos"/>
        </w:rPr>
        <w:t>echanisms</w:t>
      </w:r>
      <w:r w:rsidR="222428BA" w:rsidRPr="005B05B3">
        <w:t xml:space="preserve"> </w:t>
      </w:r>
      <w:r w:rsidR="3FADA6A9" w:rsidRPr="005B05B3">
        <w:rPr>
          <w:rFonts w:eastAsia="Aptos"/>
        </w:rPr>
        <w:t xml:space="preserve">proposed </w:t>
      </w:r>
      <w:r w:rsidR="222428BA" w:rsidRPr="005B05B3">
        <w:t xml:space="preserve">to support arrangements for self-directed supports. With co-design with people with disability, a process should be developed whereby the </w:t>
      </w:r>
      <w:r w:rsidR="3F4D57D7" w:rsidRPr="005B05B3">
        <w:rPr>
          <w:rFonts w:eastAsia="Aptos"/>
        </w:rPr>
        <w:lastRenderedPageBreak/>
        <w:t xml:space="preserve">NDIS </w:t>
      </w:r>
      <w:r w:rsidR="51A7B090" w:rsidRPr="005B05B3">
        <w:rPr>
          <w:rFonts w:eastAsia="Aptos"/>
        </w:rPr>
        <w:t>p</w:t>
      </w:r>
      <w:r w:rsidR="222428BA" w:rsidRPr="005B05B3">
        <w:t xml:space="preserve">articipant </w:t>
      </w:r>
      <w:r w:rsidR="222428BA" w:rsidRPr="005B05B3">
        <w:rPr>
          <w:rFonts w:eastAsia="Aptos"/>
        </w:rPr>
        <w:t>will register themselves for self-directed supports, and thereby all their support providers would then also automatically become registered and visible.</w:t>
      </w:r>
      <w:r w:rsidR="511B3582" w:rsidRPr="005B05B3">
        <w:rPr>
          <w:rFonts w:eastAsia="Aptos"/>
        </w:rPr>
        <w:t xml:space="preserve"> G</w:t>
      </w:r>
      <w:r w:rsidR="511B3582" w:rsidRPr="005B05B3">
        <w:t xml:space="preserve">overnment should invest in offering peer support and capacity building programs to engage in the NDIS regulatory framework, including for </w:t>
      </w:r>
      <w:r w:rsidR="10B357F6" w:rsidRPr="005B05B3">
        <w:t>p</w:t>
      </w:r>
      <w:r w:rsidR="511B3582" w:rsidRPr="005B05B3">
        <w:t>articipants who self-direct their supports</w:t>
      </w:r>
      <w:r w:rsidR="3ABFBC82" w:rsidRPr="005B05B3">
        <w:t>.</w:t>
      </w:r>
    </w:p>
    <w:p w14:paraId="7E8AE8CA" w14:textId="3D914AC2" w:rsidR="00BF03EB" w:rsidRPr="005B05B3" w:rsidRDefault="00F65165" w:rsidP="008430F9">
      <w:pPr>
        <w:spacing w:line="276" w:lineRule="auto"/>
      </w:pPr>
      <w:r w:rsidRPr="005B05B3">
        <w:t xml:space="preserve">The Taskforce has made a number of </w:t>
      </w:r>
      <w:r w:rsidR="0077058C" w:rsidRPr="005B05B3">
        <w:t xml:space="preserve">other </w:t>
      </w:r>
      <w:r w:rsidRPr="005B05B3">
        <w:t>recommendations that would be a</w:t>
      </w:r>
      <w:r w:rsidR="4BDD38A6" w:rsidRPr="005B05B3">
        <w:t>pplied in a graduated, risk-proportionate way</w:t>
      </w:r>
      <w:r w:rsidRPr="005B05B3">
        <w:t>, to improve</w:t>
      </w:r>
      <w:r w:rsidR="00BF03EB" w:rsidRPr="005B05B3">
        <w:t xml:space="preserve"> and confirm</w:t>
      </w:r>
      <w:r w:rsidR="00EA43F0">
        <w:t xml:space="preserve"> p</w:t>
      </w:r>
      <w:r w:rsidR="4BDD38A6" w:rsidRPr="005B05B3">
        <w:t xml:space="preserve">rovider </w:t>
      </w:r>
      <w:r w:rsidR="00EA43F0">
        <w:t>o</w:t>
      </w:r>
      <w:r w:rsidR="4BDD38A6" w:rsidRPr="005B05B3">
        <w:t xml:space="preserve">bligations </w:t>
      </w:r>
      <w:r w:rsidR="00BF03EB" w:rsidRPr="005B05B3">
        <w:t xml:space="preserve">and </w:t>
      </w:r>
      <w:r w:rsidR="00EA43F0">
        <w:t>p</w:t>
      </w:r>
      <w:r w:rsidR="00BF03EB" w:rsidRPr="005B05B3">
        <w:t xml:space="preserve">rovider </w:t>
      </w:r>
      <w:r w:rsidR="00EA43F0">
        <w:t>p</w:t>
      </w:r>
      <w:r w:rsidR="00EA43F0" w:rsidRPr="005B05B3">
        <w:t>rocesses</w:t>
      </w:r>
      <w:r w:rsidR="00BF03EB" w:rsidRPr="005B05B3">
        <w:t>. These are fundamental to making sure registration achieves quality and safety</w:t>
      </w:r>
      <w:r w:rsidR="000B3930" w:rsidRPr="005B05B3">
        <w:t xml:space="preserve">, </w:t>
      </w:r>
      <w:r w:rsidR="00405BC0" w:rsidRPr="005B05B3">
        <w:t>supported by</w:t>
      </w:r>
      <w:r w:rsidR="000B3930" w:rsidRPr="005B05B3">
        <w:t xml:space="preserve"> the recommendations </w:t>
      </w:r>
      <w:r w:rsidR="00485FCD" w:rsidRPr="005B05B3">
        <w:t>to</w:t>
      </w:r>
      <w:r w:rsidR="00820E70" w:rsidRPr="005B05B3">
        <w:t xml:space="preserve"> effectively</w:t>
      </w:r>
      <w:r w:rsidR="00485FCD" w:rsidRPr="005B05B3">
        <w:t xml:space="preserve"> implement a new regulatory model </w:t>
      </w:r>
      <w:r w:rsidR="00820E70" w:rsidRPr="005B05B3">
        <w:t>such as</w:t>
      </w:r>
      <w:r w:rsidR="00485FCD" w:rsidRPr="005B05B3">
        <w:t xml:space="preserve"> </w:t>
      </w:r>
      <w:r w:rsidR="00E64DFC" w:rsidRPr="005B05B3">
        <w:t>expanding core functions of the NDIS Commission</w:t>
      </w:r>
      <w:r w:rsidR="00B8786E" w:rsidRPr="005B05B3">
        <w:t xml:space="preserve">, </w:t>
      </w:r>
      <w:r w:rsidR="00267126" w:rsidRPr="005B05B3">
        <w:t xml:space="preserve">new </w:t>
      </w:r>
      <w:r w:rsidR="00B8786E" w:rsidRPr="005B05B3">
        <w:t xml:space="preserve">legislative </w:t>
      </w:r>
      <w:r w:rsidR="00267126" w:rsidRPr="005B05B3">
        <w:t>frameworks for provider and worker registration</w:t>
      </w:r>
      <w:r w:rsidR="00B8786E" w:rsidRPr="005B05B3">
        <w:t xml:space="preserve">, strengthened complaints systems and better monitoring and compliance. </w:t>
      </w:r>
      <w:r w:rsidR="00E64DFC" w:rsidRPr="005B05B3">
        <w:t xml:space="preserve"> </w:t>
      </w:r>
    </w:p>
    <w:p w14:paraId="25745978" w14:textId="05AD9C13" w:rsidR="0008078F" w:rsidRPr="005B05B3" w:rsidRDefault="00090BF3" w:rsidP="008430F9">
      <w:pPr>
        <w:spacing w:line="276" w:lineRule="auto"/>
      </w:pPr>
      <w:r w:rsidRPr="005B05B3">
        <w:t xml:space="preserve">The Taskforce has designed </w:t>
      </w:r>
      <w:r w:rsidR="00015965" w:rsidRPr="005B05B3">
        <w:t xml:space="preserve">its </w:t>
      </w:r>
      <w:r w:rsidRPr="005B05B3">
        <w:t>advice to provide a blueprint to introduce a human</w:t>
      </w:r>
      <w:r w:rsidR="002925D1" w:rsidRPr="005B05B3">
        <w:t xml:space="preserve"> </w:t>
      </w:r>
      <w:r w:rsidRPr="005B05B3">
        <w:t xml:space="preserve">rights focussed Provider Registration Scheme and Worker Registration Scheme. Many design elements of the proposed </w:t>
      </w:r>
      <w:r w:rsidR="009B1875" w:rsidRPr="005B05B3">
        <w:t>s</w:t>
      </w:r>
      <w:r w:rsidRPr="005B05B3">
        <w:t xml:space="preserve">chemes are required to be co-designed with people with disability, the sector and key stakeholders. </w:t>
      </w:r>
    </w:p>
    <w:p w14:paraId="6FABC7A1" w14:textId="415E516E" w:rsidR="007C5663" w:rsidRPr="005B05B3" w:rsidRDefault="00090BF3" w:rsidP="008430F9">
      <w:pPr>
        <w:spacing w:line="276" w:lineRule="auto"/>
      </w:pPr>
      <w:r w:rsidRPr="005B05B3">
        <w:t>B</w:t>
      </w:r>
      <w:r w:rsidR="464FA592" w:rsidRPr="005B05B3">
        <w:t xml:space="preserve">ased on the work we have conducted to date and engagement from stakeholders, we believe that it is worth the government taking the time to undertake this recommended work to bring to life a model that </w:t>
      </w:r>
      <w:r w:rsidR="675B864B" w:rsidRPr="005B05B3">
        <w:t xml:space="preserve">reforms the way people with disability, NDIS </w:t>
      </w:r>
      <w:r w:rsidR="00465EC4" w:rsidRPr="005B05B3">
        <w:t>p</w:t>
      </w:r>
      <w:r w:rsidR="675B864B" w:rsidRPr="005B05B3">
        <w:t>roviders and government come together to create a once-in-a-generation shift toward ensuring quality and safe service for all Australian</w:t>
      </w:r>
      <w:r w:rsidR="68B18721" w:rsidRPr="005B05B3">
        <w:t>s with disabilities.</w:t>
      </w:r>
    </w:p>
    <w:p w14:paraId="64374AF0" w14:textId="77777777" w:rsidR="00A101BD" w:rsidRPr="005B05B3" w:rsidRDefault="00A101BD" w:rsidP="008430F9">
      <w:pPr>
        <w:spacing w:line="276" w:lineRule="auto"/>
        <w:sectPr w:rsidR="00A101BD" w:rsidRPr="005B05B3" w:rsidSect="00CE3682">
          <w:pgSz w:w="11906" w:h="16838"/>
          <w:pgMar w:top="1586" w:right="1252" w:bottom="1248" w:left="1440" w:header="907" w:footer="709" w:gutter="0"/>
          <w:cols w:space="708"/>
          <w:titlePg/>
          <w:docGrid w:linePitch="360"/>
        </w:sectPr>
      </w:pPr>
    </w:p>
    <w:p w14:paraId="493A6022" w14:textId="659E5311" w:rsidR="007C5663" w:rsidRPr="00697ECC" w:rsidRDefault="4AC810DF" w:rsidP="002B31C1">
      <w:pPr>
        <w:pStyle w:val="Heading1"/>
        <w:numPr>
          <w:ilvl w:val="0"/>
          <w:numId w:val="55"/>
        </w:numPr>
        <w:spacing w:line="240" w:lineRule="auto"/>
      </w:pPr>
      <w:bookmarkStart w:id="10" w:name="_Overview_of_the"/>
      <w:bookmarkStart w:id="11" w:name="_Toc170128716"/>
      <w:bookmarkStart w:id="12" w:name="_Toc173318047"/>
      <w:bookmarkEnd w:id="10"/>
      <w:r w:rsidRPr="00697ECC">
        <w:lastRenderedPageBreak/>
        <w:t xml:space="preserve">Overview of </w:t>
      </w:r>
      <w:r w:rsidR="47224623" w:rsidRPr="00697ECC">
        <w:t>the NDIS Act and Recommendation 17</w:t>
      </w:r>
      <w:bookmarkEnd w:id="11"/>
      <w:bookmarkEnd w:id="12"/>
    </w:p>
    <w:p w14:paraId="547623BE" w14:textId="2E93E0C0" w:rsidR="00DA2A63" w:rsidRPr="005B05B3" w:rsidRDefault="001E03A7" w:rsidP="008430F9">
      <w:pPr>
        <w:spacing w:line="276" w:lineRule="auto"/>
      </w:pPr>
      <w:r w:rsidRPr="005B05B3">
        <w:t xml:space="preserve">The NDIS is a world-leading social policy </w:t>
      </w:r>
      <w:r w:rsidR="009B6ECA">
        <w:t xml:space="preserve">that </w:t>
      </w:r>
      <w:r w:rsidRPr="005B05B3">
        <w:t>fund</w:t>
      </w:r>
      <w:r w:rsidR="009B6ECA">
        <w:t>s</w:t>
      </w:r>
      <w:r w:rsidRPr="005B05B3">
        <w:t xml:space="preserve"> the care and support of Australians with disabilities. Introduced in 2013, the NDIS has changed the lives of people with disability, many of whom have received </w:t>
      </w:r>
      <w:r w:rsidR="5C485984" w:rsidRPr="005B05B3">
        <w:t xml:space="preserve">disability </w:t>
      </w:r>
      <w:r w:rsidRPr="005B05B3">
        <w:t>care and support for the first time in their life</w:t>
      </w:r>
      <w:r w:rsidR="0088225B">
        <w:t>,</w:t>
      </w:r>
      <w:r w:rsidRPr="005B05B3">
        <w:t xml:space="preserve"> due to the NDIS. The NDIS plays a central role in advancing the social and economic participation of people with disability. </w:t>
      </w:r>
    </w:p>
    <w:p w14:paraId="02D4164F" w14:textId="4030D853" w:rsidR="001E03A7" w:rsidRPr="005B05B3" w:rsidRDefault="001E03A7" w:rsidP="008430F9">
      <w:pPr>
        <w:spacing w:line="276" w:lineRule="auto"/>
        <w:rPr>
          <w:sz w:val="18"/>
          <w:szCs w:val="18"/>
        </w:rPr>
      </w:pPr>
      <w:r w:rsidRPr="005B05B3">
        <w:t>Through the funding model, people with disability have been able to purchase goods and services that meet their needs. This has seen an important development in the disability services market where innovation has been encouraged. However, with this market approach, the role of quality and safeguarding measures is ever paramount.</w:t>
      </w:r>
    </w:p>
    <w:p w14:paraId="1D687585" w14:textId="77777777" w:rsidR="001E03A7" w:rsidRPr="009A3E16" w:rsidRDefault="33F50D33" w:rsidP="001879E5">
      <w:pPr>
        <w:pStyle w:val="Heading2"/>
        <w:spacing w:before="360" w:after="120"/>
      </w:pPr>
      <w:bookmarkStart w:id="13" w:name="_Toc170128717"/>
      <w:bookmarkStart w:id="14" w:name="_Toc170808340"/>
      <w:bookmarkStart w:id="15" w:name="_Toc173318048"/>
      <w:r w:rsidRPr="009A3E16">
        <w:t>The NDIS Act</w:t>
      </w:r>
      <w:bookmarkEnd w:id="13"/>
      <w:bookmarkEnd w:id="14"/>
      <w:bookmarkEnd w:id="15"/>
    </w:p>
    <w:p w14:paraId="4B713839" w14:textId="5E7A86A0" w:rsidR="001E03A7" w:rsidRPr="005B05B3" w:rsidRDefault="001E03A7" w:rsidP="00EB2989">
      <w:pPr>
        <w:spacing w:after="120" w:line="276" w:lineRule="auto"/>
      </w:pPr>
      <w:r w:rsidRPr="005B05B3">
        <w:t xml:space="preserve">The </w:t>
      </w:r>
      <w:r w:rsidRPr="005B05B3">
        <w:rPr>
          <w:i/>
        </w:rPr>
        <w:t>National Disability Insurance Scheme Act 2013</w:t>
      </w:r>
      <w:r w:rsidRPr="005B05B3">
        <w:t xml:space="preserve"> (NDI</w:t>
      </w:r>
      <w:r w:rsidR="00BC4B86">
        <w:t>S</w:t>
      </w:r>
      <w:r w:rsidRPr="005B05B3">
        <w:t xml:space="preserve"> Act) is the legislation that establishes</w:t>
      </w:r>
      <w:r w:rsidR="0088225B">
        <w:t xml:space="preserve"> the</w:t>
      </w:r>
      <w:r w:rsidRPr="005B05B3">
        <w:t>:</w:t>
      </w:r>
    </w:p>
    <w:p w14:paraId="5186C96F" w14:textId="5936D876" w:rsidR="001E03A7" w:rsidRPr="005B05B3" w:rsidRDefault="001E03A7" w:rsidP="002D6AB8">
      <w:pPr>
        <w:pStyle w:val="ListParagraph"/>
        <w:numPr>
          <w:ilvl w:val="0"/>
          <w:numId w:val="58"/>
        </w:numPr>
        <w:spacing w:after="160" w:line="276" w:lineRule="auto"/>
      </w:pPr>
      <w:r w:rsidRPr="005B05B3">
        <w:t>National Disability Insurance Scheme (NDIS)</w:t>
      </w:r>
    </w:p>
    <w:p w14:paraId="3AEA824A" w14:textId="1824F984" w:rsidR="001E03A7" w:rsidRPr="005B05B3" w:rsidRDefault="001E03A7" w:rsidP="002D6AB8">
      <w:pPr>
        <w:pStyle w:val="ListParagraph"/>
        <w:numPr>
          <w:ilvl w:val="0"/>
          <w:numId w:val="58"/>
        </w:numPr>
        <w:spacing w:after="160" w:line="276" w:lineRule="auto"/>
      </w:pPr>
      <w:r w:rsidRPr="005B05B3">
        <w:t>National Disability Insurance Agency (NDIA)</w:t>
      </w:r>
      <w:r w:rsidRPr="005B05B3">
        <w:rPr>
          <w:rStyle w:val="FootnoteReference"/>
        </w:rPr>
        <w:footnoteReference w:id="4"/>
      </w:r>
    </w:p>
    <w:p w14:paraId="519517FD" w14:textId="52461DAF" w:rsidR="001E03A7" w:rsidRPr="005B05B3" w:rsidRDefault="75B3592B" w:rsidP="002D6AB8">
      <w:pPr>
        <w:pStyle w:val="ListParagraph"/>
        <w:numPr>
          <w:ilvl w:val="0"/>
          <w:numId w:val="58"/>
        </w:numPr>
        <w:spacing w:after="160" w:line="276" w:lineRule="auto"/>
      </w:pPr>
      <w:r w:rsidRPr="005B05B3">
        <w:t xml:space="preserve">NDIS Quality and Safeguards Commission (NDIS </w:t>
      </w:r>
      <w:r w:rsidR="1A407A5D" w:rsidRPr="005B05B3">
        <w:t>Commission</w:t>
      </w:r>
      <w:r w:rsidRPr="005B05B3">
        <w:t>)</w:t>
      </w:r>
      <w:r w:rsidR="00B52248">
        <w:t>.</w:t>
      </w:r>
      <w:r w:rsidR="001E03A7" w:rsidRPr="005B05B3">
        <w:rPr>
          <w:rStyle w:val="FootnoteReference"/>
        </w:rPr>
        <w:footnoteReference w:id="5"/>
      </w:r>
    </w:p>
    <w:p w14:paraId="5FC62D35" w14:textId="5D84E976" w:rsidR="001E03A7" w:rsidRPr="005B05B3" w:rsidRDefault="001E03A7" w:rsidP="001879E5">
      <w:r w:rsidRPr="005B05B3">
        <w:t xml:space="preserve">At the time of writing, the NDIS Act was subject to amendment in the </w:t>
      </w:r>
      <w:r w:rsidRPr="005B05B3">
        <w:rPr>
          <w:i/>
          <w:iCs/>
        </w:rPr>
        <w:t xml:space="preserve">National Disability Insurance Scheme Amendment (Getting the NDIS Back on Track No. 1) Bill 2024 (Cth). </w:t>
      </w:r>
      <w:r w:rsidRPr="005B05B3">
        <w:t xml:space="preserve">The Taskforce acknowledges that the amendments are </w:t>
      </w:r>
      <w:r w:rsidRPr="001879E5">
        <w:t>significant</w:t>
      </w:r>
      <w:r w:rsidRPr="005B05B3">
        <w:t xml:space="preserve"> but noting they do not address the registration requirements, we have not considered the Amendment Bill in preparing this advice. The advice is based on the law as it currently is.</w:t>
      </w:r>
    </w:p>
    <w:p w14:paraId="216C4686" w14:textId="47309C6A" w:rsidR="001E03A7" w:rsidRPr="005B05B3" w:rsidRDefault="1625E9A4" w:rsidP="001879E5">
      <w:r w:rsidRPr="005B05B3">
        <w:t xml:space="preserve">Central to our work, the NDIS Act establishes the </w:t>
      </w:r>
      <w:r w:rsidRPr="001879E5">
        <w:t>role</w:t>
      </w:r>
      <w:r w:rsidRPr="005B05B3">
        <w:t xml:space="preserve"> of the NDIS Quality and Safeguards Commissioner (NDIS Commissioner)</w:t>
      </w:r>
      <w:r w:rsidR="14336464" w:rsidRPr="005B05B3">
        <w:t xml:space="preserve"> and Commission</w:t>
      </w:r>
      <w:r w:rsidRPr="005B05B3">
        <w:t>. The functions and powers of the NDIS Commissioner include provision for Rules to establish:</w:t>
      </w:r>
    </w:p>
    <w:p w14:paraId="033B52E2" w14:textId="7552F8DC" w:rsidR="001E03A7" w:rsidRPr="005B05B3" w:rsidRDefault="00240502" w:rsidP="002D6AB8">
      <w:pPr>
        <w:pStyle w:val="ListParagraph"/>
        <w:numPr>
          <w:ilvl w:val="0"/>
          <w:numId w:val="59"/>
        </w:numPr>
        <w:spacing w:after="160" w:line="276" w:lineRule="auto"/>
      </w:pPr>
      <w:r w:rsidRPr="005B05B3">
        <w:t>a</w:t>
      </w:r>
      <w:r w:rsidR="462BB001" w:rsidRPr="005B05B3">
        <w:t xml:space="preserve"> Code of Conduct</w:t>
      </w:r>
    </w:p>
    <w:p w14:paraId="51DA4C7C" w14:textId="27281735" w:rsidR="001E03A7" w:rsidRPr="005B05B3" w:rsidRDefault="001E03A7" w:rsidP="002D6AB8">
      <w:pPr>
        <w:pStyle w:val="ListParagraph"/>
        <w:numPr>
          <w:ilvl w:val="0"/>
          <w:numId w:val="59"/>
        </w:numPr>
        <w:spacing w:after="160" w:line="276" w:lineRule="auto"/>
      </w:pPr>
      <w:r w:rsidRPr="005B05B3">
        <w:t>the registration of a NDIS Provider and Practice Standards that registered providers must meet</w:t>
      </w:r>
    </w:p>
    <w:p w14:paraId="3EB507AA" w14:textId="77777777" w:rsidR="001E03A7" w:rsidRPr="005B05B3" w:rsidRDefault="001E03A7" w:rsidP="002D6AB8">
      <w:pPr>
        <w:pStyle w:val="ListParagraph"/>
        <w:numPr>
          <w:ilvl w:val="0"/>
          <w:numId w:val="59"/>
        </w:numPr>
        <w:spacing w:after="160" w:line="276" w:lineRule="auto"/>
      </w:pPr>
      <w:r w:rsidRPr="005B05B3">
        <w:t>the NDIS worker screening database</w:t>
      </w:r>
      <w:r w:rsidRPr="005B05B3">
        <w:rPr>
          <w:rStyle w:val="FootnoteReference"/>
        </w:rPr>
        <w:footnoteReference w:id="6"/>
      </w:r>
    </w:p>
    <w:p w14:paraId="41F3DDB3" w14:textId="77777777" w:rsidR="001E03A7" w:rsidRPr="005B05B3" w:rsidRDefault="001E03A7" w:rsidP="002D6AB8">
      <w:pPr>
        <w:pStyle w:val="ListParagraph"/>
        <w:numPr>
          <w:ilvl w:val="0"/>
          <w:numId w:val="59"/>
        </w:numPr>
        <w:spacing w:after="160" w:line="276" w:lineRule="auto"/>
      </w:pPr>
      <w:r w:rsidRPr="005B05B3">
        <w:lastRenderedPageBreak/>
        <w:t>reportable incidents and complaint processes</w:t>
      </w:r>
    </w:p>
    <w:p w14:paraId="438CE6CE" w14:textId="77777777" w:rsidR="001E03A7" w:rsidRPr="005B05B3" w:rsidRDefault="001E03A7" w:rsidP="002D6AB8">
      <w:pPr>
        <w:pStyle w:val="ListParagraph"/>
        <w:numPr>
          <w:ilvl w:val="0"/>
          <w:numId w:val="59"/>
        </w:numPr>
        <w:spacing w:after="160" w:line="276" w:lineRule="auto"/>
      </w:pPr>
      <w:r w:rsidRPr="005B05B3">
        <w:t>regulatory powers to support compliance and enforcement activities</w:t>
      </w:r>
    </w:p>
    <w:p w14:paraId="225F5A28" w14:textId="7C963888" w:rsidR="001E03A7" w:rsidRPr="005B05B3" w:rsidRDefault="001E03A7" w:rsidP="001879E5">
      <w:r w:rsidRPr="005B05B3">
        <w:t xml:space="preserve">The effectiveness of the Commissioner </w:t>
      </w:r>
      <w:r w:rsidR="001E0293" w:rsidRPr="005B05B3">
        <w:t>has</w:t>
      </w:r>
      <w:r w:rsidRPr="005B05B3">
        <w:t xml:space="preserve"> been subject to significant scrutiny since it began in 2018, with reviews including the </w:t>
      </w:r>
      <w:r w:rsidRPr="001879E5">
        <w:t>Tune</w:t>
      </w:r>
      <w:r w:rsidRPr="005B05B3">
        <w:t xml:space="preserve"> Review</w:t>
      </w:r>
      <w:r w:rsidR="0067299D" w:rsidRPr="005B05B3">
        <w:rPr>
          <w:rStyle w:val="FootnoteReference"/>
        </w:rPr>
        <w:footnoteReference w:id="7"/>
      </w:r>
      <w:r w:rsidRPr="005B05B3">
        <w:t>, the Robertson Review</w:t>
      </w:r>
      <w:r w:rsidR="00161897" w:rsidRPr="005B05B3">
        <w:rPr>
          <w:rStyle w:val="FootnoteReference"/>
        </w:rPr>
        <w:footnoteReference w:id="8"/>
      </w:r>
      <w:r w:rsidRPr="005B05B3">
        <w:t xml:space="preserve"> and NDIS Review</w:t>
      </w:r>
      <w:r w:rsidR="0072710A" w:rsidRPr="005B05B3">
        <w:rPr>
          <w:rStyle w:val="FootnoteReference"/>
        </w:rPr>
        <w:footnoteReference w:id="9"/>
      </w:r>
      <w:r w:rsidR="00740DE2">
        <w:t>, J</w:t>
      </w:r>
      <w:r w:rsidR="00BB798E">
        <w:t>oint Standing Committee on the NDIS Inquiry into the NDIS Quality and Safeguards Commission</w:t>
      </w:r>
      <w:r w:rsidR="00EB2877">
        <w:rPr>
          <w:rStyle w:val="FootnoteReference"/>
        </w:rPr>
        <w:footnoteReference w:id="10"/>
      </w:r>
      <w:r w:rsidR="00C72E31">
        <w:t xml:space="preserve"> </w:t>
      </w:r>
      <w:r w:rsidR="00681C0F" w:rsidRPr="005B05B3">
        <w:t>and Disability Royal Commission</w:t>
      </w:r>
      <w:r w:rsidR="0072710A" w:rsidRPr="005B05B3">
        <w:rPr>
          <w:rStyle w:val="FootnoteReference"/>
        </w:rPr>
        <w:footnoteReference w:id="11"/>
      </w:r>
      <w:r w:rsidR="00E41D0F">
        <w:t>,</w:t>
      </w:r>
      <w:r w:rsidR="00681C0F" w:rsidRPr="005B05B3">
        <w:t xml:space="preserve"> all</w:t>
      </w:r>
      <w:r w:rsidRPr="005B05B3">
        <w:t xml:space="preserve"> making recommendations to improve the delivery of the functions of the</w:t>
      </w:r>
      <w:r w:rsidR="008959B4" w:rsidRPr="005B05B3">
        <w:t xml:space="preserve"> NDIS</w:t>
      </w:r>
      <w:r w:rsidRPr="005B05B3">
        <w:t xml:space="preserve"> Commission.</w:t>
      </w:r>
    </w:p>
    <w:p w14:paraId="2F3AE23A" w14:textId="4126A636" w:rsidR="0015542B" w:rsidRPr="00EB2989" w:rsidRDefault="001E03A7" w:rsidP="001879E5">
      <w:pPr>
        <w:pStyle w:val="Heading2"/>
        <w:spacing w:before="360" w:after="120"/>
      </w:pPr>
      <w:bookmarkStart w:id="16" w:name="_Toc170808341"/>
      <w:bookmarkStart w:id="17" w:name="_Toc173318049"/>
      <w:r w:rsidRPr="00EB2989">
        <w:t>NDIS Review</w:t>
      </w:r>
      <w:bookmarkEnd w:id="16"/>
      <w:bookmarkEnd w:id="17"/>
    </w:p>
    <w:p w14:paraId="3F12802E" w14:textId="47FEFDE5" w:rsidR="001E03A7" w:rsidRPr="005B05B3" w:rsidRDefault="001E03A7" w:rsidP="008430F9">
      <w:pPr>
        <w:spacing w:line="276" w:lineRule="auto"/>
      </w:pPr>
      <w:r w:rsidRPr="005B05B3">
        <w:t xml:space="preserve">On 18 October 2022, the Hon Bill Shorten MP, Minister for the National Disability Insurance Scheme and </w:t>
      </w:r>
      <w:r w:rsidR="39CE4B08" w:rsidRPr="005B05B3">
        <w:t>Minister for</w:t>
      </w:r>
      <w:r w:rsidRPr="005B05B3">
        <w:t xml:space="preserve"> Government Services initiated an independent review to ensure the Scheme’s sustainability and to put people with disability back at the centre of the NDIS</w:t>
      </w:r>
      <w:r w:rsidR="008D2C0B">
        <w:t>.</w:t>
      </w:r>
      <w:r w:rsidRPr="005B05B3">
        <w:rPr>
          <w:rStyle w:val="FootnoteReference"/>
        </w:rPr>
        <w:footnoteReference w:id="12"/>
      </w:r>
    </w:p>
    <w:p w14:paraId="43CC41C6" w14:textId="6325F651" w:rsidR="001E03A7" w:rsidRPr="005B05B3" w:rsidRDefault="001E03A7" w:rsidP="004A0EC3">
      <w:pPr>
        <w:spacing w:after="120" w:line="276" w:lineRule="auto"/>
      </w:pPr>
      <w:r w:rsidRPr="005B05B3">
        <w:t>Led by Professor Bruce Bonyhady AM and Ms Lisa Paul AO PSM, the NDIS Review looked at:</w:t>
      </w:r>
    </w:p>
    <w:p w14:paraId="5501B389" w14:textId="49FEBEC8" w:rsidR="00502981" w:rsidRPr="005B05B3" w:rsidRDefault="001E03A7" w:rsidP="002D6AB8">
      <w:pPr>
        <w:pStyle w:val="ListParagraph"/>
        <w:numPr>
          <w:ilvl w:val="0"/>
          <w:numId w:val="6"/>
        </w:numPr>
        <w:spacing w:after="160" w:line="276" w:lineRule="auto"/>
      </w:pPr>
      <w:r w:rsidRPr="005B05B3">
        <w:t>the Scheme’s design, operations and sustainability</w:t>
      </w:r>
    </w:p>
    <w:p w14:paraId="4D668BE1" w14:textId="012FFB60" w:rsidR="001E03A7" w:rsidRPr="005B05B3" w:rsidRDefault="001E03A7" w:rsidP="002D6AB8">
      <w:pPr>
        <w:pStyle w:val="ListParagraph"/>
        <w:numPr>
          <w:ilvl w:val="0"/>
          <w:numId w:val="6"/>
        </w:numPr>
        <w:spacing w:after="160" w:line="276" w:lineRule="auto"/>
      </w:pPr>
      <w:r w:rsidRPr="005B05B3">
        <w:t>how to build a more responsive, supportive and sustainable market and workforce</w:t>
      </w:r>
      <w:r w:rsidR="001612FA">
        <w:t>.</w:t>
      </w:r>
      <w:r w:rsidRPr="005B05B3">
        <w:rPr>
          <w:rStyle w:val="FootnoteReference"/>
        </w:rPr>
        <w:footnoteReference w:id="13"/>
      </w:r>
    </w:p>
    <w:p w14:paraId="146247AE" w14:textId="776E8FCB" w:rsidR="001E03A7" w:rsidRPr="005B05B3" w:rsidRDefault="001E03A7" w:rsidP="008430F9">
      <w:pPr>
        <w:keepNext/>
        <w:spacing w:line="276" w:lineRule="auto"/>
      </w:pPr>
      <w:r w:rsidRPr="005B05B3">
        <w:t>In their final report, the NDIS Review made 26 recommendations with 139 actions. Relevant to our advice, the NDIS Review recommended:</w:t>
      </w:r>
    </w:p>
    <w:p w14:paraId="1964A685" w14:textId="49F16B98" w:rsidR="001E03A7" w:rsidRPr="005B05B3" w:rsidRDefault="001E03A7" w:rsidP="008430F9">
      <w:pPr>
        <w:keepNext/>
        <w:spacing w:line="276" w:lineRule="auto"/>
        <w:ind w:left="720"/>
        <w:rPr>
          <w:i/>
        </w:rPr>
      </w:pPr>
      <w:r w:rsidRPr="009F4B97">
        <w:t xml:space="preserve">Recommendation 17: Develop and deliver a risk-proportionate model for the </w:t>
      </w:r>
      <w:r w:rsidR="00B90F03">
        <w:t>visibility</w:t>
      </w:r>
      <w:r w:rsidRPr="009F4B97">
        <w:t xml:space="preserve"> and regulation of all providers and </w:t>
      </w:r>
      <w:r w:rsidR="004A6435" w:rsidRPr="009F4B97">
        <w:t>workers and</w:t>
      </w:r>
      <w:r w:rsidRPr="009F4B97">
        <w:t xml:space="preserve"> strengthen the regulatory response to long-standing and emerging quality and safeguarding issues.</w:t>
      </w:r>
      <w:r w:rsidRPr="008E3F15">
        <w:rPr>
          <w:rStyle w:val="FootnoteReference"/>
        </w:rPr>
        <w:footnoteReference w:id="14"/>
      </w:r>
    </w:p>
    <w:p w14:paraId="1B8352B5" w14:textId="34AC0F21" w:rsidR="00CD5A07" w:rsidRPr="004A0EC3" w:rsidRDefault="001E03A7" w:rsidP="008430F9">
      <w:pPr>
        <w:spacing w:before="150" w:after="150" w:line="276" w:lineRule="auto"/>
        <w:rPr>
          <w:rFonts w:eastAsia="Times New Roman" w:cs="Arial"/>
          <w:lang w:eastAsia="en-AU"/>
        </w:rPr>
      </w:pPr>
      <w:r w:rsidRPr="005B05B3">
        <w:t xml:space="preserve">To give effect to this </w:t>
      </w:r>
      <w:r w:rsidRPr="004A0EC3">
        <w:t>recommendation, there are six actions that the NDIS Review say are needed to support Recommendation 17:</w:t>
      </w:r>
    </w:p>
    <w:p w14:paraId="4554FAA8" w14:textId="4B44FFF5" w:rsidR="001E03A7" w:rsidRPr="004A0EC3" w:rsidRDefault="001E03A7" w:rsidP="008430F9">
      <w:pPr>
        <w:numPr>
          <w:ilvl w:val="0"/>
          <w:numId w:val="5"/>
        </w:numPr>
        <w:spacing w:before="150" w:after="150" w:line="276" w:lineRule="auto"/>
        <w:ind w:left="709"/>
        <w:rPr>
          <w:rFonts w:eastAsia="Times New Roman"/>
          <w:lang w:eastAsia="en-AU"/>
        </w:rPr>
      </w:pPr>
      <w:r w:rsidRPr="004A0EC3">
        <w:rPr>
          <w:rFonts w:eastAsia="Times New Roman"/>
          <w:lang w:eastAsia="en-AU"/>
        </w:rPr>
        <w:lastRenderedPageBreak/>
        <w:t>Action 17.1: The</w:t>
      </w:r>
      <w:r w:rsidR="005D1426">
        <w:rPr>
          <w:rFonts w:eastAsia="Times New Roman"/>
          <w:lang w:eastAsia="en-AU"/>
        </w:rPr>
        <w:t xml:space="preserve"> </w:t>
      </w:r>
      <w:r w:rsidRPr="004A0EC3">
        <w:rPr>
          <w:rFonts w:eastAsia="Times New Roman"/>
          <w:b/>
          <w:lang w:eastAsia="en-AU"/>
        </w:rPr>
        <w:t>Department of Social Services</w:t>
      </w:r>
      <w:r w:rsidR="005D1426">
        <w:rPr>
          <w:rFonts w:eastAsia="Times New Roman"/>
          <w:lang w:eastAsia="en-AU"/>
        </w:rPr>
        <w:t xml:space="preserve"> </w:t>
      </w:r>
      <w:r w:rsidRPr="004A0EC3">
        <w:rPr>
          <w:rFonts w:eastAsia="Times New Roman"/>
          <w:lang w:eastAsia="en-AU"/>
        </w:rPr>
        <w:t>and the new</w:t>
      </w:r>
      <w:r w:rsidR="005D1426">
        <w:rPr>
          <w:rFonts w:eastAsia="Times New Roman"/>
          <w:lang w:eastAsia="en-AU"/>
        </w:rPr>
        <w:t xml:space="preserve"> </w:t>
      </w:r>
      <w:r w:rsidRPr="004A0EC3">
        <w:rPr>
          <w:rFonts w:eastAsia="Times New Roman"/>
          <w:b/>
          <w:lang w:eastAsia="en-AU"/>
        </w:rPr>
        <w:t>National Disability Supports Quality and Safeguards Commission</w:t>
      </w:r>
      <w:r w:rsidR="005D1426">
        <w:rPr>
          <w:rFonts w:eastAsia="Times New Roman"/>
          <w:lang w:eastAsia="en-AU"/>
        </w:rPr>
        <w:t xml:space="preserve"> </w:t>
      </w:r>
      <w:r w:rsidRPr="004A0EC3">
        <w:rPr>
          <w:rFonts w:eastAsia="Times New Roman"/>
          <w:lang w:eastAsia="en-AU"/>
        </w:rPr>
        <w:t>should design and implement a graduated risk-proportionate regulatory model for the whole provider market.</w:t>
      </w:r>
    </w:p>
    <w:p w14:paraId="6820DDAA" w14:textId="35090D4F" w:rsidR="001E03A7" w:rsidRPr="004A0EC3" w:rsidRDefault="001E03A7" w:rsidP="008430F9">
      <w:pPr>
        <w:numPr>
          <w:ilvl w:val="0"/>
          <w:numId w:val="5"/>
        </w:numPr>
        <w:spacing w:before="150" w:after="150" w:line="276" w:lineRule="auto"/>
        <w:ind w:left="709"/>
        <w:rPr>
          <w:rFonts w:eastAsia="Times New Roman"/>
          <w:lang w:eastAsia="en-AU"/>
        </w:rPr>
      </w:pPr>
      <w:r w:rsidRPr="004A0EC3">
        <w:rPr>
          <w:rFonts w:eastAsia="Times New Roman"/>
          <w:lang w:eastAsia="en-AU"/>
        </w:rPr>
        <w:t>Action 17.2: The</w:t>
      </w:r>
      <w:r w:rsidR="00771A11">
        <w:rPr>
          <w:rFonts w:eastAsia="Times New Roman"/>
          <w:lang w:eastAsia="en-AU"/>
        </w:rPr>
        <w:t xml:space="preserve"> </w:t>
      </w:r>
      <w:r w:rsidRPr="004A0EC3">
        <w:rPr>
          <w:rFonts w:eastAsia="Times New Roman"/>
          <w:b/>
          <w:lang w:eastAsia="en-AU"/>
        </w:rPr>
        <w:t>Department of Social Services</w:t>
      </w:r>
      <w:r w:rsidR="00771A11">
        <w:rPr>
          <w:rFonts w:eastAsia="Times New Roman"/>
          <w:lang w:eastAsia="en-AU"/>
        </w:rPr>
        <w:t xml:space="preserve"> </w:t>
      </w:r>
      <w:r w:rsidRPr="004A0EC3">
        <w:rPr>
          <w:rFonts w:eastAsia="Times New Roman"/>
          <w:lang w:eastAsia="en-AU"/>
        </w:rPr>
        <w:t>and the new</w:t>
      </w:r>
      <w:r w:rsidR="00771A11">
        <w:rPr>
          <w:rFonts w:eastAsia="Times New Roman"/>
          <w:lang w:eastAsia="en-AU"/>
        </w:rPr>
        <w:t xml:space="preserve"> </w:t>
      </w:r>
      <w:r w:rsidRPr="004A0EC3">
        <w:rPr>
          <w:rFonts w:eastAsia="Times New Roman"/>
          <w:b/>
          <w:lang w:eastAsia="en-AU"/>
        </w:rPr>
        <w:t>National Disability Supports Quality and Safeguards Commission</w:t>
      </w:r>
      <w:r w:rsidR="00771A11">
        <w:rPr>
          <w:rFonts w:eastAsia="Times New Roman"/>
          <w:lang w:eastAsia="en-AU"/>
        </w:rPr>
        <w:t xml:space="preserve"> </w:t>
      </w:r>
      <w:r w:rsidRPr="004A0EC3">
        <w:rPr>
          <w:rFonts w:eastAsia="Times New Roman"/>
          <w:lang w:eastAsia="en-AU"/>
        </w:rPr>
        <w:t>should develop a staged implementation approach to transition to the new graduated risk-proportionate regulatory model.</w:t>
      </w:r>
    </w:p>
    <w:p w14:paraId="4FE4AC68" w14:textId="0A5D58DE" w:rsidR="001E03A7" w:rsidRPr="004A0EC3" w:rsidRDefault="001E03A7" w:rsidP="008430F9">
      <w:pPr>
        <w:numPr>
          <w:ilvl w:val="0"/>
          <w:numId w:val="5"/>
        </w:numPr>
        <w:spacing w:before="150" w:after="150" w:line="276" w:lineRule="auto"/>
        <w:ind w:left="709"/>
        <w:rPr>
          <w:rFonts w:eastAsia="Times New Roman"/>
          <w:lang w:eastAsia="en-AU"/>
        </w:rPr>
      </w:pPr>
      <w:r w:rsidRPr="004A0EC3">
        <w:rPr>
          <w:rFonts w:eastAsia="Times New Roman"/>
          <w:lang w:eastAsia="en-AU"/>
        </w:rPr>
        <w:t>Action 17.3: The</w:t>
      </w:r>
      <w:r w:rsidR="00771A11">
        <w:rPr>
          <w:rFonts w:eastAsia="Times New Roman"/>
          <w:lang w:eastAsia="en-AU"/>
        </w:rPr>
        <w:t xml:space="preserve"> </w:t>
      </w:r>
      <w:r w:rsidRPr="004A0EC3">
        <w:rPr>
          <w:rFonts w:eastAsia="Times New Roman"/>
          <w:b/>
          <w:lang w:eastAsia="en-AU"/>
        </w:rPr>
        <w:t>Australian Government</w:t>
      </w:r>
      <w:r w:rsidR="00771A11">
        <w:rPr>
          <w:rFonts w:eastAsia="Times New Roman"/>
          <w:lang w:eastAsia="en-AU"/>
        </w:rPr>
        <w:t xml:space="preserve"> </w:t>
      </w:r>
      <w:r w:rsidRPr="004A0EC3">
        <w:rPr>
          <w:rFonts w:eastAsia="Times New Roman"/>
          <w:lang w:eastAsia="en-AU"/>
        </w:rPr>
        <w:t>should amend the </w:t>
      </w:r>
      <w:r w:rsidRPr="004A0EC3">
        <w:rPr>
          <w:rFonts w:eastAsia="Times New Roman"/>
          <w:i/>
          <w:lang w:eastAsia="en-AU"/>
        </w:rPr>
        <w:t>NDIS Act 2013 </w:t>
      </w:r>
      <w:r w:rsidRPr="004A0EC3">
        <w:rPr>
          <w:rFonts w:eastAsia="Times New Roman"/>
          <w:lang w:eastAsia="en-AU"/>
        </w:rPr>
        <w:t>to remove the link between a participant’s financial management of their plan and the regulatory status of their support providers.</w:t>
      </w:r>
    </w:p>
    <w:p w14:paraId="12B6EFF8" w14:textId="2CE6E370" w:rsidR="001E03A7" w:rsidRPr="004A0EC3" w:rsidRDefault="001E03A7" w:rsidP="008430F9">
      <w:pPr>
        <w:numPr>
          <w:ilvl w:val="0"/>
          <w:numId w:val="5"/>
        </w:numPr>
        <w:spacing w:before="150" w:after="150" w:line="276" w:lineRule="auto"/>
        <w:ind w:left="709"/>
        <w:rPr>
          <w:rFonts w:eastAsia="Times New Roman"/>
          <w:lang w:eastAsia="en-AU"/>
        </w:rPr>
      </w:pPr>
      <w:r w:rsidRPr="004A0EC3">
        <w:rPr>
          <w:rFonts w:eastAsia="Times New Roman"/>
          <w:lang w:eastAsia="en-AU"/>
        </w:rPr>
        <w:t>Action 17.4: The</w:t>
      </w:r>
      <w:r w:rsidR="00771A11">
        <w:rPr>
          <w:rFonts w:eastAsia="Times New Roman"/>
          <w:lang w:eastAsia="en-AU"/>
        </w:rPr>
        <w:t xml:space="preserve"> </w:t>
      </w:r>
      <w:r w:rsidRPr="004A0EC3">
        <w:rPr>
          <w:rFonts w:eastAsia="Times New Roman"/>
          <w:b/>
          <w:lang w:eastAsia="en-AU"/>
        </w:rPr>
        <w:t>Department of Social Services</w:t>
      </w:r>
      <w:r w:rsidRPr="004A0EC3">
        <w:rPr>
          <w:rFonts w:eastAsia="Times New Roman"/>
          <w:lang w:eastAsia="en-AU"/>
        </w:rPr>
        <w:t>, working with the new National Disability Supports Quality and Safeguards Commission and state and territory agencies</w:t>
      </w:r>
      <w:r w:rsidRPr="00F97F79">
        <w:rPr>
          <w:rFonts w:eastAsia="Times New Roman"/>
          <w:bCs/>
          <w:lang w:eastAsia="en-AU"/>
        </w:rPr>
        <w:t>,</w:t>
      </w:r>
      <w:r w:rsidR="00771A11">
        <w:rPr>
          <w:rFonts w:eastAsia="Times New Roman"/>
          <w:lang w:eastAsia="en-AU"/>
        </w:rPr>
        <w:t xml:space="preserve"> </w:t>
      </w:r>
      <w:r w:rsidRPr="004A0EC3">
        <w:rPr>
          <w:rFonts w:eastAsia="Times New Roman"/>
          <w:lang w:eastAsia="en-AU"/>
        </w:rPr>
        <w:t>should expand the coverage of worker screening requirements.</w:t>
      </w:r>
    </w:p>
    <w:p w14:paraId="0F20BCF0" w14:textId="3BD43350" w:rsidR="001E03A7" w:rsidRPr="004A0EC3" w:rsidRDefault="001E03A7" w:rsidP="008430F9">
      <w:pPr>
        <w:numPr>
          <w:ilvl w:val="0"/>
          <w:numId w:val="5"/>
        </w:numPr>
        <w:spacing w:before="150" w:after="150" w:line="276" w:lineRule="auto"/>
        <w:ind w:left="709"/>
        <w:rPr>
          <w:rFonts w:eastAsia="Times New Roman"/>
          <w:lang w:eastAsia="en-AU"/>
        </w:rPr>
      </w:pPr>
      <w:r w:rsidRPr="004A0EC3">
        <w:rPr>
          <w:rFonts w:eastAsia="Times New Roman"/>
          <w:lang w:eastAsia="en-AU"/>
        </w:rPr>
        <w:t>Action 17.5: The</w:t>
      </w:r>
      <w:r w:rsidR="00771A11">
        <w:rPr>
          <w:rFonts w:eastAsia="Times New Roman"/>
          <w:lang w:eastAsia="en-AU"/>
        </w:rPr>
        <w:t xml:space="preserve"> </w:t>
      </w:r>
      <w:r w:rsidRPr="004A0EC3">
        <w:rPr>
          <w:rFonts w:eastAsia="Times New Roman"/>
          <w:b/>
          <w:lang w:eastAsia="en-AU"/>
        </w:rPr>
        <w:t>Department of Finance</w:t>
      </w:r>
      <w:r w:rsidR="00771A11">
        <w:rPr>
          <w:rFonts w:eastAsia="Times New Roman"/>
          <w:lang w:eastAsia="en-AU"/>
        </w:rPr>
        <w:t xml:space="preserve"> </w:t>
      </w:r>
      <w:r w:rsidRPr="004A0EC3">
        <w:rPr>
          <w:rFonts w:eastAsia="Times New Roman"/>
          <w:lang w:eastAsia="en-AU"/>
        </w:rPr>
        <w:t>and the</w:t>
      </w:r>
      <w:r w:rsidR="00771A11">
        <w:rPr>
          <w:rFonts w:eastAsia="Times New Roman"/>
          <w:lang w:eastAsia="en-AU"/>
        </w:rPr>
        <w:t xml:space="preserve"> </w:t>
      </w:r>
      <w:r w:rsidRPr="004A0EC3">
        <w:rPr>
          <w:rFonts w:eastAsia="Times New Roman"/>
          <w:b/>
          <w:lang w:eastAsia="en-AU"/>
        </w:rPr>
        <w:t>Department of Social Services</w:t>
      </w:r>
      <w:r w:rsidRPr="004A0EC3">
        <w:rPr>
          <w:rFonts w:eastAsia="Times New Roman"/>
          <w:lang w:eastAsia="en-AU"/>
        </w:rPr>
        <w:t>, working with the new National Disability Supports Quality and Safeguards Commission and state and territory agencies, should improve, streamline and harmonise worker screening processes for care and support workers.</w:t>
      </w:r>
    </w:p>
    <w:p w14:paraId="75FCED5F" w14:textId="1963C5DA" w:rsidR="001E03A7" w:rsidRPr="004A0EC3" w:rsidRDefault="001E03A7" w:rsidP="008430F9">
      <w:pPr>
        <w:numPr>
          <w:ilvl w:val="0"/>
          <w:numId w:val="5"/>
        </w:numPr>
        <w:spacing w:before="150" w:after="150" w:line="276" w:lineRule="auto"/>
        <w:ind w:left="709"/>
        <w:rPr>
          <w:rFonts w:eastAsia="Times New Roman"/>
          <w:lang w:eastAsia="en-AU"/>
        </w:rPr>
      </w:pPr>
      <w:r w:rsidRPr="004A0EC3">
        <w:rPr>
          <w:rFonts w:eastAsia="Times New Roman"/>
          <w:lang w:eastAsia="en-AU"/>
        </w:rPr>
        <w:t>Action 17.6: The new</w:t>
      </w:r>
      <w:r w:rsidR="00771A11">
        <w:rPr>
          <w:rFonts w:eastAsia="Times New Roman"/>
          <w:lang w:eastAsia="en-AU"/>
        </w:rPr>
        <w:t xml:space="preserve"> </w:t>
      </w:r>
      <w:r w:rsidRPr="004A0EC3">
        <w:rPr>
          <w:rFonts w:eastAsia="Times New Roman"/>
          <w:b/>
          <w:bCs/>
          <w:lang w:eastAsia="en-AU"/>
        </w:rPr>
        <w:t>National Disability Supports Quality and Safeguards Commission</w:t>
      </w:r>
      <w:r w:rsidR="00771A11">
        <w:rPr>
          <w:rFonts w:eastAsia="Times New Roman"/>
          <w:lang w:eastAsia="en-AU"/>
        </w:rPr>
        <w:t xml:space="preserve"> </w:t>
      </w:r>
      <w:r w:rsidRPr="004A0EC3">
        <w:rPr>
          <w:rFonts w:eastAsia="Times New Roman"/>
          <w:lang w:eastAsia="en-AU"/>
        </w:rPr>
        <w:t>should be resourced to strengthen compliance activities and communications to respond to emerging and long</w:t>
      </w:r>
      <w:r w:rsidR="00864577" w:rsidRPr="004A0EC3">
        <w:rPr>
          <w:rFonts w:eastAsia="Times New Roman"/>
          <w:lang w:eastAsia="en-AU"/>
        </w:rPr>
        <w:t>-</w:t>
      </w:r>
      <w:r w:rsidRPr="004A0EC3">
        <w:rPr>
          <w:rFonts w:eastAsia="Times New Roman"/>
          <w:lang w:eastAsia="en-AU"/>
        </w:rPr>
        <w:t>standing quality and safeguards issues, and market developments and innovation.</w:t>
      </w:r>
      <w:r w:rsidRPr="004A0EC3">
        <w:rPr>
          <w:rStyle w:val="FootnoteReference"/>
          <w:rFonts w:eastAsia="Times New Roman"/>
          <w:lang w:eastAsia="en-AU"/>
        </w:rPr>
        <w:footnoteReference w:id="15"/>
      </w:r>
    </w:p>
    <w:p w14:paraId="2C486FE9" w14:textId="4DD57802" w:rsidR="001E03A7" w:rsidRPr="005B05B3" w:rsidRDefault="001E03A7" w:rsidP="008430F9">
      <w:pPr>
        <w:spacing w:before="150" w:after="150" w:line="276" w:lineRule="auto"/>
        <w:rPr>
          <w:rFonts w:eastAsia="Times New Roman" w:cs="Arial"/>
          <w:lang w:eastAsia="en-AU"/>
        </w:rPr>
      </w:pPr>
      <w:r w:rsidRPr="004A0EC3">
        <w:rPr>
          <w:rFonts w:eastAsia="Times New Roman" w:cs="Arial"/>
          <w:lang w:eastAsia="en-AU"/>
        </w:rPr>
        <w:t xml:space="preserve">At the time of writing, the Government had not provided a response to the NDIS Review with respect to their acceptance or otherwise </w:t>
      </w:r>
      <w:r w:rsidRPr="005B05B3">
        <w:rPr>
          <w:rFonts w:eastAsia="Times New Roman" w:cs="Arial"/>
          <w:lang w:eastAsia="en-AU"/>
        </w:rPr>
        <w:t>of the recommendations and actions.</w:t>
      </w:r>
    </w:p>
    <w:p w14:paraId="71FA03C7" w14:textId="77777777" w:rsidR="001E03A7" w:rsidRPr="005B05B3" w:rsidRDefault="33F50D33" w:rsidP="001879E5">
      <w:pPr>
        <w:pStyle w:val="Heading2"/>
        <w:spacing w:before="360" w:after="120"/>
      </w:pPr>
      <w:bookmarkStart w:id="18" w:name="_Toc170128719"/>
      <w:bookmarkStart w:id="19" w:name="_Toc170808342"/>
      <w:bookmarkStart w:id="20" w:name="_Toc173318050"/>
      <w:r w:rsidRPr="005B05B3">
        <w:t>Advice on Recommendation 17</w:t>
      </w:r>
      <w:bookmarkEnd w:id="18"/>
      <w:bookmarkEnd w:id="19"/>
      <w:bookmarkEnd w:id="20"/>
    </w:p>
    <w:p w14:paraId="1F6FDABD" w14:textId="1169C038" w:rsidR="001E03A7" w:rsidRPr="005B05B3" w:rsidRDefault="001E03A7" w:rsidP="008430F9">
      <w:pPr>
        <w:pStyle w:val="ListBullet2"/>
        <w:numPr>
          <w:ilvl w:val="0"/>
          <w:numId w:val="0"/>
        </w:numPr>
        <w:spacing w:line="276" w:lineRule="auto"/>
        <w:rPr>
          <w:rFonts w:eastAsia="Arial" w:cs="Arial"/>
          <w:sz w:val="20"/>
          <w:szCs w:val="20"/>
        </w:rPr>
      </w:pPr>
      <w:r w:rsidRPr="005B05B3">
        <w:t>The Minister for the NDIS sought advice on Recommendation 17 from this Taskforce</w:t>
      </w:r>
      <w:r w:rsidR="00553994" w:rsidRPr="005B05B3">
        <w:t xml:space="preserve"> </w:t>
      </w:r>
      <w:r w:rsidR="00FB6ACC" w:rsidRPr="005B05B3">
        <w:t>on</w:t>
      </w:r>
      <w:r w:rsidRPr="005B05B3">
        <w:t>:</w:t>
      </w:r>
    </w:p>
    <w:p w14:paraId="2127384A" w14:textId="10C85352" w:rsidR="001E03A7" w:rsidRPr="005B05B3" w:rsidRDefault="00FB6ACC" w:rsidP="002D6AB8">
      <w:pPr>
        <w:pStyle w:val="ListBullet2"/>
        <w:numPr>
          <w:ilvl w:val="0"/>
          <w:numId w:val="60"/>
        </w:numPr>
        <w:spacing w:line="276" w:lineRule="auto"/>
      </w:pPr>
      <w:r w:rsidRPr="005B05B3">
        <w:t>t</w:t>
      </w:r>
      <w:r w:rsidR="001E03A7" w:rsidRPr="005B05B3">
        <w:t>he design and implementation of the recommended graduated risk-proportionate regulatory model, as it relates to upholding the rights of people with disability to exercise choice and control</w:t>
      </w:r>
    </w:p>
    <w:p w14:paraId="78A72820" w14:textId="27C7BC32" w:rsidR="001E03A7" w:rsidRPr="005B05B3" w:rsidRDefault="00FB6ACC" w:rsidP="002D6AB8">
      <w:pPr>
        <w:pStyle w:val="ListBullet2"/>
        <w:numPr>
          <w:ilvl w:val="0"/>
          <w:numId w:val="60"/>
        </w:numPr>
        <w:spacing w:line="276" w:lineRule="auto"/>
      </w:pPr>
      <w:r w:rsidRPr="005B05B3">
        <w:t>a</w:t>
      </w:r>
      <w:r w:rsidR="001E03A7" w:rsidRPr="005B05B3">
        <w:t xml:space="preserve"> Provider Risk Framework that identifies and evaluates the risk profile of different types of supports and providers</w:t>
      </w:r>
    </w:p>
    <w:p w14:paraId="0F3E4CC4" w14:textId="348B9D43" w:rsidR="001E03A7" w:rsidRPr="009A2659" w:rsidRDefault="00FB6ACC" w:rsidP="002D6AB8">
      <w:pPr>
        <w:pStyle w:val="ListBullet2"/>
        <w:numPr>
          <w:ilvl w:val="0"/>
          <w:numId w:val="60"/>
        </w:numPr>
        <w:spacing w:line="276" w:lineRule="auto"/>
      </w:pPr>
      <w:r w:rsidRPr="005B05B3">
        <w:t>a</w:t>
      </w:r>
      <w:r w:rsidR="001E03A7" w:rsidRPr="005B05B3">
        <w:t>rrangements for platform providers and circumstances where participants directly employ their workers.</w:t>
      </w:r>
    </w:p>
    <w:p w14:paraId="08F6BF06" w14:textId="48AF787F" w:rsidR="054EC7F5" w:rsidRPr="005B05B3" w:rsidRDefault="054EC7F5" w:rsidP="008430F9">
      <w:pPr>
        <w:spacing w:before="150" w:after="150" w:line="276" w:lineRule="auto"/>
        <w:rPr>
          <w:rFonts w:eastAsia="Times New Roman" w:cs="Arial"/>
          <w:lang w:eastAsia="en-AU"/>
        </w:rPr>
      </w:pPr>
      <w:r w:rsidRPr="005B05B3">
        <w:rPr>
          <w:rFonts w:eastAsia="Times New Roman" w:cs="Arial"/>
          <w:lang w:eastAsia="en-AU"/>
        </w:rPr>
        <w:lastRenderedPageBreak/>
        <w:t>In providing this advice, we are asked to consider the key design elements and implementation of new regulatory arrangements, including the Provider Risk Framework, so that those arrangements:</w:t>
      </w:r>
    </w:p>
    <w:p w14:paraId="42105669" w14:textId="05070573" w:rsidR="054EC7F5" w:rsidRPr="005B05B3" w:rsidRDefault="006B22B3" w:rsidP="002D6AB8">
      <w:pPr>
        <w:pStyle w:val="ListParagraph"/>
        <w:numPr>
          <w:ilvl w:val="0"/>
          <w:numId w:val="16"/>
        </w:numPr>
        <w:spacing w:before="150" w:after="150" w:line="276" w:lineRule="auto"/>
        <w:rPr>
          <w:rFonts w:eastAsia="Times New Roman" w:cs="Arial"/>
          <w:lang w:eastAsia="en-AU"/>
        </w:rPr>
      </w:pPr>
      <w:r w:rsidRPr="005B05B3">
        <w:rPr>
          <w:rFonts w:eastAsia="Times New Roman" w:cs="Arial"/>
          <w:lang w:eastAsia="en-AU"/>
        </w:rPr>
        <w:t>u</w:t>
      </w:r>
      <w:r w:rsidR="054EC7F5" w:rsidRPr="005B05B3">
        <w:rPr>
          <w:rFonts w:eastAsia="Times New Roman" w:cs="Arial"/>
          <w:lang w:eastAsia="en-AU"/>
        </w:rPr>
        <w:t>phold the rights of people with disability including to determine their own best interests, improving their ability to exercise choice and control over the providers that they use, and this is central to design of the new regulatory model</w:t>
      </w:r>
    </w:p>
    <w:p w14:paraId="0EFC581B" w14:textId="43146A3E" w:rsidR="054EC7F5" w:rsidRPr="005B05B3" w:rsidRDefault="006B22B3" w:rsidP="002D6AB8">
      <w:pPr>
        <w:pStyle w:val="ListParagraph"/>
        <w:numPr>
          <w:ilvl w:val="0"/>
          <w:numId w:val="16"/>
        </w:numPr>
        <w:spacing w:before="150" w:after="150" w:line="276" w:lineRule="auto"/>
        <w:rPr>
          <w:rFonts w:eastAsia="Times New Roman" w:cs="Arial"/>
          <w:lang w:eastAsia="en-AU"/>
        </w:rPr>
      </w:pPr>
      <w:r w:rsidRPr="005B05B3">
        <w:rPr>
          <w:rFonts w:eastAsia="Times New Roman" w:cs="Arial"/>
          <w:lang w:eastAsia="en-AU"/>
        </w:rPr>
        <w:t>e</w:t>
      </w:r>
      <w:r w:rsidR="054EC7F5" w:rsidRPr="005B05B3">
        <w:rPr>
          <w:rFonts w:eastAsia="Times New Roman" w:cs="Arial"/>
          <w:lang w:eastAsia="en-AU"/>
        </w:rPr>
        <w:t>nable people who are self-managing in the NDIS and employing and engaging their own workers and providers to continue to do so</w:t>
      </w:r>
    </w:p>
    <w:p w14:paraId="592AF4EA" w14:textId="159AA40D" w:rsidR="054EC7F5" w:rsidRPr="005B05B3" w:rsidRDefault="006B22B3" w:rsidP="002D6AB8">
      <w:pPr>
        <w:pStyle w:val="ListParagraph"/>
        <w:numPr>
          <w:ilvl w:val="0"/>
          <w:numId w:val="16"/>
        </w:numPr>
        <w:spacing w:before="150" w:after="150" w:line="276" w:lineRule="auto"/>
        <w:rPr>
          <w:rFonts w:eastAsia="Times New Roman" w:cs="Arial"/>
          <w:lang w:eastAsia="en-AU"/>
        </w:rPr>
      </w:pPr>
      <w:r w:rsidRPr="005B05B3">
        <w:rPr>
          <w:rFonts w:eastAsia="Times New Roman" w:cs="Arial"/>
          <w:lang w:eastAsia="en-AU"/>
        </w:rPr>
        <w:t>r</w:t>
      </w:r>
      <w:r w:rsidR="054EC7F5" w:rsidRPr="005B05B3">
        <w:rPr>
          <w:rFonts w:eastAsia="Times New Roman" w:cs="Arial"/>
          <w:lang w:eastAsia="en-AU"/>
        </w:rPr>
        <w:t>educe the potential for risk of harm to people with disability by taking a proportionate and risk</w:t>
      </w:r>
      <w:r w:rsidR="003D11C5" w:rsidRPr="005B05B3">
        <w:rPr>
          <w:rFonts w:eastAsia="Times New Roman" w:cs="Arial"/>
          <w:lang w:eastAsia="en-AU"/>
        </w:rPr>
        <w:t>-</w:t>
      </w:r>
      <w:r w:rsidR="054EC7F5" w:rsidRPr="005B05B3">
        <w:rPr>
          <w:rFonts w:eastAsia="Times New Roman" w:cs="Arial"/>
          <w:lang w:eastAsia="en-AU"/>
        </w:rPr>
        <w:t>based approach to regulation that considers both provider and support risk, and the circumstances of the people who using those services</w:t>
      </w:r>
    </w:p>
    <w:p w14:paraId="1CCF21E3" w14:textId="68943A3C" w:rsidR="054EC7F5" w:rsidRPr="005B05B3" w:rsidRDefault="006B22B3" w:rsidP="002D6AB8">
      <w:pPr>
        <w:pStyle w:val="ListParagraph"/>
        <w:numPr>
          <w:ilvl w:val="0"/>
          <w:numId w:val="16"/>
        </w:numPr>
        <w:spacing w:before="150" w:after="150" w:line="276" w:lineRule="auto"/>
        <w:rPr>
          <w:rFonts w:eastAsia="Times New Roman" w:cs="Arial"/>
          <w:lang w:eastAsia="en-AU"/>
        </w:rPr>
      </w:pPr>
      <w:r w:rsidRPr="005B05B3">
        <w:rPr>
          <w:rFonts w:eastAsia="Times New Roman" w:cs="Arial"/>
          <w:lang w:eastAsia="en-AU"/>
        </w:rPr>
        <w:t>i</w:t>
      </w:r>
      <w:r w:rsidR="054EC7F5" w:rsidRPr="005B05B3">
        <w:rPr>
          <w:rFonts w:eastAsia="Times New Roman" w:cs="Arial"/>
          <w:lang w:eastAsia="en-AU"/>
        </w:rPr>
        <w:t>ncrease quality and innovation of services and supports for all NDIS participants.</w:t>
      </w:r>
    </w:p>
    <w:p w14:paraId="4A0F988A" w14:textId="4ED881DB" w:rsidR="6F9698D8" w:rsidRPr="005B05B3" w:rsidRDefault="6F9698D8" w:rsidP="00315126">
      <w:pPr>
        <w:rPr>
          <w:rFonts w:eastAsia="Times New Roman" w:cs="Arial"/>
          <w:lang w:eastAsia="en-AU"/>
        </w:rPr>
      </w:pPr>
      <w:r w:rsidRPr="005B05B3">
        <w:rPr>
          <w:rFonts w:eastAsia="Times New Roman" w:cs="Arial"/>
          <w:lang w:eastAsia="en-AU"/>
        </w:rPr>
        <w:t xml:space="preserve">A copy of our </w:t>
      </w:r>
      <w:r w:rsidRPr="00315126">
        <w:t>Terms</w:t>
      </w:r>
      <w:r w:rsidRPr="005B05B3">
        <w:rPr>
          <w:rFonts w:eastAsia="Times New Roman" w:cs="Arial"/>
          <w:lang w:eastAsia="en-AU"/>
        </w:rPr>
        <w:t xml:space="preserve"> of Reference is available in </w:t>
      </w:r>
      <w:hyperlink w:anchor="_Annexures" w:history="1">
        <w:r w:rsidRPr="002B31C1">
          <w:rPr>
            <w:rStyle w:val="Hyperlink"/>
            <w:rFonts w:ascii="Aptos" w:eastAsia="Times New Roman" w:hAnsi="Aptos" w:cs="Arial"/>
            <w:lang w:eastAsia="en-AU"/>
          </w:rPr>
          <w:t xml:space="preserve">Annexure </w:t>
        </w:r>
        <w:r w:rsidR="00307C51" w:rsidRPr="002B31C1">
          <w:rPr>
            <w:rStyle w:val="Hyperlink"/>
            <w:rFonts w:ascii="Aptos" w:eastAsia="Times New Roman" w:hAnsi="Aptos" w:cs="Arial"/>
            <w:lang w:eastAsia="en-AU"/>
          </w:rPr>
          <w:t>B</w:t>
        </w:r>
      </w:hyperlink>
      <w:r w:rsidRPr="004A0EC3">
        <w:rPr>
          <w:rFonts w:eastAsia="Times New Roman" w:cs="Arial"/>
          <w:lang w:eastAsia="en-AU"/>
        </w:rPr>
        <w:t>.</w:t>
      </w:r>
    </w:p>
    <w:p w14:paraId="6346AF07" w14:textId="77777777" w:rsidR="00315126" w:rsidRDefault="054EC7F5" w:rsidP="00315126">
      <w:pPr>
        <w:rPr>
          <w:rFonts w:eastAsiaTheme="minorEastAsia" w:cstheme="minorBidi"/>
          <w:lang w:eastAsia="ja-JP"/>
        </w:rPr>
      </w:pPr>
      <w:r w:rsidRPr="005B05B3">
        <w:rPr>
          <w:rFonts w:eastAsiaTheme="minorEastAsia" w:cstheme="minorBidi"/>
          <w:lang w:eastAsia="ja-JP"/>
        </w:rPr>
        <w:t>In accordance with our Terms of Reference, the Taskforce have had a strong focus on</w:t>
      </w:r>
      <w:r w:rsidR="47B9B95D" w:rsidRPr="005B05B3">
        <w:rPr>
          <w:rFonts w:eastAsiaTheme="minorEastAsia" w:cstheme="minorBidi"/>
          <w:lang w:eastAsia="ja-JP"/>
        </w:rPr>
        <w:t xml:space="preserve"> consulting with, and where possible, have co-designed with the disability community on the design and implementation of the new graduated risk-proportionate model. The Taskforce have also consulted with </w:t>
      </w:r>
      <w:r w:rsidR="47B9B95D" w:rsidRPr="00315126">
        <w:t>the</w:t>
      </w:r>
      <w:r w:rsidR="47B9B95D" w:rsidRPr="005B05B3">
        <w:rPr>
          <w:rFonts w:eastAsiaTheme="minorEastAsia" w:cstheme="minorBidi"/>
          <w:lang w:eastAsia="ja-JP"/>
        </w:rPr>
        <w:t xml:space="preserve"> NDIS provider</w:t>
      </w:r>
      <w:r w:rsidR="5B2D94E6" w:rsidRPr="005B05B3">
        <w:rPr>
          <w:rFonts w:eastAsiaTheme="minorEastAsia" w:cstheme="minorBidi"/>
          <w:lang w:eastAsia="ja-JP"/>
        </w:rPr>
        <w:t xml:space="preserve"> market, workforce representatives including unions and other relevant stakeholders.</w:t>
      </w:r>
      <w:r w:rsidR="56197FF3" w:rsidRPr="005B05B3">
        <w:rPr>
          <w:rFonts w:eastAsiaTheme="minorEastAsia" w:cstheme="minorBidi"/>
          <w:lang w:eastAsia="ja-JP"/>
        </w:rPr>
        <w:t xml:space="preserve"> </w:t>
      </w:r>
      <w:r w:rsidR="56197FF3" w:rsidRPr="002B31C1">
        <w:rPr>
          <w:rFonts w:eastAsiaTheme="minorEastAsia" w:cstheme="minorBidi"/>
          <w:lang w:eastAsia="ja-JP"/>
        </w:rPr>
        <w:t xml:space="preserve">A copy of our Consultation Report is available </w:t>
      </w:r>
      <w:r w:rsidR="002B31C1">
        <w:rPr>
          <w:rFonts w:eastAsiaTheme="minorEastAsia" w:cstheme="minorBidi"/>
          <w:lang w:eastAsia="ja-JP"/>
        </w:rPr>
        <w:t>separately</w:t>
      </w:r>
      <w:r w:rsidR="56197FF3" w:rsidRPr="002B31C1">
        <w:rPr>
          <w:rFonts w:eastAsiaTheme="minorEastAsia" w:cstheme="minorBidi"/>
          <w:lang w:eastAsia="ja-JP"/>
        </w:rPr>
        <w:t>.</w:t>
      </w:r>
    </w:p>
    <w:p w14:paraId="6DD9A4EB" w14:textId="0938CE15" w:rsidR="681F8990" w:rsidRPr="005B05B3" w:rsidRDefault="681F8990" w:rsidP="00315126">
      <w:pPr>
        <w:rPr>
          <w:rFonts w:eastAsiaTheme="minorEastAsia" w:cstheme="minorBidi"/>
          <w:lang w:eastAsia="ja-JP"/>
        </w:rPr>
      </w:pPr>
      <w:r w:rsidRPr="005B05B3">
        <w:rPr>
          <w:rFonts w:eastAsiaTheme="minorEastAsia" w:cstheme="minorBidi"/>
          <w:lang w:eastAsia="ja-JP"/>
        </w:rPr>
        <w:t xml:space="preserve">The advice prepared is designed to assist the Minister to continue to work with the disability community and sector to </w:t>
      </w:r>
      <w:r w:rsidRPr="00315126">
        <w:t>advance</w:t>
      </w:r>
      <w:r w:rsidRPr="005B05B3">
        <w:rPr>
          <w:rFonts w:eastAsiaTheme="minorEastAsia" w:cstheme="minorBidi"/>
          <w:lang w:eastAsia="ja-JP"/>
        </w:rPr>
        <w:t xml:space="preserve"> reform that advances the rights of people with disability.</w:t>
      </w:r>
    </w:p>
    <w:p w14:paraId="38396C3B" w14:textId="77777777" w:rsidR="00A101BD" w:rsidRPr="005B05B3" w:rsidRDefault="00A101BD" w:rsidP="008430F9">
      <w:pPr>
        <w:pStyle w:val="ListBullet2"/>
        <w:numPr>
          <w:ilvl w:val="0"/>
          <w:numId w:val="0"/>
        </w:numPr>
        <w:tabs>
          <w:tab w:val="num" w:pos="1003"/>
        </w:tabs>
        <w:spacing w:line="276" w:lineRule="auto"/>
        <w:rPr>
          <w:rFonts w:eastAsiaTheme="minorEastAsia" w:cstheme="minorBidi"/>
          <w:lang w:eastAsia="ja-JP"/>
        </w:rPr>
        <w:sectPr w:rsidR="00A101BD" w:rsidRPr="005B05B3" w:rsidSect="008430F9">
          <w:pgSz w:w="11906" w:h="16838"/>
          <w:pgMar w:top="1768" w:right="1252" w:bottom="1440" w:left="1440" w:header="907" w:footer="709" w:gutter="0"/>
          <w:cols w:space="708"/>
          <w:titlePg/>
          <w:docGrid w:linePitch="360"/>
        </w:sectPr>
      </w:pPr>
    </w:p>
    <w:p w14:paraId="5131CFE5" w14:textId="00601BA4" w:rsidR="007C5663" w:rsidRPr="00426684" w:rsidRDefault="47224623" w:rsidP="001879E5">
      <w:pPr>
        <w:pStyle w:val="Heading1"/>
        <w:spacing w:before="0"/>
      </w:pPr>
      <w:bookmarkStart w:id="21" w:name="_Toc170128720"/>
      <w:bookmarkStart w:id="22" w:name="_Toc173318051"/>
      <w:r w:rsidRPr="00426684">
        <w:lastRenderedPageBreak/>
        <w:t>Reflections and Core Principles</w:t>
      </w:r>
      <w:bookmarkEnd w:id="21"/>
      <w:bookmarkEnd w:id="22"/>
    </w:p>
    <w:p w14:paraId="4C6A4325" w14:textId="77777777" w:rsidR="00C03630" w:rsidRPr="005B05B3" w:rsidRDefault="00C03630" w:rsidP="00C03630">
      <w:r w:rsidRPr="005B05B3">
        <w:t xml:space="preserve">The Taskforce is grateful to all those who contributed to our work, especially people with disabilities and their families who have shared their stories and generously explained how they manage their </w:t>
      </w:r>
      <w:bookmarkStart w:id="23" w:name="_Int_J8C0Uwel"/>
      <w:r w:rsidRPr="005B05B3">
        <w:t>supports</w:t>
      </w:r>
      <w:bookmarkEnd w:id="23"/>
      <w:r w:rsidRPr="005B05B3">
        <w:t>.</w:t>
      </w:r>
    </w:p>
    <w:p w14:paraId="239EAE46" w14:textId="5697159C" w:rsidR="00C03630" w:rsidRPr="005B05B3" w:rsidRDefault="00C03630" w:rsidP="00C03630">
      <w:r w:rsidRPr="005B05B3">
        <w:t xml:space="preserve">In developing our advice, the Taskforce committed to engaging deeply with stakeholders, including people with disability and their families, advocates and supporters, providers, unions and other representative bodies. We placed emphasis on hearing from voices often unheard including First Nations people, women and girls, children and young people and the </w:t>
      </w:r>
      <w:r w:rsidR="00177FBA" w:rsidRPr="005B05B3">
        <w:t>LGBT</w:t>
      </w:r>
      <w:r w:rsidR="00177FBA">
        <w:t>QI</w:t>
      </w:r>
      <w:r w:rsidR="00177FBA" w:rsidRPr="005B05B3">
        <w:t>A</w:t>
      </w:r>
      <w:r w:rsidRPr="005B05B3">
        <w:t xml:space="preserve">+ community. Our </w:t>
      </w:r>
      <w:r w:rsidR="716A600A" w:rsidRPr="005B05B3">
        <w:t xml:space="preserve">advice reflects </w:t>
      </w:r>
      <w:r w:rsidR="00575D35" w:rsidRPr="005B05B3">
        <w:t>this,</w:t>
      </w:r>
      <w:r w:rsidR="716A600A" w:rsidRPr="005B05B3">
        <w:t xml:space="preserve"> and our</w:t>
      </w:r>
      <w:r w:rsidRPr="005B05B3">
        <w:t xml:space="preserve"> work has been </w:t>
      </w:r>
      <w:r w:rsidR="00365D9C" w:rsidRPr="005B05B3">
        <w:t>strengthene</w:t>
      </w:r>
      <w:r w:rsidR="3BCE6CBB" w:rsidRPr="005B05B3">
        <w:t>d</w:t>
      </w:r>
      <w:r w:rsidRPr="005B05B3">
        <w:t xml:space="preserve"> due to these important contributions.</w:t>
      </w:r>
    </w:p>
    <w:p w14:paraId="19907705" w14:textId="42DBB5F0" w:rsidR="00C03630" w:rsidRPr="005B05B3" w:rsidRDefault="00C03630" w:rsidP="00C03630">
      <w:r w:rsidRPr="005B05B3">
        <w:t xml:space="preserve">While the Taskforce was challenged to engage in a fulsome co-design process due to time constraints, we were capably assisted by five Advisory Working Groups </w:t>
      </w:r>
      <w:r w:rsidR="00296551" w:rsidRPr="005B05B3">
        <w:t xml:space="preserve">(AWGs) </w:t>
      </w:r>
      <w:r w:rsidR="00DA5E6B" w:rsidRPr="005B05B3">
        <w:t>of invited members</w:t>
      </w:r>
      <w:r w:rsidR="00C67EBC" w:rsidRPr="005B05B3">
        <w:t xml:space="preserve">, who we met with </w:t>
      </w:r>
      <w:r w:rsidR="6824D9BC" w:rsidRPr="005B05B3">
        <w:t>on a regular basis</w:t>
      </w:r>
      <w:r w:rsidRPr="005B05B3">
        <w:t xml:space="preserve"> to test our ideas and thinking in a detailed way</w:t>
      </w:r>
      <w:r w:rsidR="00C31126" w:rsidRPr="005B05B3">
        <w:t>.</w:t>
      </w:r>
      <w:r w:rsidR="00727D5B" w:rsidRPr="005B05B3">
        <w:t xml:space="preserve"> </w:t>
      </w:r>
      <w:r w:rsidR="00C31126" w:rsidRPr="005B05B3">
        <w:t>T</w:t>
      </w:r>
      <w:r w:rsidR="00727D5B" w:rsidRPr="005B05B3">
        <w:t>he 5 AWGs</w:t>
      </w:r>
      <w:r w:rsidRPr="005B05B3">
        <w:t xml:space="preserve"> were:</w:t>
      </w:r>
    </w:p>
    <w:p w14:paraId="5632A826" w14:textId="77777777" w:rsidR="00C03630" w:rsidRPr="005B05B3" w:rsidRDefault="00C03630" w:rsidP="007D07A7">
      <w:pPr>
        <w:pStyle w:val="ListBullet2"/>
      </w:pPr>
      <w:r w:rsidRPr="005B05B3">
        <w:t>Participant and Nominees</w:t>
      </w:r>
    </w:p>
    <w:p w14:paraId="70698F85" w14:textId="4C3ACEA2" w:rsidR="00C03630" w:rsidRPr="005B05B3" w:rsidRDefault="00C03630" w:rsidP="007D07A7">
      <w:pPr>
        <w:pStyle w:val="ListBullet2"/>
      </w:pPr>
      <w:r w:rsidRPr="005B05B3">
        <w:t xml:space="preserve">Disability </w:t>
      </w:r>
      <w:r w:rsidR="00296551" w:rsidRPr="005B05B3">
        <w:t>C</w:t>
      </w:r>
      <w:r w:rsidRPr="005B05B3">
        <w:t xml:space="preserve">are </w:t>
      </w:r>
      <w:r w:rsidR="00296551" w:rsidRPr="005B05B3">
        <w:t>W</w:t>
      </w:r>
      <w:r w:rsidRPr="005B05B3">
        <w:t>orkers and their organisations</w:t>
      </w:r>
    </w:p>
    <w:p w14:paraId="1CB3D9BB" w14:textId="77777777" w:rsidR="00C03630" w:rsidRPr="005B05B3" w:rsidRDefault="00C03630" w:rsidP="007D07A7">
      <w:pPr>
        <w:pStyle w:val="ListBullet2"/>
      </w:pPr>
      <w:r w:rsidRPr="005B05B3">
        <w:t>Providers and Regulators</w:t>
      </w:r>
    </w:p>
    <w:p w14:paraId="3AB48A84" w14:textId="77777777" w:rsidR="00C03630" w:rsidRPr="005B05B3" w:rsidRDefault="00C03630" w:rsidP="007D07A7">
      <w:pPr>
        <w:pStyle w:val="ListBullet2"/>
      </w:pPr>
      <w:r w:rsidRPr="005B05B3">
        <w:t>Academic and Policy Experts</w:t>
      </w:r>
    </w:p>
    <w:p w14:paraId="3B32AA8B" w14:textId="1779C89B" w:rsidR="00C03630" w:rsidRPr="005B05B3" w:rsidRDefault="00C03630" w:rsidP="007D07A7">
      <w:pPr>
        <w:pStyle w:val="ListBullet2"/>
      </w:pPr>
      <w:r w:rsidRPr="005B05B3">
        <w:t>Intergovernmental (</w:t>
      </w:r>
      <w:r w:rsidR="001D5DC8" w:rsidRPr="005B05B3">
        <w:t>The Department of Social Services</w:t>
      </w:r>
      <w:r w:rsidRPr="005B05B3">
        <w:t>, NDIA and</w:t>
      </w:r>
      <w:r w:rsidR="001D5DC8" w:rsidRPr="005B05B3">
        <w:t xml:space="preserve"> the</w:t>
      </w:r>
      <w:r w:rsidRPr="005B05B3">
        <w:t xml:space="preserve"> NDIS Commission)</w:t>
      </w:r>
    </w:p>
    <w:p w14:paraId="21C56001" w14:textId="64079DBA" w:rsidR="00C03630" w:rsidRPr="005B05B3" w:rsidRDefault="00C03630" w:rsidP="00C03630">
      <w:r w:rsidRPr="005B05B3">
        <w:t>We observed throughout all engagements the deep commitment to the NDIS across stakeholders and a</w:t>
      </w:r>
      <w:r w:rsidR="00296551" w:rsidRPr="005B05B3">
        <w:t xml:space="preserve">n unwavering </w:t>
      </w:r>
      <w:r w:rsidR="00575D35" w:rsidRPr="005B05B3">
        <w:t>dedication to</w:t>
      </w:r>
      <w:r w:rsidRPr="005B05B3">
        <w:t xml:space="preserve"> advance the rights of people with disability across Australia.</w:t>
      </w:r>
    </w:p>
    <w:p w14:paraId="33FD123C" w14:textId="78876F66" w:rsidR="00C03630" w:rsidRPr="005B05B3" w:rsidRDefault="00C03630" w:rsidP="00C03630">
      <w:r w:rsidRPr="005B05B3">
        <w:t xml:space="preserve">In developing our advice, the Taskforce has sought to strike a balance </w:t>
      </w:r>
      <w:r w:rsidR="00575D35" w:rsidRPr="005B05B3">
        <w:t>between eliminating</w:t>
      </w:r>
      <w:r w:rsidRPr="005B05B3">
        <w:t xml:space="preserve"> violence, abuse, neglect and exploitation perpetrated against people with disability</w:t>
      </w:r>
      <w:r w:rsidR="00296551" w:rsidRPr="005B05B3">
        <w:t xml:space="preserve"> and</w:t>
      </w:r>
      <w:r w:rsidRPr="005B05B3">
        <w:t xml:space="preserve"> centring choice and control for people with disability to manage their services to pursue their life goals and encouraging innovation in a thriving marketplace.</w:t>
      </w:r>
    </w:p>
    <w:p w14:paraId="43803878" w14:textId="459B5788" w:rsidR="00C03630" w:rsidRPr="005B05B3" w:rsidRDefault="3BAB9822" w:rsidP="001879E5">
      <w:pPr>
        <w:pStyle w:val="Heading2"/>
        <w:spacing w:before="360" w:after="120"/>
      </w:pPr>
      <w:bookmarkStart w:id="24" w:name="_Toc170128721"/>
      <w:bookmarkStart w:id="25" w:name="_Toc170808344"/>
      <w:bookmarkStart w:id="26" w:name="_Toc173318052"/>
      <w:r w:rsidRPr="005B05B3">
        <w:t>Principles of the advice</w:t>
      </w:r>
      <w:bookmarkEnd w:id="24"/>
      <w:bookmarkEnd w:id="25"/>
      <w:bookmarkEnd w:id="26"/>
    </w:p>
    <w:p w14:paraId="29032305" w14:textId="57D42491" w:rsidR="00C03630" w:rsidRPr="005B05B3" w:rsidRDefault="00C03630" w:rsidP="00CB0D40">
      <w:pPr>
        <w:rPr>
          <w:rFonts w:eastAsia="Aptos" w:cs="Aptos"/>
        </w:rPr>
      </w:pPr>
      <w:r w:rsidRPr="005B05B3">
        <w:rPr>
          <w:rFonts w:eastAsia="Aptos" w:cs="Aptos"/>
        </w:rPr>
        <w:t xml:space="preserve">In developing this advice, the Taskforce have identified statements which underpin our overall view of the </w:t>
      </w:r>
      <w:r w:rsidRPr="00CB0D40">
        <w:t>approach</w:t>
      </w:r>
      <w:r w:rsidRPr="005B05B3">
        <w:rPr>
          <w:rFonts w:eastAsia="Aptos" w:cs="Aptos"/>
        </w:rPr>
        <w:t xml:space="preserve"> to strengthening regulation of disability support services, funded by the NDIS, in Australia. For clarity, we have provided them at the outset</w:t>
      </w:r>
      <w:r w:rsidR="2F721A46" w:rsidRPr="005B05B3">
        <w:rPr>
          <w:rFonts w:eastAsia="Aptos" w:cs="Aptos"/>
        </w:rPr>
        <w:t>,</w:t>
      </w:r>
      <w:r w:rsidRPr="005B05B3">
        <w:rPr>
          <w:rFonts w:eastAsia="Aptos" w:cs="Aptos"/>
        </w:rPr>
        <w:t xml:space="preserve"> but they are important across all topics addressed in this advice.</w:t>
      </w:r>
    </w:p>
    <w:p w14:paraId="7C11B95D" w14:textId="0190B218" w:rsidR="0018000F" w:rsidRPr="00E53DBD" w:rsidRDefault="0018000F" w:rsidP="0018000F">
      <w:pPr>
        <w:numPr>
          <w:ilvl w:val="0"/>
          <w:numId w:val="20"/>
        </w:numPr>
        <w:shd w:val="clear" w:color="auto" w:fill="FFFFFF"/>
        <w:spacing w:after="0" w:line="240" w:lineRule="auto"/>
        <w:rPr>
          <w:rFonts w:eastAsia="Times New Roman" w:cs="Segoe UI"/>
          <w:color w:val="242424"/>
          <w:lang w:eastAsia="en-GB"/>
        </w:rPr>
      </w:pPr>
      <w:r w:rsidRPr="00E53DBD">
        <w:rPr>
          <w:rFonts w:eastAsia="Times New Roman" w:cs="Arial"/>
          <w:b/>
          <w:bCs/>
          <w:color w:val="000000"/>
          <w:bdr w:val="none" w:sz="0" w:space="0" w:color="auto" w:frame="1"/>
          <w:lang w:eastAsia="en-GB"/>
        </w:rPr>
        <w:t>Choice and control</w:t>
      </w:r>
      <w:r w:rsidR="00F97F79">
        <w:rPr>
          <w:rFonts w:eastAsia="Times New Roman" w:cs="Arial"/>
          <w:b/>
          <w:bCs/>
          <w:color w:val="000000"/>
          <w:bdr w:val="none" w:sz="0" w:space="0" w:color="auto" w:frame="1"/>
          <w:lang w:eastAsia="en-GB"/>
        </w:rPr>
        <w:t xml:space="preserve"> </w:t>
      </w:r>
      <w:r w:rsidRPr="00E53DBD">
        <w:rPr>
          <w:rFonts w:eastAsia="Times New Roman" w:cs="Arial"/>
          <w:color w:val="000000"/>
          <w:bdr w:val="none" w:sz="0" w:space="0" w:color="auto" w:frame="1"/>
          <w:lang w:eastAsia="en-GB"/>
        </w:rPr>
        <w:t>or Participants when managing their supports is paramount.</w:t>
      </w:r>
    </w:p>
    <w:p w14:paraId="78633EF8" w14:textId="1C2CDD1B" w:rsidR="00C03630" w:rsidRPr="005B05B3" w:rsidRDefault="00C03630" w:rsidP="002D6AB8">
      <w:pPr>
        <w:pStyle w:val="ListParagraph"/>
        <w:numPr>
          <w:ilvl w:val="0"/>
          <w:numId w:val="20"/>
        </w:numPr>
        <w:spacing w:before="40" w:after="40" w:line="276" w:lineRule="auto"/>
        <w:ind w:left="425" w:hanging="357"/>
        <w:contextualSpacing w:val="0"/>
        <w:rPr>
          <w:rFonts w:eastAsia="Aptos"/>
        </w:rPr>
      </w:pPr>
      <w:r w:rsidRPr="005B05B3">
        <w:rPr>
          <w:rFonts w:eastAsia="Aptos"/>
          <w:b/>
        </w:rPr>
        <w:lastRenderedPageBreak/>
        <w:t xml:space="preserve">Visibility </w:t>
      </w:r>
      <w:r w:rsidRPr="005B05B3">
        <w:rPr>
          <w:rFonts w:eastAsia="Aptos"/>
        </w:rPr>
        <w:t>of providers operating in the marketplace is essential to the regulator being able to observe behaviour, guide quality and intervene effectively and efficiently.</w:t>
      </w:r>
    </w:p>
    <w:p w14:paraId="1273AD3A" w14:textId="130D915B" w:rsidR="00C03630" w:rsidRPr="005B05B3" w:rsidRDefault="00C03630" w:rsidP="002D6AB8">
      <w:pPr>
        <w:pStyle w:val="ListParagraph"/>
        <w:numPr>
          <w:ilvl w:val="0"/>
          <w:numId w:val="20"/>
        </w:numPr>
        <w:spacing w:before="40" w:after="40" w:line="276" w:lineRule="auto"/>
        <w:ind w:left="425" w:hanging="357"/>
        <w:contextualSpacing w:val="0"/>
        <w:rPr>
          <w:rFonts w:eastAsia="Aptos"/>
        </w:rPr>
      </w:pPr>
      <w:r w:rsidRPr="005B05B3">
        <w:rPr>
          <w:rFonts w:eastAsia="Aptos"/>
        </w:rPr>
        <w:t xml:space="preserve">The </w:t>
      </w:r>
      <w:r w:rsidRPr="005B05B3">
        <w:rPr>
          <w:b/>
        </w:rPr>
        <w:t xml:space="preserve">strengthening </w:t>
      </w:r>
      <w:r w:rsidR="001B4ACA" w:rsidRPr="005B05B3">
        <w:rPr>
          <w:b/>
        </w:rPr>
        <w:t xml:space="preserve">of </w:t>
      </w:r>
      <w:r w:rsidRPr="005B05B3">
        <w:rPr>
          <w:b/>
        </w:rPr>
        <w:t>regulation</w:t>
      </w:r>
      <w:r w:rsidRPr="005B05B3">
        <w:rPr>
          <w:rFonts w:eastAsia="Aptos"/>
        </w:rPr>
        <w:t xml:space="preserve"> must be built upon the recognition and realisation of the </w:t>
      </w:r>
      <w:r w:rsidRPr="005B05B3">
        <w:rPr>
          <w:rFonts w:eastAsia="Aptos"/>
          <w:b/>
        </w:rPr>
        <w:t>human rights of people with disabilities</w:t>
      </w:r>
      <w:r w:rsidRPr="005B05B3">
        <w:rPr>
          <w:rFonts w:eastAsia="Aptos"/>
        </w:rPr>
        <w:t xml:space="preserve"> and recognise the opportunity that redesigning the regulatory approach presents to achieve this aim.</w:t>
      </w:r>
    </w:p>
    <w:p w14:paraId="7AC94A95" w14:textId="44B49B94" w:rsidR="00C03630" w:rsidRPr="005B05B3" w:rsidRDefault="00C03630" w:rsidP="002D6AB8">
      <w:pPr>
        <w:pStyle w:val="ListParagraph"/>
        <w:numPr>
          <w:ilvl w:val="0"/>
          <w:numId w:val="20"/>
        </w:numPr>
        <w:spacing w:before="40" w:after="40" w:line="276" w:lineRule="auto"/>
        <w:ind w:left="425" w:hanging="357"/>
        <w:contextualSpacing w:val="0"/>
        <w:rPr>
          <w:rFonts w:eastAsia="Aptos"/>
        </w:rPr>
      </w:pPr>
      <w:r w:rsidRPr="005B05B3">
        <w:rPr>
          <w:rFonts w:eastAsia="Aptos"/>
        </w:rPr>
        <w:t xml:space="preserve">It is recognised that </w:t>
      </w:r>
      <w:r w:rsidRPr="005B05B3">
        <w:rPr>
          <w:rFonts w:eastAsia="Aptos"/>
          <w:b/>
        </w:rPr>
        <w:t>pricing</w:t>
      </w:r>
      <w:r w:rsidRPr="005B05B3">
        <w:rPr>
          <w:rFonts w:eastAsia="Aptos"/>
        </w:rPr>
        <w:t xml:space="preserve"> plays a significant role in driving quality and fairness within the marketplace. While we do not make substantive recommendations with respect to pricing, respecting that </w:t>
      </w:r>
      <w:r w:rsidR="00AB53BA" w:rsidRPr="005B05B3">
        <w:rPr>
          <w:rFonts w:eastAsia="Aptos"/>
        </w:rPr>
        <w:t>there is other work underway in this area, inc</w:t>
      </w:r>
      <w:r w:rsidR="00FB4889" w:rsidRPr="005B05B3">
        <w:rPr>
          <w:rFonts w:eastAsia="Aptos"/>
        </w:rPr>
        <w:t>luding the 20</w:t>
      </w:r>
      <w:r w:rsidR="007B3338" w:rsidRPr="005B05B3">
        <w:rPr>
          <w:rFonts w:eastAsia="Aptos"/>
        </w:rPr>
        <w:t>2</w:t>
      </w:r>
      <w:r w:rsidR="00FB4889" w:rsidRPr="005B05B3">
        <w:rPr>
          <w:rFonts w:eastAsia="Aptos"/>
        </w:rPr>
        <w:t xml:space="preserve">4-25 </w:t>
      </w:r>
      <w:r w:rsidR="007B3338" w:rsidRPr="005B05B3">
        <w:rPr>
          <w:rFonts w:eastAsia="Aptos"/>
        </w:rPr>
        <w:t>B</w:t>
      </w:r>
      <w:r w:rsidR="00FB4889" w:rsidRPr="005B05B3">
        <w:rPr>
          <w:rFonts w:eastAsia="Aptos"/>
        </w:rPr>
        <w:t>udget ann</w:t>
      </w:r>
      <w:r w:rsidR="00410367" w:rsidRPr="005B05B3">
        <w:rPr>
          <w:rFonts w:eastAsia="Aptos"/>
        </w:rPr>
        <w:t>ouncement</w:t>
      </w:r>
      <w:r w:rsidR="00FB4889" w:rsidRPr="005B05B3">
        <w:rPr>
          <w:rFonts w:eastAsia="Aptos"/>
        </w:rPr>
        <w:t xml:space="preserve"> that </w:t>
      </w:r>
      <w:r w:rsidR="007B3338" w:rsidRPr="005B05B3">
        <w:rPr>
          <w:rFonts w:eastAsia="Aptos"/>
        </w:rPr>
        <w:t>t</w:t>
      </w:r>
      <w:r w:rsidR="008707FC" w:rsidRPr="005B05B3">
        <w:rPr>
          <w:rFonts w:eastAsia="Aptos"/>
        </w:rPr>
        <w:t>he</w:t>
      </w:r>
      <w:r w:rsidR="00410367" w:rsidRPr="005B05B3">
        <w:rPr>
          <w:rFonts w:eastAsia="Aptos"/>
        </w:rPr>
        <w:t xml:space="preserve"> Independent Health and Aged Care Pricing Authority (IHACPA</w:t>
      </w:r>
      <w:r w:rsidR="007B3338" w:rsidRPr="005B05B3">
        <w:rPr>
          <w:rFonts w:eastAsia="Aptos"/>
        </w:rPr>
        <w:t>)</w:t>
      </w:r>
      <w:r w:rsidR="00C94084" w:rsidRPr="005B05B3">
        <w:rPr>
          <w:rFonts w:eastAsia="Aptos"/>
        </w:rPr>
        <w:t xml:space="preserve"> is undertaking initial work to reform the NDIS pricing data strategy</w:t>
      </w:r>
      <w:r w:rsidR="00AB53BA" w:rsidRPr="005B05B3" w:rsidDel="008707FC">
        <w:rPr>
          <w:rFonts w:eastAsia="Aptos"/>
        </w:rPr>
        <w:t xml:space="preserve"> </w:t>
      </w:r>
      <w:r w:rsidR="008707FC" w:rsidRPr="005B05B3">
        <w:rPr>
          <w:rFonts w:eastAsia="Aptos"/>
        </w:rPr>
        <w:t>and</w:t>
      </w:r>
      <w:r w:rsidR="00AB53BA" w:rsidRPr="005B05B3">
        <w:rPr>
          <w:rFonts w:eastAsia="Aptos"/>
        </w:rPr>
        <w:t xml:space="preserve"> </w:t>
      </w:r>
      <w:r w:rsidRPr="005B05B3">
        <w:rPr>
          <w:rFonts w:eastAsia="Aptos"/>
        </w:rPr>
        <w:t xml:space="preserve">the </w:t>
      </w:r>
      <w:r w:rsidR="7CA53803" w:rsidRPr="005B05B3">
        <w:rPr>
          <w:rFonts w:eastAsia="Aptos"/>
        </w:rPr>
        <w:t>Fair Pricing</w:t>
      </w:r>
      <w:r w:rsidRPr="005B05B3">
        <w:rPr>
          <w:rFonts w:eastAsia="Aptos"/>
        </w:rPr>
        <w:t xml:space="preserve"> Taskforce</w:t>
      </w:r>
      <w:r w:rsidR="0B684EFB" w:rsidRPr="005B05B3">
        <w:rPr>
          <w:rFonts w:eastAsia="Aptos"/>
        </w:rPr>
        <w:t>, chaired by the ACCC</w:t>
      </w:r>
      <w:r w:rsidR="27486922" w:rsidRPr="005B05B3">
        <w:rPr>
          <w:rFonts w:eastAsia="Aptos"/>
        </w:rPr>
        <w:t>,</w:t>
      </w:r>
      <w:r w:rsidR="00B8045A" w:rsidRPr="005B05B3">
        <w:rPr>
          <w:rStyle w:val="FootnoteReference"/>
          <w:rFonts w:eastAsia="Aptos"/>
        </w:rPr>
        <w:footnoteReference w:id="16"/>
      </w:r>
      <w:r w:rsidR="008707FC" w:rsidRPr="005B05B3">
        <w:rPr>
          <w:rFonts w:eastAsia="Aptos"/>
        </w:rPr>
        <w:t xml:space="preserve"> is </w:t>
      </w:r>
      <w:r w:rsidR="007B3338" w:rsidRPr="005B05B3">
        <w:rPr>
          <w:rFonts w:eastAsia="Aptos"/>
        </w:rPr>
        <w:t>addressing</w:t>
      </w:r>
      <w:r w:rsidR="3110BA69" w:rsidRPr="005B05B3">
        <w:rPr>
          <w:rFonts w:eastAsia="Aptos"/>
        </w:rPr>
        <w:t xml:space="preserve"> unreasonable price differentiation</w:t>
      </w:r>
      <w:r w:rsidRPr="005B05B3">
        <w:rPr>
          <w:rFonts w:eastAsia="Aptos"/>
        </w:rPr>
        <w:t xml:space="preserve">, we do want to be clear that </w:t>
      </w:r>
      <w:r w:rsidRPr="005B05B3">
        <w:rPr>
          <w:rFonts w:eastAsia="Aptos"/>
          <w:b/>
        </w:rPr>
        <w:t xml:space="preserve">pricing must remain a priority </w:t>
      </w:r>
      <w:r w:rsidRPr="005B05B3">
        <w:rPr>
          <w:rFonts w:eastAsia="Aptos"/>
        </w:rPr>
        <w:t>to see an uplift in quality, innovation and fairness within the marketplace.</w:t>
      </w:r>
    </w:p>
    <w:p w14:paraId="173F1F08" w14:textId="3E98AFE8" w:rsidR="00C03630" w:rsidRPr="005B05B3" w:rsidRDefault="00C03630" w:rsidP="002D6AB8">
      <w:pPr>
        <w:pStyle w:val="ListParagraph"/>
        <w:numPr>
          <w:ilvl w:val="0"/>
          <w:numId w:val="20"/>
        </w:numPr>
        <w:spacing w:before="120" w:after="120" w:line="276" w:lineRule="auto"/>
        <w:ind w:left="426"/>
        <w:rPr>
          <w:rFonts w:eastAsia="Aptos"/>
        </w:rPr>
      </w:pPr>
      <w:r w:rsidRPr="005B05B3">
        <w:rPr>
          <w:rFonts w:eastAsia="Aptos"/>
          <w:b/>
          <w:bCs/>
        </w:rPr>
        <w:t xml:space="preserve">Mandatory registration </w:t>
      </w:r>
      <w:r w:rsidRPr="005B05B3">
        <w:rPr>
          <w:rFonts w:eastAsia="Aptos"/>
        </w:rPr>
        <w:t xml:space="preserve">is central to our recommendations and is a key lever to strengthening regulation. The Taskforce has deliberately </w:t>
      </w:r>
      <w:r w:rsidR="00B72FAF" w:rsidRPr="005B05B3">
        <w:rPr>
          <w:rFonts w:eastAsia="Aptos"/>
        </w:rPr>
        <w:t xml:space="preserve">focused </w:t>
      </w:r>
      <w:r w:rsidRPr="005B05B3">
        <w:rPr>
          <w:rFonts w:eastAsia="Aptos"/>
        </w:rPr>
        <w:t xml:space="preserve">extensively on the scope of mandatory registration in the context of NDIS goods and services. We want to be clear that mandatory registration refers to the consistent requirement of NDIS </w:t>
      </w:r>
      <w:r w:rsidR="00465EC4" w:rsidRPr="005B05B3">
        <w:rPr>
          <w:rFonts w:eastAsia="Aptos"/>
        </w:rPr>
        <w:t>p</w:t>
      </w:r>
      <w:r w:rsidRPr="005B05B3">
        <w:rPr>
          <w:rFonts w:eastAsia="Aptos"/>
        </w:rPr>
        <w:t xml:space="preserve">roviders to be registered. It does not require that all purchases with NDIS funding must be from a registered provider. The Taskforce is particularly concerned with strengthening the requirements for disability support services to enter the market with a certain level of quality </w:t>
      </w:r>
      <w:r w:rsidR="00B72FAF" w:rsidRPr="005B05B3">
        <w:rPr>
          <w:rFonts w:eastAsia="Aptos"/>
        </w:rPr>
        <w:t xml:space="preserve">and commitment to continuous improvement to be </w:t>
      </w:r>
      <w:r w:rsidRPr="005B05B3">
        <w:rPr>
          <w:rFonts w:eastAsia="Aptos"/>
        </w:rPr>
        <w:t>maintained to stay in the market and that the regulator has consistent and effective powers to remove providers from the market. Mandatory registration, in our view, is essential to achieving this.</w:t>
      </w:r>
    </w:p>
    <w:p w14:paraId="6B9634C5" w14:textId="562AA51B" w:rsidR="00C03630" w:rsidRPr="005B05B3" w:rsidRDefault="00C03630" w:rsidP="00BC35F1">
      <w:pPr>
        <w:spacing w:line="276" w:lineRule="auto"/>
        <w:rPr>
          <w:rFonts w:cstheme="minorHAnsi"/>
        </w:rPr>
      </w:pPr>
      <w:r w:rsidRPr="005B05B3">
        <w:rPr>
          <w:rFonts w:eastAsia="Aptos" w:cstheme="minorHAnsi"/>
        </w:rPr>
        <w:t>The Taskforce is, consistent with inquiries before us</w:t>
      </w:r>
      <w:r w:rsidR="3F221503" w:rsidRPr="005B05B3">
        <w:rPr>
          <w:rFonts w:eastAsia="Aptos" w:cstheme="minorHAnsi"/>
        </w:rPr>
        <w:t>,</w:t>
      </w:r>
      <w:r w:rsidRPr="005B05B3">
        <w:rPr>
          <w:rFonts w:eastAsia="Aptos" w:cstheme="minorHAnsi"/>
        </w:rPr>
        <w:t xml:space="preserve"> including the Disability Royal Commission</w:t>
      </w:r>
      <w:r w:rsidR="00382B08" w:rsidRPr="005B05B3">
        <w:rPr>
          <w:rStyle w:val="FootnoteReference"/>
          <w:rFonts w:eastAsia="Aptos" w:cstheme="minorHAnsi"/>
        </w:rPr>
        <w:footnoteReference w:id="17"/>
      </w:r>
      <w:r w:rsidRPr="005B05B3">
        <w:rPr>
          <w:rFonts w:eastAsia="Aptos" w:cstheme="minorHAnsi"/>
        </w:rPr>
        <w:t xml:space="preserve"> and NDIS Commission’s Own Motion Inquiry into Supported Independent Living (</w:t>
      </w:r>
      <w:r w:rsidR="000D6D45" w:rsidRPr="005B05B3">
        <w:rPr>
          <w:rFonts w:eastAsia="Aptos" w:cstheme="minorHAnsi"/>
        </w:rPr>
        <w:t>2022</w:t>
      </w:r>
      <w:r w:rsidRPr="005B05B3">
        <w:rPr>
          <w:rFonts w:eastAsia="Aptos" w:cstheme="minorHAnsi"/>
        </w:rPr>
        <w:t>),</w:t>
      </w:r>
      <w:r w:rsidR="00832BF2" w:rsidRPr="005B05B3">
        <w:rPr>
          <w:rStyle w:val="FootnoteReference"/>
          <w:rFonts w:eastAsia="Aptos" w:cstheme="minorHAnsi"/>
        </w:rPr>
        <w:footnoteReference w:id="18"/>
      </w:r>
      <w:r w:rsidR="00CF37E8" w:rsidRPr="005B05B3">
        <w:rPr>
          <w:rFonts w:eastAsia="Aptos" w:cstheme="minorHAnsi"/>
        </w:rPr>
        <w:t xml:space="preserve"> </w:t>
      </w:r>
      <w:r w:rsidRPr="005B05B3">
        <w:rPr>
          <w:rFonts w:eastAsia="Aptos" w:cstheme="minorHAnsi"/>
          <w:b/>
          <w:bCs/>
        </w:rPr>
        <w:t xml:space="preserve">significantly concerned with the quality and safety of supported independent living delivered in group settings of </w:t>
      </w:r>
      <w:r w:rsidR="00CC4FA3" w:rsidRPr="005B05B3">
        <w:rPr>
          <w:rFonts w:eastAsia="Aptos" w:cstheme="minorHAnsi"/>
          <w:b/>
          <w:bCs/>
        </w:rPr>
        <w:t>p</w:t>
      </w:r>
      <w:r w:rsidRPr="005B05B3">
        <w:rPr>
          <w:rFonts w:eastAsia="Aptos" w:cstheme="minorHAnsi"/>
          <w:b/>
          <w:bCs/>
        </w:rPr>
        <w:t>articipants</w:t>
      </w:r>
      <w:r w:rsidRPr="005B05B3">
        <w:rPr>
          <w:rFonts w:eastAsia="Aptos" w:cstheme="minorHAnsi"/>
        </w:rPr>
        <w:t xml:space="preserve">. That concern deepens where those </w:t>
      </w:r>
      <w:r w:rsidR="00CC4FA3" w:rsidRPr="005B05B3">
        <w:rPr>
          <w:rFonts w:eastAsia="Aptos" w:cstheme="minorHAnsi"/>
        </w:rPr>
        <w:t>p</w:t>
      </w:r>
      <w:r w:rsidRPr="005B05B3">
        <w:rPr>
          <w:rFonts w:eastAsia="Aptos" w:cstheme="minorHAnsi"/>
        </w:rPr>
        <w:t>articipants have not chosen to live with each other or did not know each other prior to living together. We are not persuaded that the outcomes achieved in this type of support meet the needs of participants</w:t>
      </w:r>
      <w:r w:rsidR="002C33F6" w:rsidRPr="005B05B3">
        <w:rPr>
          <w:rFonts w:eastAsia="Aptos" w:cstheme="minorHAnsi"/>
        </w:rPr>
        <w:t xml:space="preserve"> and</w:t>
      </w:r>
      <w:r w:rsidRPr="005B05B3">
        <w:rPr>
          <w:rFonts w:eastAsia="Aptos" w:cstheme="minorHAnsi"/>
        </w:rPr>
        <w:t xml:space="preserve"> </w:t>
      </w:r>
      <w:r w:rsidR="37B78754" w:rsidRPr="005B05B3">
        <w:rPr>
          <w:rFonts w:eastAsia="Aptos" w:cstheme="minorHAnsi"/>
        </w:rPr>
        <w:t>are an appropriate use of</w:t>
      </w:r>
      <w:r w:rsidRPr="005B05B3">
        <w:rPr>
          <w:rFonts w:eastAsia="Aptos" w:cstheme="minorHAnsi"/>
        </w:rPr>
        <w:t xml:space="preserve"> funding provided by government or community expectations.</w:t>
      </w:r>
    </w:p>
    <w:p w14:paraId="669E90B4" w14:textId="77777777" w:rsidR="007C5663" w:rsidRPr="005B05B3" w:rsidRDefault="007C5663">
      <w:pPr>
        <w:spacing w:after="0" w:line="240" w:lineRule="auto"/>
        <w:sectPr w:rsidR="007C5663" w:rsidRPr="005B05B3" w:rsidSect="00135BB3">
          <w:pgSz w:w="11906" w:h="16838"/>
          <w:pgMar w:top="1768" w:right="1252" w:bottom="1440" w:left="1440" w:header="907" w:footer="709" w:gutter="0"/>
          <w:cols w:space="708"/>
          <w:titlePg/>
          <w:docGrid w:linePitch="360"/>
        </w:sectPr>
      </w:pPr>
    </w:p>
    <w:p w14:paraId="05626F3B" w14:textId="7389EFCC" w:rsidR="007077AB" w:rsidRPr="005B05B3" w:rsidRDefault="2A46BF3B" w:rsidP="003D1E8C">
      <w:pPr>
        <w:pStyle w:val="Heading1"/>
        <w:spacing w:line="240" w:lineRule="auto"/>
      </w:pPr>
      <w:bookmarkStart w:id="27" w:name="_Toc173318053"/>
      <w:r w:rsidRPr="005B05B3">
        <w:lastRenderedPageBreak/>
        <w:t xml:space="preserve">Defining </w:t>
      </w:r>
      <w:r w:rsidR="00C4436E" w:rsidRPr="005B05B3">
        <w:t>‘</w:t>
      </w:r>
      <w:r w:rsidRPr="005B05B3">
        <w:t>Providers</w:t>
      </w:r>
      <w:r w:rsidR="00C4436E" w:rsidRPr="005B05B3">
        <w:t>’</w:t>
      </w:r>
      <w:r w:rsidRPr="005B05B3">
        <w:t xml:space="preserve"> and the scope of registration</w:t>
      </w:r>
      <w:bookmarkEnd w:id="27"/>
    </w:p>
    <w:p w14:paraId="2AAF3BE2" w14:textId="0DC16A43" w:rsidR="003F4912" w:rsidRPr="005B05B3" w:rsidRDefault="00C964CB" w:rsidP="00720C9B">
      <w:pPr>
        <w:spacing w:before="240" w:after="0"/>
        <w:rPr>
          <w:rFonts w:eastAsia="Aptos"/>
          <w:b/>
          <w:bCs/>
          <w:color w:val="auto"/>
        </w:rPr>
      </w:pPr>
      <w:r w:rsidRPr="005B05B3">
        <w:rPr>
          <w:noProof/>
        </w:rPr>
        <mc:AlternateContent>
          <mc:Choice Requires="wps">
            <w:drawing>
              <wp:anchor distT="0" distB="0" distL="114300" distR="114300" simplePos="0" relativeHeight="251655168" behindDoc="1" locked="0" layoutInCell="1" allowOverlap="1" wp14:anchorId="4C2B6959" wp14:editId="2C1A418F">
                <wp:simplePos x="0" y="0"/>
                <wp:positionH relativeFrom="column">
                  <wp:posOffset>-154983</wp:posOffset>
                </wp:positionH>
                <wp:positionV relativeFrom="paragraph">
                  <wp:posOffset>6910</wp:posOffset>
                </wp:positionV>
                <wp:extent cx="6123963" cy="3487118"/>
                <wp:effectExtent l="0" t="0" r="0" b="5715"/>
                <wp:wrapNone/>
                <wp:docPr id="104050525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3963" cy="3487118"/>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FF346" id="Rectangle 1" o:spid="_x0000_s1026" alt="&quot;&quot;" style="position:absolute;margin-left:-12.2pt;margin-top:.55pt;width:482.2pt;height:27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" fillcolor="#e8e8e8 [3214]" stroked="f" strokeweight="1pt"/>
            </w:pict>
          </mc:Fallback>
        </mc:AlternateContent>
      </w:r>
      <w:r w:rsidR="003F4912" w:rsidRPr="005B05B3">
        <w:rPr>
          <w:rFonts w:eastAsia="Aptos"/>
          <w:b/>
          <w:bCs/>
          <w:color w:val="auto"/>
        </w:rPr>
        <w:t>Recommendation 1</w:t>
      </w:r>
    </w:p>
    <w:p w14:paraId="75614E4A" w14:textId="77777777" w:rsidR="003A53E6" w:rsidRPr="005B05B3" w:rsidRDefault="003A53E6" w:rsidP="003A53E6">
      <w:pPr>
        <w:spacing w:after="120"/>
        <w:rPr>
          <w:rFonts w:eastAsia="Aptos"/>
          <w:color w:val="auto"/>
        </w:rPr>
      </w:pPr>
      <w:r w:rsidRPr="005B05B3">
        <w:rPr>
          <w:rFonts w:eastAsia="Aptos"/>
          <w:color w:val="auto"/>
        </w:rPr>
        <w:t>The Taskforce proposes that not all providers as defined in the NDIS Act should be registered. But to determine the best way to achieve that</w:t>
      </w:r>
      <w:r>
        <w:rPr>
          <w:rFonts w:eastAsia="Aptos"/>
          <w:color w:val="auto"/>
        </w:rPr>
        <w:t>,</w:t>
      </w:r>
      <w:r w:rsidRPr="005B05B3">
        <w:rPr>
          <w:rFonts w:eastAsia="Aptos"/>
          <w:color w:val="auto"/>
        </w:rPr>
        <w:t xml:space="preserve"> and avoid unintended consequences</w:t>
      </w:r>
      <w:r>
        <w:rPr>
          <w:rFonts w:eastAsia="Aptos"/>
          <w:color w:val="auto"/>
        </w:rPr>
        <w:t>,</w:t>
      </w:r>
      <w:r w:rsidRPr="005B05B3">
        <w:rPr>
          <w:rFonts w:eastAsia="Aptos"/>
          <w:color w:val="auto"/>
        </w:rPr>
        <w:t xml:space="preserve"> requires further consideration, including consultation with the disability community and sector. We anticipate that those who would </w:t>
      </w:r>
      <w:r w:rsidRPr="005B05B3">
        <w:rPr>
          <w:rFonts w:eastAsia="Aptos"/>
          <w:color w:val="auto"/>
          <w:u w:val="single"/>
        </w:rPr>
        <w:t>not</w:t>
      </w:r>
      <w:r w:rsidRPr="005B05B3">
        <w:rPr>
          <w:rFonts w:eastAsia="Aptos"/>
          <w:color w:val="auto"/>
        </w:rPr>
        <w:t xml:space="preserve"> be registered would include, but not be limited to:</w:t>
      </w:r>
    </w:p>
    <w:p w14:paraId="3105643F" w14:textId="77777777" w:rsidR="003A53E6" w:rsidRPr="005B05B3" w:rsidRDefault="003A53E6" w:rsidP="002D6AB8">
      <w:pPr>
        <w:pStyle w:val="ListParagraph"/>
        <w:numPr>
          <w:ilvl w:val="0"/>
          <w:numId w:val="45"/>
        </w:numPr>
      </w:pPr>
      <w:r w:rsidRPr="005B05B3">
        <w:t>unregistered providers who provide support to participants who are registered as having self-directed support</w:t>
      </w:r>
    </w:p>
    <w:p w14:paraId="36E38600" w14:textId="77777777" w:rsidR="003A53E6" w:rsidRPr="005B05B3" w:rsidRDefault="003A53E6" w:rsidP="002D6AB8">
      <w:pPr>
        <w:pStyle w:val="ListParagraph"/>
        <w:numPr>
          <w:ilvl w:val="0"/>
          <w:numId w:val="45"/>
        </w:numPr>
        <w:rPr>
          <w:rFonts w:eastAsia="Aptos"/>
          <w:color w:val="auto"/>
        </w:rPr>
      </w:pPr>
      <w:r w:rsidRPr="005B05B3">
        <w:rPr>
          <w:rFonts w:eastAsia="Aptos"/>
          <w:color w:val="auto"/>
        </w:rPr>
        <w:t>goods purchased off-the-shelf from mainstream providers. In these instances, the visibility created through evidence of purchase should be sufficient.</w:t>
      </w:r>
      <w:r w:rsidRPr="005B05B3">
        <w:rPr>
          <w:noProof/>
        </w:rPr>
        <w:t xml:space="preserve"> </w:t>
      </w:r>
    </w:p>
    <w:p w14:paraId="1D34E984" w14:textId="614A520E" w:rsidR="00644972" w:rsidRDefault="00644972" w:rsidP="00720C9B">
      <w:pPr>
        <w:spacing w:after="0"/>
        <w:rPr>
          <w:rFonts w:eastAsia="Aptos"/>
          <w:b/>
          <w:bCs/>
          <w:color w:val="auto"/>
        </w:rPr>
      </w:pPr>
      <w:r w:rsidRPr="005B05B3">
        <w:rPr>
          <w:rFonts w:eastAsia="Aptos"/>
          <w:b/>
          <w:bCs/>
          <w:color w:val="auto"/>
        </w:rPr>
        <w:t>Recommendation 2</w:t>
      </w:r>
    </w:p>
    <w:p w14:paraId="6BC25D81" w14:textId="1E32BC16" w:rsidR="003A53E6" w:rsidRPr="003A53E6" w:rsidRDefault="003A53E6" w:rsidP="00F51B9B">
      <w:pPr>
        <w:spacing w:after="360"/>
        <w:rPr>
          <w:rFonts w:eastAsia="Aptos"/>
          <w:color w:val="auto"/>
        </w:rPr>
      </w:pPr>
      <w:r w:rsidRPr="005B05B3">
        <w:rPr>
          <w:rFonts w:eastAsia="Aptos"/>
          <w:color w:val="auto"/>
        </w:rPr>
        <w:t>The Taskforce acknowledges that visibility of payments is important to the integrity of the NDIS. To ensure visibility of NDIS funding, the Taskforce adopts Recommendation 10.3 of the NDIS Review, that the National Disability Insurance Agency (NDIA) should transition to fully electronic payments to improve the visibility of payments.</w:t>
      </w:r>
    </w:p>
    <w:p w14:paraId="018B6DB7" w14:textId="4BA54343" w:rsidR="002A42BF" w:rsidRPr="005B05B3" w:rsidRDefault="002A42BF" w:rsidP="00F51B9B">
      <w:r w:rsidRPr="005B05B3">
        <w:t>The legislative definition of a NDIS Provider underpins the regulatory model and is essential to determini</w:t>
      </w:r>
      <w:r w:rsidR="00E0471D" w:rsidRPr="005B05B3">
        <w:t>n</w:t>
      </w:r>
      <w:r w:rsidRPr="005B05B3">
        <w:t xml:space="preserve">g the application of the proposed registration model and focusing the regulator’s powers. Currently, the </w:t>
      </w:r>
      <w:r w:rsidRPr="005B05B3">
        <w:rPr>
          <w:i/>
          <w:iCs/>
        </w:rPr>
        <w:t xml:space="preserve">National Disability Insurance Scheme Act 2013 </w:t>
      </w:r>
      <w:r w:rsidRPr="005B05B3">
        <w:t xml:space="preserve">(Cth) defines a NDIS </w:t>
      </w:r>
      <w:r w:rsidR="000D4EBD" w:rsidRPr="005B05B3">
        <w:t>p</w:t>
      </w:r>
      <w:r w:rsidRPr="005B05B3">
        <w:t xml:space="preserve">rovider to be anyone who receives NDIS funding that is not a </w:t>
      </w:r>
      <w:r w:rsidR="00DF7F96" w:rsidRPr="005B05B3">
        <w:t>p</w:t>
      </w:r>
      <w:r w:rsidRPr="005B05B3">
        <w:t>articipant.</w:t>
      </w:r>
      <w:r w:rsidRPr="005B05B3">
        <w:rPr>
          <w:rStyle w:val="FootnoteReference"/>
        </w:rPr>
        <w:footnoteReference w:id="19"/>
      </w:r>
      <w:r w:rsidRPr="005B05B3">
        <w:t xml:space="preserve"> While, under the current </w:t>
      </w:r>
      <w:r w:rsidRPr="00925209">
        <w:t>model</w:t>
      </w:r>
      <w:r w:rsidRPr="005B05B3">
        <w:t xml:space="preserve">, not all NDIS </w:t>
      </w:r>
      <w:r w:rsidR="00206AF1" w:rsidRPr="005B05B3">
        <w:t>p</w:t>
      </w:r>
      <w:r w:rsidRPr="005B05B3">
        <w:t>roviders are required to be registered, they are all subject to the Code of Conduct and complaints can be made to the NDIS Commission for breaches to the Code of Conduct.</w:t>
      </w:r>
      <w:r w:rsidRPr="005B05B3">
        <w:rPr>
          <w:rStyle w:val="FootnoteReference"/>
        </w:rPr>
        <w:footnoteReference w:id="20"/>
      </w:r>
      <w:r w:rsidRPr="005B05B3">
        <w:t xml:space="preserve"> The NDIS Commission is able to exercise regulatory powers against any NDIS </w:t>
      </w:r>
      <w:r w:rsidR="00B8037C" w:rsidRPr="005B05B3">
        <w:t>p</w:t>
      </w:r>
      <w:r w:rsidRPr="005B05B3">
        <w:t xml:space="preserve">rovider, including to ban workers, </w:t>
      </w:r>
      <w:r w:rsidR="007D3785" w:rsidRPr="005B05B3">
        <w:t>issue</w:t>
      </w:r>
      <w:r w:rsidRPr="005B05B3">
        <w:t xml:space="preserve"> infringement notices, enforceable undertakings</w:t>
      </w:r>
      <w:r w:rsidR="00B3493A" w:rsidRPr="005B05B3">
        <w:t xml:space="preserve"> and</w:t>
      </w:r>
      <w:r w:rsidRPr="005B05B3">
        <w:t xml:space="preserve"> corrective action requests, </w:t>
      </w:r>
      <w:r w:rsidR="00B3493A" w:rsidRPr="005B05B3">
        <w:t xml:space="preserve">undertake </w:t>
      </w:r>
      <w:r w:rsidRPr="005B05B3">
        <w:t>audits</w:t>
      </w:r>
      <w:r w:rsidR="002211AF" w:rsidRPr="005B05B3">
        <w:t>, injunctions</w:t>
      </w:r>
      <w:r w:rsidRPr="005B05B3">
        <w:t xml:space="preserve"> and initiate civil proceedings.</w:t>
      </w:r>
      <w:r w:rsidRPr="005B05B3">
        <w:rPr>
          <w:rStyle w:val="FootnoteReference"/>
        </w:rPr>
        <w:footnoteReference w:id="21"/>
      </w:r>
      <w:r w:rsidRPr="005B05B3">
        <w:t xml:space="preserve"> </w:t>
      </w:r>
      <w:r w:rsidR="2D0E9CFA" w:rsidRPr="005B05B3">
        <w:t>T</w:t>
      </w:r>
      <w:r w:rsidR="00AB05D5" w:rsidRPr="005B05B3">
        <w:t>he NDIS Commission can also revoke, vary</w:t>
      </w:r>
      <w:r w:rsidR="006B442C" w:rsidRPr="005B05B3">
        <w:t>, impose conditions</w:t>
      </w:r>
      <w:r w:rsidR="00AB05D5" w:rsidRPr="005B05B3">
        <w:t xml:space="preserve"> or suspend registration</w:t>
      </w:r>
      <w:r w:rsidR="005B4E75" w:rsidRPr="005B05B3">
        <w:t xml:space="preserve"> of registered providers.</w:t>
      </w:r>
    </w:p>
    <w:p w14:paraId="2A40A4D1" w14:textId="368CECA5" w:rsidR="002A42BF" w:rsidRPr="005B05B3" w:rsidRDefault="002A42BF" w:rsidP="00FC6A9E">
      <w:pPr>
        <w:rPr>
          <w:rStyle w:val="FootnoteReference"/>
        </w:rPr>
      </w:pPr>
      <w:r w:rsidRPr="005B05B3">
        <w:lastRenderedPageBreak/>
        <w:t xml:space="preserve">Despite this broad definition, without registration, </w:t>
      </w:r>
      <w:r w:rsidR="09CB2792" w:rsidRPr="005B05B3">
        <w:t xml:space="preserve">NDIS </w:t>
      </w:r>
      <w:r w:rsidR="009E7FDE" w:rsidRPr="005B05B3">
        <w:t>p</w:t>
      </w:r>
      <w:r w:rsidRPr="005B05B3">
        <w:t xml:space="preserve">roviders are not visible to the NDIS Commission </w:t>
      </w:r>
      <w:r w:rsidR="00CA576D" w:rsidRPr="005B05B3">
        <w:t>or the NDIA</w:t>
      </w:r>
      <w:r w:rsidR="00C406D4" w:rsidRPr="005B05B3">
        <w:t xml:space="preserve">. </w:t>
      </w:r>
      <w:r w:rsidR="000C1F7F" w:rsidRPr="005B05B3">
        <w:t>This hinders</w:t>
      </w:r>
      <w:r w:rsidRPr="005B05B3">
        <w:t xml:space="preserve"> market intervention when needed and </w:t>
      </w:r>
      <w:r w:rsidRPr="004B03C4">
        <w:t>reduces the regulatory intelligence available to improve market performance.</w:t>
      </w:r>
      <w:r w:rsidRPr="004B03C4">
        <w:rPr>
          <w:rStyle w:val="FootnoteReference"/>
        </w:rPr>
        <w:footnoteReference w:id="22"/>
      </w:r>
      <w:r w:rsidR="00FC6A9E" w:rsidRPr="004B03C4">
        <w:t xml:space="preserve"> The Taskforce heard from various stakeholders, including unregistered providers, that the NDIS Commission should have oversight of all providers under the Scheme.</w:t>
      </w:r>
      <w:r w:rsidR="00FC6A9E" w:rsidRPr="004B03C4">
        <w:rPr>
          <w:rStyle w:val="FootnoteReference"/>
        </w:rPr>
        <w:footnoteReference w:id="23"/>
      </w:r>
    </w:p>
    <w:p w14:paraId="05CD9DA1" w14:textId="58B4EE37" w:rsidR="002A42BF" w:rsidRPr="004B03C4" w:rsidRDefault="337FFC05" w:rsidP="00F97F79">
      <w:pPr>
        <w:pStyle w:val="Quote"/>
        <w:rPr>
          <w:rStyle w:val="FootnoteReference"/>
        </w:rPr>
      </w:pPr>
      <w:r w:rsidRPr="00F97F79">
        <w:t>Monitoring, complaints and feedback mechanisms would be an essential part of the regulatory intelligence framework that contribute to the overall success of the system</w:t>
      </w:r>
      <w:r w:rsidR="009708C5" w:rsidRPr="00F97F79">
        <w:t>.</w:t>
      </w:r>
      <w:r w:rsidR="3109138A" w:rsidRPr="00F97F79">
        <w:t xml:space="preserve"> </w:t>
      </w:r>
      <w:r w:rsidR="002A42BF" w:rsidRPr="004B03C4">
        <w:rPr>
          <w:rStyle w:val="FootnoteReference"/>
        </w:rPr>
        <w:footnoteReference w:id="24"/>
      </w:r>
      <w:r w:rsidR="002A42BF" w:rsidRPr="004B03C4">
        <w:t xml:space="preserve"> </w:t>
      </w:r>
    </w:p>
    <w:p w14:paraId="6801D612" w14:textId="29FD70D2" w:rsidR="55274177" w:rsidRPr="00F97F79" w:rsidRDefault="55274177" w:rsidP="00F97F79">
      <w:pPr>
        <w:pStyle w:val="Quote"/>
      </w:pPr>
      <w:r w:rsidRPr="00F97F79">
        <w:t>The lack of effective regulation and monitoring of services is a contributing factor in this violence and abuse, including through the lack of visibility and regulation of unregistered providers as well as a lack of effective regulation for registered providers. These issues become even more critical for people who live or work in closed settings such as group homes or ADEs and may have limited informal support networks.</w:t>
      </w:r>
      <w:r w:rsidRPr="004B03C4">
        <w:rPr>
          <w:rStyle w:val="FootnoteReference"/>
          <w:sz w:val="22"/>
          <w:szCs w:val="22"/>
        </w:rPr>
        <w:footnoteReference w:id="25"/>
      </w:r>
    </w:p>
    <w:p w14:paraId="31D65F97" w14:textId="5E241D9F" w:rsidR="002A42BF" w:rsidRPr="00F525DA" w:rsidRDefault="1E635888" w:rsidP="001879E5">
      <w:pPr>
        <w:spacing w:before="360" w:after="120"/>
        <w:rPr>
          <w:color w:val="0D2B58"/>
          <w:sz w:val="32"/>
          <w:szCs w:val="32"/>
        </w:rPr>
      </w:pPr>
      <w:bookmarkStart w:id="28" w:name="_Toc170128723"/>
      <w:bookmarkStart w:id="29" w:name="_Toc170808346"/>
      <w:bookmarkStart w:id="30" w:name="_Toc170919669"/>
      <w:r w:rsidRPr="00F525DA">
        <w:rPr>
          <w:color w:val="0D2B58"/>
          <w:sz w:val="32"/>
          <w:szCs w:val="32"/>
        </w:rPr>
        <w:t>Reflections from the NDIS Review</w:t>
      </w:r>
      <w:bookmarkEnd w:id="28"/>
      <w:bookmarkEnd w:id="29"/>
      <w:bookmarkEnd w:id="30"/>
    </w:p>
    <w:p w14:paraId="70342D26" w14:textId="468B5588" w:rsidR="004401AB" w:rsidRPr="005B05B3" w:rsidRDefault="002A42BF" w:rsidP="005F1E53">
      <w:r w:rsidRPr="005B05B3">
        <w:t xml:space="preserve">The NDIS Review recommended that all NDIS </w:t>
      </w:r>
      <w:r w:rsidR="009E7FDE" w:rsidRPr="005B05B3">
        <w:t>p</w:t>
      </w:r>
      <w:r w:rsidRPr="005B05B3">
        <w:t xml:space="preserve">roviders, as currently defined </w:t>
      </w:r>
      <w:r w:rsidR="273165E8" w:rsidRPr="005B05B3">
        <w:t>in the NDIS Act</w:t>
      </w:r>
      <w:r w:rsidRPr="005B05B3">
        <w:t xml:space="preserve"> be registered or enrolled.</w:t>
      </w:r>
      <w:r w:rsidRPr="005B05B3">
        <w:rPr>
          <w:rStyle w:val="FootnoteReference"/>
        </w:rPr>
        <w:t xml:space="preserve"> </w:t>
      </w:r>
      <w:r w:rsidRPr="005B05B3">
        <w:rPr>
          <w:rStyle w:val="FootnoteReference"/>
        </w:rPr>
        <w:footnoteReference w:id="26"/>
      </w:r>
      <w:r w:rsidRPr="005B05B3">
        <w:t xml:space="preserve"> In their view, registration and enrolment would provide visibility of NDIS </w:t>
      </w:r>
      <w:r w:rsidR="009E7FDE" w:rsidRPr="005B05B3">
        <w:t>p</w:t>
      </w:r>
      <w:r w:rsidRPr="005B05B3">
        <w:t>roviders which is needed for effective market stewardship.</w:t>
      </w:r>
      <w:r w:rsidRPr="005B05B3">
        <w:rPr>
          <w:rStyle w:val="FootnoteReference"/>
        </w:rPr>
        <w:footnoteReference w:id="27"/>
      </w:r>
      <w:r w:rsidRPr="005B05B3">
        <w:t xml:space="preserve"> By maintaining th</w:t>
      </w:r>
      <w:r w:rsidR="5E407A9D" w:rsidRPr="005B05B3">
        <w:t>e current</w:t>
      </w:r>
      <w:r w:rsidRPr="005B05B3">
        <w:t xml:space="preserve"> definition</w:t>
      </w:r>
      <w:r w:rsidR="199E82B0" w:rsidRPr="005B05B3">
        <w:t xml:space="preserve"> and applying a mandatory registration scheme</w:t>
      </w:r>
      <w:r w:rsidRPr="005B05B3">
        <w:t xml:space="preserve">, a broad range of organisations would be </w:t>
      </w:r>
      <w:r w:rsidR="2BD2888C" w:rsidRPr="005B05B3">
        <w:t>included</w:t>
      </w:r>
      <w:r w:rsidR="29DE3D4F" w:rsidRPr="005B05B3">
        <w:t xml:space="preserve"> </w:t>
      </w:r>
      <w:r w:rsidR="7BAD247E" w:rsidRPr="005B05B3">
        <w:t xml:space="preserve">in </w:t>
      </w:r>
      <w:r w:rsidR="29DE3D4F" w:rsidRPr="005B05B3">
        <w:t xml:space="preserve">the </w:t>
      </w:r>
      <w:r w:rsidR="044D897A" w:rsidRPr="005B05B3">
        <w:t>n</w:t>
      </w:r>
      <w:r w:rsidR="29DE3D4F" w:rsidRPr="005B05B3">
        <w:t>ew registration model</w:t>
      </w:r>
      <w:r w:rsidRPr="005B05B3">
        <w:t xml:space="preserve">, from mainstream retailers where </w:t>
      </w:r>
      <w:r w:rsidR="00CC4FA3" w:rsidRPr="005B05B3">
        <w:t>p</w:t>
      </w:r>
      <w:r w:rsidRPr="005B05B3">
        <w:t xml:space="preserve">articipants purchase </w:t>
      </w:r>
      <w:r w:rsidR="26900D94" w:rsidRPr="005B05B3">
        <w:t>c</w:t>
      </w:r>
      <w:r w:rsidRPr="005B05B3">
        <w:t xml:space="preserve">onsumables and low-cost  Assistive Technology from suppliers </w:t>
      </w:r>
      <w:r w:rsidRPr="005F1E53">
        <w:t>such</w:t>
      </w:r>
      <w:r w:rsidRPr="005B05B3">
        <w:t xml:space="preserve"> as Woolworths, JB Hi-F</w:t>
      </w:r>
      <w:r w:rsidR="007C62B5" w:rsidRPr="005B05B3">
        <w:t>i</w:t>
      </w:r>
      <w:r w:rsidRPr="005B05B3">
        <w:t xml:space="preserve"> and Bunnings to specialist disability support services available nationwide.</w:t>
      </w:r>
    </w:p>
    <w:p w14:paraId="01A30FC6" w14:textId="1050D73A" w:rsidR="002A42BF" w:rsidRPr="005B05B3" w:rsidRDefault="002A42BF" w:rsidP="002A42BF">
      <w:r w:rsidRPr="005B05B3">
        <w:t xml:space="preserve">The Taskforce spent significant time exploring the feasibility of registering and enrolling this considerable breadth of NDIS </w:t>
      </w:r>
      <w:r w:rsidR="009E7FDE" w:rsidRPr="005B05B3">
        <w:t>p</w:t>
      </w:r>
      <w:r w:rsidRPr="005B05B3">
        <w:t>roviders</w:t>
      </w:r>
      <w:r w:rsidR="70F0573A" w:rsidRPr="005B05B3">
        <w:t>, noting that it would provide full visibility of where NDIS funding was spent</w:t>
      </w:r>
      <w:r w:rsidRPr="005B05B3">
        <w:t xml:space="preserve">. </w:t>
      </w:r>
      <w:r w:rsidR="3058E425" w:rsidRPr="005B05B3">
        <w:t xml:space="preserve">However, </w:t>
      </w:r>
      <w:r w:rsidR="3CD16E3D" w:rsidRPr="005B05B3">
        <w:t>w</w:t>
      </w:r>
      <w:r w:rsidRPr="005B05B3">
        <w:t>e found that there w</w:t>
      </w:r>
      <w:r w:rsidR="5FD9BB9F" w:rsidRPr="005B05B3">
        <w:t>ere</w:t>
      </w:r>
      <w:r w:rsidRPr="005B05B3">
        <w:t xml:space="preserve"> significant unintended consequence of this approach, including that it would monitor the decisions of </w:t>
      </w:r>
      <w:r w:rsidR="00CC4FA3" w:rsidRPr="005B05B3">
        <w:t>p</w:t>
      </w:r>
      <w:r w:rsidRPr="005B05B3">
        <w:t>articipants when spending their funding</w:t>
      </w:r>
      <w:r w:rsidR="3F92DA04" w:rsidRPr="005B05B3">
        <w:t xml:space="preserve">. </w:t>
      </w:r>
      <w:r w:rsidR="0C2EC525" w:rsidRPr="005B05B3">
        <w:t>Further, in our view, the purpose of a registration is to set quality and safeguarding within service delivery</w:t>
      </w:r>
      <w:r w:rsidR="4C843F67" w:rsidRPr="005B05B3">
        <w:t xml:space="preserve"> and visibility of providers</w:t>
      </w:r>
      <w:r w:rsidR="0C2EC525" w:rsidRPr="005B05B3">
        <w:t>.</w:t>
      </w:r>
    </w:p>
    <w:p w14:paraId="29FD70BE" w14:textId="6A403B58" w:rsidR="00590C71" w:rsidRPr="005B05B3" w:rsidRDefault="002A42BF" w:rsidP="001879E5">
      <w:pPr>
        <w:spacing w:after="360"/>
      </w:pPr>
      <w:r w:rsidRPr="005B05B3">
        <w:t xml:space="preserve">We also investigated what enrolment would look like for major retailers and other mainstream organisations that do not have the primary purpose of providing goods or services to people with disability. While we felt assured that all organisations were </w:t>
      </w:r>
      <w:r w:rsidRPr="005B05B3">
        <w:lastRenderedPageBreak/>
        <w:t>committed to</w:t>
      </w:r>
      <w:r w:rsidR="529D342C" w:rsidRPr="005B05B3">
        <w:t xml:space="preserve"> ensuring services could continue to provide</w:t>
      </w:r>
      <w:r w:rsidRPr="005B05B3">
        <w:t xml:space="preserve"> services to people with disability, there seemed to be an absence of value-add to the quality-of-service delivery by requiring enrolment.</w:t>
      </w:r>
      <w:r w:rsidRPr="005B05B3">
        <w:rPr>
          <w:rStyle w:val="FootnoteReference"/>
        </w:rPr>
        <w:footnoteReference w:id="28"/>
      </w:r>
      <w:r w:rsidRPr="005B05B3">
        <w:t xml:space="preserve"> There was also well-founded concern that the obligations imposed on these non-disability specific goods and services, such as major retailers, would, at best receive no value-add by the imposition of provider obligations such as the complaints process and at worst, would present such a dramatic impact on the business (such as requiring all staff of a major retailer to undergo worker screening for all employees) that it would see businesses stop providing goods and services to</w:t>
      </w:r>
      <w:r w:rsidR="2790BE82" w:rsidRPr="005B05B3">
        <w:t xml:space="preserve"> </w:t>
      </w:r>
      <w:r w:rsidRPr="005B05B3">
        <w:t xml:space="preserve">NDIS </w:t>
      </w:r>
      <w:r w:rsidR="00CC4FA3" w:rsidRPr="005B05B3">
        <w:t>p</w:t>
      </w:r>
      <w:r w:rsidRPr="005B05B3">
        <w:t xml:space="preserve">articipants. The Taskforce also did not find evidence of significant concerns of abuse, neglect, exploitation or </w:t>
      </w:r>
      <w:r w:rsidRPr="00AD43D0">
        <w:t>price gouging in these goods or services which would benefit from regulatory intervention.</w:t>
      </w:r>
      <w:r w:rsidR="00590C71" w:rsidRPr="00AD43D0">
        <w:t xml:space="preserve"> The Taskforce heard </w:t>
      </w:r>
      <w:r w:rsidR="004B03C4" w:rsidRPr="00AD43D0">
        <w:t xml:space="preserve">through submission that participants </w:t>
      </w:r>
      <w:r w:rsidR="00590C71" w:rsidRPr="00AD43D0">
        <w:t xml:space="preserve"> </w:t>
      </w:r>
      <w:r w:rsidR="00E53DBD">
        <w:t xml:space="preserve">on the whole </w:t>
      </w:r>
      <w:r w:rsidR="00590C71" w:rsidRPr="00AD43D0">
        <w:t>found mainstream services including supermarkets and online retailers more cost effective than registered providers and benefited from greater flexibility in delivery options to their location.</w:t>
      </w:r>
      <w:r w:rsidR="00590C71" w:rsidRPr="00AD43D0">
        <w:rPr>
          <w:rStyle w:val="FootnoteReference"/>
        </w:rPr>
        <w:footnoteReference w:id="29"/>
      </w:r>
    </w:p>
    <w:p w14:paraId="74802CCB" w14:textId="170D52C2" w:rsidR="002A42BF" w:rsidRPr="005B05B3" w:rsidRDefault="1E635888" w:rsidP="001879E5">
      <w:pPr>
        <w:pStyle w:val="TSDAltHeading2"/>
        <w:spacing w:before="240"/>
      </w:pPr>
      <w:bookmarkStart w:id="31" w:name="_Toc170128725"/>
      <w:bookmarkStart w:id="32" w:name="_Toc173318054"/>
      <w:r w:rsidRPr="005B05B3">
        <w:t xml:space="preserve">Defining </w:t>
      </w:r>
      <w:r w:rsidR="41182EA9" w:rsidRPr="005B05B3">
        <w:t xml:space="preserve">the scope of </w:t>
      </w:r>
      <w:r w:rsidR="00C64811" w:rsidRPr="00EB2989">
        <w:rPr>
          <w:rFonts w:eastAsiaTheme="majorEastAsia"/>
        </w:rPr>
        <w:t xml:space="preserve">a </w:t>
      </w:r>
      <w:r w:rsidR="009443CA" w:rsidRPr="00EB2989">
        <w:rPr>
          <w:rFonts w:eastAsiaTheme="majorEastAsia"/>
        </w:rPr>
        <w:t>‘P</w:t>
      </w:r>
      <w:r w:rsidR="00C64811" w:rsidRPr="00EB2989">
        <w:rPr>
          <w:rFonts w:eastAsiaTheme="majorEastAsia"/>
        </w:rPr>
        <w:t>rovider</w:t>
      </w:r>
      <w:r w:rsidR="009443CA" w:rsidRPr="00EB2989">
        <w:rPr>
          <w:rFonts w:eastAsiaTheme="majorEastAsia"/>
        </w:rPr>
        <w:t>’</w:t>
      </w:r>
      <w:r w:rsidR="00C64811" w:rsidRPr="00EB2989">
        <w:rPr>
          <w:rFonts w:eastAsiaTheme="majorEastAsia"/>
        </w:rPr>
        <w:t xml:space="preserve"> within </w:t>
      </w:r>
      <w:r w:rsidR="41182EA9" w:rsidRPr="005B05B3">
        <w:t>the registration model</w:t>
      </w:r>
      <w:bookmarkEnd w:id="31"/>
      <w:bookmarkEnd w:id="32"/>
    </w:p>
    <w:p w14:paraId="74437030" w14:textId="3D317DFA" w:rsidR="002A42BF" w:rsidRPr="005B05B3" w:rsidRDefault="491431D2" w:rsidP="005F1E53">
      <w:r w:rsidRPr="005B05B3">
        <w:t xml:space="preserve">The Taskforce is of </w:t>
      </w:r>
      <w:r w:rsidRPr="005F1E53">
        <w:t>the</w:t>
      </w:r>
      <w:r w:rsidRPr="005B05B3">
        <w:t xml:space="preserve"> view that </w:t>
      </w:r>
      <w:r w:rsidRPr="005B05B3">
        <w:rPr>
          <w:b/>
          <w:bCs/>
        </w:rPr>
        <w:t>not all providers</w:t>
      </w:r>
      <w:r w:rsidR="7517809D" w:rsidRPr="005B05B3">
        <w:rPr>
          <w:b/>
          <w:bCs/>
        </w:rPr>
        <w:t>, as currently defined,</w:t>
      </w:r>
      <w:r w:rsidRPr="005B05B3">
        <w:rPr>
          <w:b/>
          <w:bCs/>
        </w:rPr>
        <w:t xml:space="preserve"> should be registered</w:t>
      </w:r>
      <w:r w:rsidR="002B1968" w:rsidRPr="005B05B3">
        <w:rPr>
          <w:b/>
          <w:bCs/>
        </w:rPr>
        <w:t>.</w:t>
      </w:r>
      <w:r w:rsidRPr="005B05B3">
        <w:t xml:space="preserve"> </w:t>
      </w:r>
      <w:r w:rsidR="002B1968" w:rsidRPr="005B05B3">
        <w:t xml:space="preserve">However, </w:t>
      </w:r>
      <w:r w:rsidRPr="005B05B3">
        <w:t>the way in which this can be achieved</w:t>
      </w:r>
      <w:r w:rsidR="00A11BC1" w:rsidRPr="005B05B3">
        <w:t>—</w:t>
      </w:r>
      <w:r w:rsidRPr="005B05B3">
        <w:t>through redesign of the legislative def</w:t>
      </w:r>
      <w:r w:rsidR="73079408" w:rsidRPr="005B05B3">
        <w:t>i</w:t>
      </w:r>
      <w:r w:rsidRPr="005B05B3">
        <w:t>nition of NDIS Provider</w:t>
      </w:r>
      <w:r w:rsidR="00A11BC1" w:rsidRPr="005B05B3">
        <w:t>—</w:t>
      </w:r>
      <w:r w:rsidRPr="005B05B3">
        <w:t>requires further work</w:t>
      </w:r>
      <w:r w:rsidR="4B424238" w:rsidRPr="005B05B3">
        <w:t xml:space="preserve"> to avoid unintended consequences</w:t>
      </w:r>
      <w:r w:rsidRPr="005B05B3">
        <w:t>.</w:t>
      </w:r>
      <w:r w:rsidR="1B52B582" w:rsidRPr="005B05B3">
        <w:t xml:space="preserve"> This should be co-designed with people with disability</w:t>
      </w:r>
      <w:r w:rsidR="00E53DBD">
        <w:t>,</w:t>
      </w:r>
      <w:r w:rsidR="009747DC" w:rsidRPr="005B05B3">
        <w:t xml:space="preserve"> and it</w:t>
      </w:r>
      <w:r w:rsidRPr="005B05B3">
        <w:t xml:space="preserve">is paramount that </w:t>
      </w:r>
      <w:r w:rsidR="44D408E4" w:rsidRPr="005B05B3">
        <w:t>the</w:t>
      </w:r>
      <w:r w:rsidRPr="005B05B3">
        <w:t xml:space="preserve"> approach </w:t>
      </w:r>
      <w:r w:rsidR="002A42BF" w:rsidRPr="005B05B3">
        <w:t>uphold</w:t>
      </w:r>
      <w:r w:rsidR="009747DC" w:rsidRPr="005B05B3">
        <w:t>s</w:t>
      </w:r>
      <w:r w:rsidR="002A42BF" w:rsidRPr="005B05B3">
        <w:t xml:space="preserve"> the rights of people with disability.</w:t>
      </w:r>
    </w:p>
    <w:p w14:paraId="5D8C00F7" w14:textId="49336A92" w:rsidR="00240EE3" w:rsidRPr="005B05B3" w:rsidRDefault="33B341FF" w:rsidP="005F1E53">
      <w:r w:rsidRPr="005B05B3">
        <w:t>Further consideration</w:t>
      </w:r>
      <w:r w:rsidR="40C9D282" w:rsidRPr="005B05B3">
        <w:t xml:space="preserve">, following the </w:t>
      </w:r>
      <w:r w:rsidR="40C9D282" w:rsidRPr="005F1E53">
        <w:t>Taskforce</w:t>
      </w:r>
      <w:r w:rsidR="40C9D282" w:rsidRPr="005B05B3">
        <w:t>,</w:t>
      </w:r>
      <w:r w:rsidRPr="005B05B3">
        <w:t xml:space="preserve"> needs to be given as to how to define the scope of </w:t>
      </w:r>
      <w:r w:rsidR="009E7FDE" w:rsidRPr="005B05B3">
        <w:t>p</w:t>
      </w:r>
      <w:r w:rsidRPr="005B05B3">
        <w:t>roviders to underpin the registration model</w:t>
      </w:r>
      <w:r w:rsidR="2DFA524E" w:rsidRPr="005B05B3">
        <w:t xml:space="preserve">. </w:t>
      </w:r>
    </w:p>
    <w:p w14:paraId="41368B57" w14:textId="603E462F" w:rsidR="002E5FD1" w:rsidRPr="005B05B3" w:rsidRDefault="00240EE3" w:rsidP="00240EE3">
      <w:r w:rsidRPr="005B05B3">
        <w:t xml:space="preserve">By way of guidance, the Taskforce believes that a provider includes requiring an Australian Business Number </w:t>
      </w:r>
      <w:r w:rsidR="00B85164">
        <w:t>(ABN)</w:t>
      </w:r>
      <w:r w:rsidR="00672985">
        <w:t xml:space="preserve"> </w:t>
      </w:r>
      <w:r w:rsidRPr="005B05B3">
        <w:t>or equivalent</w:t>
      </w:r>
      <w:r w:rsidR="00672985">
        <w:t>,</w:t>
      </w:r>
      <w:r w:rsidRPr="005B05B3">
        <w:t xml:space="preserve"> and to cover those who operate in Australia or internationally. We have heard that participants use providers overseas for consumables or therapies but also that some intermediary services are taken offshore</w:t>
      </w:r>
      <w:r w:rsidRPr="005B05B3">
        <w:rPr>
          <w:rStyle w:val="FootnoteReference"/>
        </w:rPr>
        <w:footnoteReference w:id="30"/>
      </w:r>
      <w:r w:rsidRPr="005B05B3">
        <w:t xml:space="preserve"> so need to be covered by the regulatory framework.</w:t>
      </w:r>
    </w:p>
    <w:p w14:paraId="4FDF000E" w14:textId="6D009314" w:rsidR="00622F66" w:rsidRPr="005B05B3" w:rsidRDefault="002443C7" w:rsidP="002443C7">
      <w:pPr>
        <w:pStyle w:val="Quote"/>
      </w:pPr>
      <w:r w:rsidRPr="004B03C4">
        <w:t>Under the current NDIS we use professionally regulated and qualified providers, who have consistently provided high quality, safe and evidence-based services to our daughter, despite their being based overseas, not having an ABN, and not being registered with the NDIS or AHPRA. These services have transformed her life.</w:t>
      </w:r>
      <w:r w:rsidR="00A43BEA" w:rsidRPr="004B03C4">
        <w:rPr>
          <w:rStyle w:val="FootnoteReference"/>
        </w:rPr>
        <w:footnoteReference w:id="31"/>
      </w:r>
    </w:p>
    <w:p w14:paraId="08E17378" w14:textId="1FC579AF" w:rsidR="00AD43D0" w:rsidRDefault="0027775A" w:rsidP="005F1E53">
      <w:r w:rsidRPr="00AD43D0">
        <w:lastRenderedPageBreak/>
        <w:t>The</w:t>
      </w:r>
      <w:r w:rsidR="33B341FF" w:rsidRPr="00AD43D0">
        <w:t xml:space="preserve"> Taskforce is clear </w:t>
      </w:r>
      <w:r w:rsidR="33B341FF" w:rsidRPr="005F1E53">
        <w:t>that</w:t>
      </w:r>
      <w:r w:rsidR="33B341FF" w:rsidRPr="00AD43D0">
        <w:t xml:space="preserve"> the following services and s</w:t>
      </w:r>
      <w:r w:rsidR="0B8A1298" w:rsidRPr="00AD43D0">
        <w:t>upports must be included in the registration model:</w:t>
      </w:r>
    </w:p>
    <w:p w14:paraId="59FCD77E" w14:textId="26A02A50" w:rsidR="007C0E93" w:rsidRPr="00AD43D0" w:rsidRDefault="00AD43D0" w:rsidP="00AD43D0">
      <w:pPr>
        <w:pStyle w:val="ListParagraph"/>
        <w:numPr>
          <w:ilvl w:val="0"/>
          <w:numId w:val="81"/>
        </w:numPr>
        <w:spacing w:after="160" w:line="278" w:lineRule="auto"/>
      </w:pPr>
      <w:r>
        <w:t>A</w:t>
      </w:r>
      <w:r w:rsidRPr="00AD43D0">
        <w:t xml:space="preserve"> </w:t>
      </w:r>
      <w:r w:rsidR="002A42BF" w:rsidRPr="00AD43D0">
        <w:t xml:space="preserve">support or service </w:t>
      </w:r>
      <w:r w:rsidR="002A42BF" w:rsidRPr="00AD43D0">
        <w:rPr>
          <w:b/>
          <w:bCs/>
        </w:rPr>
        <w:t xml:space="preserve">offered </w:t>
      </w:r>
      <w:r w:rsidR="002A42BF" w:rsidRPr="00AD43D0">
        <w:t xml:space="preserve">by a person or entity </w:t>
      </w:r>
      <w:r w:rsidR="002A42BF" w:rsidRPr="00AD43D0">
        <w:rPr>
          <w:b/>
          <w:bCs/>
        </w:rPr>
        <w:t xml:space="preserve">to </w:t>
      </w:r>
      <w:r w:rsidR="002A42BF" w:rsidRPr="00AD43D0">
        <w:t xml:space="preserve">people with disability, including a participant or prospective participant. </w:t>
      </w:r>
    </w:p>
    <w:p w14:paraId="3AAE6579" w14:textId="1A5C1776" w:rsidR="002A42BF" w:rsidRPr="005B05B3" w:rsidRDefault="00364A6D" w:rsidP="002D6AB8">
      <w:pPr>
        <w:pStyle w:val="ListParagraph"/>
        <w:numPr>
          <w:ilvl w:val="0"/>
          <w:numId w:val="61"/>
        </w:numPr>
      </w:pPr>
      <w:r w:rsidRPr="005B05B3">
        <w:t>A</w:t>
      </w:r>
      <w:r w:rsidR="002A42BF" w:rsidRPr="005B05B3">
        <w:t xml:space="preserve"> support that is described as one of the following:</w:t>
      </w:r>
    </w:p>
    <w:p w14:paraId="4F77B483" w14:textId="7DCA3741" w:rsidR="002A42BF" w:rsidRPr="005B05B3" w:rsidRDefault="00364A6D" w:rsidP="002D6AB8">
      <w:pPr>
        <w:pStyle w:val="ListParagraph"/>
        <w:numPr>
          <w:ilvl w:val="1"/>
          <w:numId w:val="7"/>
        </w:numPr>
        <w:spacing w:after="160" w:line="278" w:lineRule="auto"/>
      </w:pPr>
      <w:r w:rsidRPr="005B05B3">
        <w:t>P</w:t>
      </w:r>
      <w:r w:rsidR="002A42BF" w:rsidRPr="005B05B3">
        <w:t>rovision of housing or home and living support</w:t>
      </w:r>
    </w:p>
    <w:p w14:paraId="3E54F276" w14:textId="5A3C852A" w:rsidR="002A42BF" w:rsidRPr="005B05B3" w:rsidRDefault="00364A6D" w:rsidP="002D6AB8">
      <w:pPr>
        <w:pStyle w:val="ListParagraph"/>
        <w:numPr>
          <w:ilvl w:val="1"/>
          <w:numId w:val="7"/>
        </w:numPr>
        <w:spacing w:after="160" w:line="278" w:lineRule="auto"/>
      </w:pPr>
      <w:r w:rsidRPr="005B05B3">
        <w:t>S</w:t>
      </w:r>
      <w:r w:rsidR="002A42BF" w:rsidRPr="005B05B3">
        <w:t>upports a person with disability to live independently, including with shared supports with other people with disability</w:t>
      </w:r>
    </w:p>
    <w:p w14:paraId="5BE66FC8" w14:textId="0BBCA8CF" w:rsidR="002A42BF" w:rsidRPr="005B05B3" w:rsidRDefault="00364A6D" w:rsidP="002D6AB8">
      <w:pPr>
        <w:pStyle w:val="ListParagraph"/>
        <w:numPr>
          <w:ilvl w:val="1"/>
          <w:numId w:val="7"/>
        </w:numPr>
        <w:spacing w:after="160" w:line="278" w:lineRule="auto"/>
      </w:pPr>
      <w:r w:rsidRPr="005B05B3">
        <w:t>P</w:t>
      </w:r>
      <w:r w:rsidR="002A42BF" w:rsidRPr="005B05B3">
        <w:t>rovision of day programs in centre-based environments</w:t>
      </w:r>
    </w:p>
    <w:p w14:paraId="325B4078" w14:textId="4EC57B6A" w:rsidR="002A42BF" w:rsidRPr="005B05B3" w:rsidRDefault="00524054" w:rsidP="002D6AB8">
      <w:pPr>
        <w:pStyle w:val="ListParagraph"/>
        <w:numPr>
          <w:ilvl w:val="1"/>
          <w:numId w:val="7"/>
        </w:numPr>
        <w:spacing w:after="160" w:line="278" w:lineRule="auto"/>
      </w:pPr>
      <w:r w:rsidRPr="005B05B3">
        <w:t>E</w:t>
      </w:r>
      <w:r w:rsidR="002A42BF" w:rsidRPr="005B05B3">
        <w:t>mployment support provided to people with disability to find work or obtain skills and readiness</w:t>
      </w:r>
    </w:p>
    <w:p w14:paraId="71C51C40" w14:textId="091C7B16" w:rsidR="002A42BF" w:rsidRPr="005B05B3" w:rsidRDefault="002A42BF" w:rsidP="002D6AB8">
      <w:pPr>
        <w:pStyle w:val="ListParagraph"/>
        <w:numPr>
          <w:ilvl w:val="1"/>
          <w:numId w:val="7"/>
        </w:numPr>
        <w:spacing w:after="160" w:line="278" w:lineRule="auto"/>
      </w:pPr>
      <w:r w:rsidRPr="005B05B3">
        <w:t>Australian Disability Enterprises</w:t>
      </w:r>
    </w:p>
    <w:p w14:paraId="31D9A93B" w14:textId="428F67CB" w:rsidR="002A42BF" w:rsidRPr="005B05B3" w:rsidRDefault="00364A6D" w:rsidP="002D6AB8">
      <w:pPr>
        <w:pStyle w:val="ListParagraph"/>
        <w:numPr>
          <w:ilvl w:val="1"/>
          <w:numId w:val="7"/>
        </w:numPr>
        <w:spacing w:after="160" w:line="278" w:lineRule="auto"/>
      </w:pPr>
      <w:r w:rsidRPr="005B05B3">
        <w:t>P</w:t>
      </w:r>
      <w:r w:rsidR="002A42BF" w:rsidRPr="005B05B3">
        <w:t>rovision of accommodation on a short-term basis or for respite services</w:t>
      </w:r>
    </w:p>
    <w:p w14:paraId="063DF828" w14:textId="5F496CD8" w:rsidR="002A42BF" w:rsidRPr="005B05B3" w:rsidRDefault="00524054" w:rsidP="002D6AB8">
      <w:pPr>
        <w:pStyle w:val="ListParagraph"/>
        <w:numPr>
          <w:ilvl w:val="1"/>
          <w:numId w:val="7"/>
        </w:numPr>
        <w:spacing w:after="160" w:line="278" w:lineRule="auto"/>
      </w:pPr>
      <w:r w:rsidRPr="005B05B3">
        <w:t>P</w:t>
      </w:r>
      <w:r w:rsidR="002A42BF" w:rsidRPr="005B05B3">
        <w:t>rovision of in-home care and support services to a person to maintain their hygiene, mobility, social and economic participation</w:t>
      </w:r>
    </w:p>
    <w:p w14:paraId="1265C118" w14:textId="4F14745F" w:rsidR="002A42BF" w:rsidRPr="005B05B3" w:rsidRDefault="00364A6D" w:rsidP="002D6AB8">
      <w:pPr>
        <w:pStyle w:val="ListParagraph"/>
        <w:numPr>
          <w:ilvl w:val="1"/>
          <w:numId w:val="7"/>
        </w:numPr>
        <w:spacing w:after="160" w:line="278" w:lineRule="auto"/>
      </w:pPr>
      <w:r w:rsidRPr="005B05B3">
        <w:t>S</w:t>
      </w:r>
      <w:r w:rsidR="002A42BF" w:rsidRPr="005B05B3">
        <w:t>upport to access the community or engage in social participation</w:t>
      </w:r>
    </w:p>
    <w:p w14:paraId="64AD6FC9" w14:textId="38A2E0F1" w:rsidR="002A42BF" w:rsidRPr="005B05B3" w:rsidRDefault="00364A6D" w:rsidP="002D6AB8">
      <w:pPr>
        <w:pStyle w:val="ListParagraph"/>
        <w:numPr>
          <w:ilvl w:val="1"/>
          <w:numId w:val="7"/>
        </w:numPr>
        <w:spacing w:after="160" w:line="278" w:lineRule="auto"/>
      </w:pPr>
      <w:r w:rsidRPr="005B05B3">
        <w:t>I</w:t>
      </w:r>
      <w:r w:rsidR="002A42BF" w:rsidRPr="005B05B3">
        <w:t>ntermediary services to support a person to manage their NDIS Plan, support services or financial management</w:t>
      </w:r>
    </w:p>
    <w:p w14:paraId="6CA66974" w14:textId="1727D0A2" w:rsidR="002A42BF" w:rsidRPr="005B05B3" w:rsidRDefault="00364A6D" w:rsidP="002D6AB8">
      <w:pPr>
        <w:pStyle w:val="ListParagraph"/>
        <w:numPr>
          <w:ilvl w:val="1"/>
          <w:numId w:val="7"/>
        </w:numPr>
        <w:spacing w:after="160" w:line="278" w:lineRule="auto"/>
      </w:pPr>
      <w:r w:rsidRPr="005B05B3">
        <w:t>M</w:t>
      </w:r>
      <w:r w:rsidR="002A42BF" w:rsidRPr="005B05B3">
        <w:t>anufacture or sale of equipment or assistive technology, including modifications</w:t>
      </w:r>
    </w:p>
    <w:p w14:paraId="47287583" w14:textId="39569497" w:rsidR="002A42BF" w:rsidRPr="005B05B3" w:rsidRDefault="00364A6D" w:rsidP="002D6AB8">
      <w:pPr>
        <w:pStyle w:val="ListParagraph"/>
        <w:numPr>
          <w:ilvl w:val="1"/>
          <w:numId w:val="7"/>
        </w:numPr>
        <w:spacing w:after="160" w:line="278" w:lineRule="auto"/>
      </w:pPr>
      <w:r w:rsidRPr="005B05B3">
        <w:t>P</w:t>
      </w:r>
      <w:r w:rsidR="002A42BF" w:rsidRPr="005B05B3">
        <w:t>rovision of disability-specific transportation services</w:t>
      </w:r>
    </w:p>
    <w:p w14:paraId="7630EB7E" w14:textId="17AFC0FA" w:rsidR="002A42BF" w:rsidRPr="005B05B3" w:rsidRDefault="00364A6D" w:rsidP="002D6AB8">
      <w:pPr>
        <w:pStyle w:val="ListParagraph"/>
        <w:numPr>
          <w:ilvl w:val="1"/>
          <w:numId w:val="7"/>
        </w:numPr>
        <w:spacing w:after="160" w:line="278" w:lineRule="auto"/>
      </w:pPr>
      <w:r w:rsidRPr="005B05B3">
        <w:t>A</w:t>
      </w:r>
      <w:r w:rsidR="002A42BF" w:rsidRPr="005B05B3">
        <w:t>llied health and therapeutic services</w:t>
      </w:r>
    </w:p>
    <w:p w14:paraId="4DC736DC" w14:textId="096AAA5A" w:rsidR="002A42BF" w:rsidRPr="005B05B3" w:rsidRDefault="00364A6D" w:rsidP="002D6AB8">
      <w:pPr>
        <w:pStyle w:val="ListParagraph"/>
        <w:numPr>
          <w:ilvl w:val="1"/>
          <w:numId w:val="7"/>
        </w:numPr>
        <w:spacing w:after="160" w:line="278" w:lineRule="auto"/>
      </w:pPr>
      <w:r w:rsidRPr="005B05B3">
        <w:t>E</w:t>
      </w:r>
      <w:r w:rsidR="002A42BF" w:rsidRPr="005B05B3">
        <w:t>arly childhood and early intervention services</w:t>
      </w:r>
    </w:p>
    <w:p w14:paraId="6E9079F3" w14:textId="5262835C" w:rsidR="002A42BF" w:rsidRPr="005B05B3" w:rsidRDefault="00364A6D" w:rsidP="002D6AB8">
      <w:pPr>
        <w:pStyle w:val="ListParagraph"/>
        <w:numPr>
          <w:ilvl w:val="1"/>
          <w:numId w:val="7"/>
        </w:numPr>
        <w:spacing w:after="160" w:line="278" w:lineRule="auto"/>
      </w:pPr>
      <w:r w:rsidRPr="005B05B3">
        <w:t>P</w:t>
      </w:r>
      <w:r w:rsidR="002A42BF" w:rsidRPr="005B05B3">
        <w:t>ositive behaviour support practitioner support and implementation</w:t>
      </w:r>
    </w:p>
    <w:p w14:paraId="37A34BED" w14:textId="11A0D003" w:rsidR="002A42BF" w:rsidRPr="005B05B3" w:rsidRDefault="00364A6D" w:rsidP="002D6AB8">
      <w:pPr>
        <w:pStyle w:val="ListParagraph"/>
        <w:numPr>
          <w:ilvl w:val="1"/>
          <w:numId w:val="7"/>
        </w:numPr>
        <w:spacing w:after="160" w:line="278" w:lineRule="auto"/>
      </w:pPr>
      <w:r w:rsidRPr="005B05B3">
        <w:t>I</w:t>
      </w:r>
      <w:r w:rsidR="002A42BF" w:rsidRPr="005B05B3">
        <w:t>nterpreter services</w:t>
      </w:r>
    </w:p>
    <w:p w14:paraId="0EA4851D" w14:textId="23C265F4" w:rsidR="002A42BF" w:rsidRPr="005B05B3" w:rsidRDefault="00364A6D" w:rsidP="002D6AB8">
      <w:pPr>
        <w:pStyle w:val="ListParagraph"/>
        <w:numPr>
          <w:ilvl w:val="1"/>
          <w:numId w:val="7"/>
        </w:numPr>
        <w:spacing w:after="160" w:line="278" w:lineRule="auto"/>
      </w:pPr>
      <w:r w:rsidRPr="005B05B3">
        <w:t>H</w:t>
      </w:r>
      <w:r w:rsidR="002A42BF" w:rsidRPr="005B05B3">
        <w:t>ealth services, such as paediatric support or optometry</w:t>
      </w:r>
    </w:p>
    <w:p w14:paraId="11D13739" w14:textId="412FBB54" w:rsidR="00BE2124" w:rsidRPr="005B05B3" w:rsidRDefault="00364A6D" w:rsidP="002D6AB8">
      <w:pPr>
        <w:pStyle w:val="ListParagraph"/>
        <w:numPr>
          <w:ilvl w:val="1"/>
          <w:numId w:val="7"/>
        </w:numPr>
        <w:spacing w:after="160" w:line="278" w:lineRule="auto"/>
      </w:pPr>
      <w:r w:rsidRPr="005B05B3">
        <w:t>C</w:t>
      </w:r>
      <w:r w:rsidR="002A42BF" w:rsidRPr="005B05B3">
        <w:t>apacity building support</w:t>
      </w:r>
    </w:p>
    <w:p w14:paraId="2808C71C" w14:textId="27B817CE" w:rsidR="005762F5" w:rsidRPr="005B05B3" w:rsidRDefault="00364A6D" w:rsidP="002D6AB8">
      <w:pPr>
        <w:pStyle w:val="ListParagraph"/>
        <w:numPr>
          <w:ilvl w:val="1"/>
          <w:numId w:val="7"/>
        </w:numPr>
        <w:spacing w:after="160" w:line="278" w:lineRule="auto"/>
      </w:pPr>
      <w:r w:rsidRPr="005B05B3">
        <w:t>P</w:t>
      </w:r>
      <w:r w:rsidR="002A42BF" w:rsidRPr="005B05B3">
        <w:t>eer support programs and initiatives</w:t>
      </w:r>
    </w:p>
    <w:p w14:paraId="41D7FF08" w14:textId="36BB7E18" w:rsidR="0D5BE590" w:rsidRPr="005B05B3" w:rsidRDefault="00364A6D" w:rsidP="002D6AB8">
      <w:pPr>
        <w:pStyle w:val="ListParagraph"/>
        <w:numPr>
          <w:ilvl w:val="1"/>
          <w:numId w:val="7"/>
        </w:numPr>
        <w:spacing w:after="160" w:line="278" w:lineRule="auto"/>
      </w:pPr>
      <w:r w:rsidRPr="005B05B3">
        <w:t>O</w:t>
      </w:r>
      <w:r w:rsidR="002A42BF" w:rsidRPr="005B05B3">
        <w:t>rientation and mobility services</w:t>
      </w:r>
    </w:p>
    <w:p w14:paraId="781FF17E" w14:textId="44CE3F74" w:rsidR="002B81A9" w:rsidRPr="005B05B3" w:rsidRDefault="002B81A9" w:rsidP="005F1E53">
      <w:r w:rsidRPr="005B05B3">
        <w:t xml:space="preserve">Consideration should also be given to </w:t>
      </w:r>
      <w:r w:rsidR="73600A8A" w:rsidRPr="005B05B3">
        <w:t xml:space="preserve">capturing disability supports and services not funded by the NDIS but provided to </w:t>
      </w:r>
      <w:r w:rsidR="73600A8A" w:rsidRPr="005F1E53">
        <w:t>people</w:t>
      </w:r>
      <w:r w:rsidR="73600A8A" w:rsidRPr="005B05B3">
        <w:t xml:space="preserve"> with disability, which are not otherwise regulated for quality and safe service delivery to pe</w:t>
      </w:r>
      <w:r w:rsidR="1393A442" w:rsidRPr="005B05B3">
        <w:t>ople with disability</w:t>
      </w:r>
      <w:r w:rsidR="73600A8A" w:rsidRPr="005B05B3">
        <w:t>. Examples might include</w:t>
      </w:r>
      <w:r w:rsidR="6CB01237" w:rsidRPr="005B05B3">
        <w:t xml:space="preserve"> Foundational Supports when the final form is determined.</w:t>
      </w:r>
    </w:p>
    <w:p w14:paraId="2F233986" w14:textId="376521D4" w:rsidR="002A42BF" w:rsidRPr="00F525DA" w:rsidRDefault="367C1697" w:rsidP="001879E5">
      <w:pPr>
        <w:keepNext/>
        <w:spacing w:after="120"/>
        <w:rPr>
          <w:color w:val="0D2B58"/>
          <w:sz w:val="32"/>
          <w:szCs w:val="32"/>
        </w:rPr>
      </w:pPr>
      <w:r w:rsidRPr="00F525DA">
        <w:rPr>
          <w:color w:val="0D2B58"/>
          <w:sz w:val="32"/>
          <w:szCs w:val="32"/>
        </w:rPr>
        <w:t>Understanding disability-related supports</w:t>
      </w:r>
    </w:p>
    <w:p w14:paraId="1F3AAD22" w14:textId="748E0CA9" w:rsidR="003D1E8C" w:rsidRDefault="002A42BF" w:rsidP="005F1E53">
      <w:r w:rsidRPr="005B05B3">
        <w:t xml:space="preserve">Importantly, </w:t>
      </w:r>
      <w:r w:rsidR="47CD4430" w:rsidRPr="005B05B3">
        <w:t>the scope of the registration model does not replace the scope of disability-related supports</w:t>
      </w:r>
      <w:r w:rsidRPr="005B05B3">
        <w:rPr>
          <w:rStyle w:val="FootnoteReference"/>
        </w:rPr>
        <w:footnoteReference w:id="32"/>
      </w:r>
      <w:r w:rsidR="47CD4430" w:rsidRPr="005B05B3">
        <w:t>.</w:t>
      </w:r>
      <w:r w:rsidR="54742773" w:rsidRPr="005B05B3">
        <w:t xml:space="preserve"> </w:t>
      </w:r>
      <w:r w:rsidRPr="005B05B3">
        <w:rPr>
          <w:b/>
          <w:bCs/>
        </w:rPr>
        <w:t>There is a distinct difference between a disability-</w:t>
      </w:r>
      <w:r w:rsidRPr="005B05B3">
        <w:rPr>
          <w:b/>
          <w:bCs/>
        </w:rPr>
        <w:lastRenderedPageBreak/>
        <w:t>related support need which can be funded by the NDIS</w:t>
      </w:r>
      <w:r w:rsidRPr="005B05B3">
        <w:rPr>
          <w:rStyle w:val="FootnoteReference"/>
          <w:b/>
          <w:bCs/>
        </w:rPr>
        <w:footnoteReference w:id="33"/>
      </w:r>
      <w:r w:rsidRPr="005B05B3">
        <w:rPr>
          <w:b/>
          <w:bCs/>
        </w:rPr>
        <w:t xml:space="preserve"> and </w:t>
      </w:r>
      <w:r w:rsidR="5668C187" w:rsidRPr="005B05B3">
        <w:rPr>
          <w:b/>
          <w:bCs/>
        </w:rPr>
        <w:t xml:space="preserve">what goods or services may be provided by a </w:t>
      </w:r>
      <w:r w:rsidR="007F27C4" w:rsidRPr="005B05B3">
        <w:rPr>
          <w:b/>
          <w:bCs/>
        </w:rPr>
        <w:t>p</w:t>
      </w:r>
      <w:r w:rsidR="5668C187" w:rsidRPr="005B05B3">
        <w:rPr>
          <w:b/>
          <w:bCs/>
        </w:rPr>
        <w:t xml:space="preserve">rovider and so fall within or outside the scope of the registration model. </w:t>
      </w:r>
      <w:r w:rsidRPr="005B05B3">
        <w:t xml:space="preserve">A </w:t>
      </w:r>
      <w:r w:rsidR="00DF7F96" w:rsidRPr="005B05B3">
        <w:t>p</w:t>
      </w:r>
      <w:r w:rsidRPr="005B05B3">
        <w:t xml:space="preserve">articipant </w:t>
      </w:r>
      <w:r w:rsidRPr="005F1E53">
        <w:t>purchasing</w:t>
      </w:r>
      <w:r w:rsidRPr="005B05B3">
        <w:t xml:space="preserve"> products and services in accordance with the NDIS Act and Rules as they need to meet their disability-related support needs is a different issue to determining which providers should be registered.</w:t>
      </w:r>
    </w:p>
    <w:p w14:paraId="2910BE3B" w14:textId="77777777" w:rsidR="003D1E8C" w:rsidRPr="005B05B3" w:rsidRDefault="003D1E8C" w:rsidP="001879E5">
      <w:pPr>
        <w:pStyle w:val="TSDAltHeading2"/>
        <w:spacing w:before="360"/>
      </w:pPr>
      <w:bookmarkStart w:id="33" w:name="_Toc170128724"/>
      <w:bookmarkStart w:id="34" w:name="_Toc173318055"/>
      <w:r w:rsidRPr="005B05B3">
        <w:t>Ensuring visibility</w:t>
      </w:r>
      <w:bookmarkEnd w:id="33"/>
      <w:bookmarkEnd w:id="34"/>
    </w:p>
    <w:p w14:paraId="025E9EDA" w14:textId="77777777" w:rsidR="003D1E8C" w:rsidRPr="005B05B3" w:rsidRDefault="003D1E8C" w:rsidP="005F1E53">
      <w:r w:rsidRPr="005B05B3">
        <w:t xml:space="preserve">We do hold the view that visibility remains paramount and recommend that this be achieved through the adoption of recommendation 10.3 of the NDIS Review to ensure visibility of payments is achieved at the </w:t>
      </w:r>
      <w:r w:rsidRPr="005F1E53">
        <w:t>point</w:t>
      </w:r>
      <w:r w:rsidRPr="005B05B3">
        <w:t xml:space="preserve"> of payment.</w:t>
      </w:r>
      <w:r w:rsidRPr="005B05B3">
        <w:rPr>
          <w:rStyle w:val="FootnoteReference"/>
        </w:rPr>
        <w:footnoteReference w:id="34"/>
      </w:r>
      <w:r w:rsidRPr="005B05B3">
        <w:t xml:space="preserve"> The information collected should be shared with the NDIS Commission to ensure transparency and compliance and to build regulatory intelligence and facilitate proactive market intervention and guidance. In the event that Recommendation 10.3 is not adopted, alternatives to creating visibility of providers would need to be explored.</w:t>
      </w:r>
    </w:p>
    <w:p w14:paraId="3916EC26" w14:textId="5ED70477" w:rsidR="003D1E8C" w:rsidRPr="005B05B3" w:rsidRDefault="003D1E8C" w:rsidP="002A42BF">
      <w:pPr>
        <w:rPr>
          <w:lang w:eastAsia="zh-CN"/>
        </w:rPr>
        <w:sectPr w:rsidR="003D1E8C" w:rsidRPr="005B05B3" w:rsidSect="003D1E8C">
          <w:headerReference w:type="default" r:id="rId24"/>
          <w:headerReference w:type="first" r:id="rId25"/>
          <w:pgSz w:w="11906" w:h="16838"/>
          <w:pgMar w:top="1390" w:right="1440" w:bottom="1440" w:left="1440" w:header="907" w:footer="709" w:gutter="0"/>
          <w:cols w:space="708"/>
          <w:titlePg/>
          <w:docGrid w:linePitch="360"/>
        </w:sectPr>
      </w:pPr>
    </w:p>
    <w:bookmarkStart w:id="35" w:name="_Provider_Risk_Framework"/>
    <w:bookmarkStart w:id="36" w:name="_Toc173318056"/>
    <w:bookmarkEnd w:id="35"/>
    <w:p w14:paraId="5D3AB7B5" w14:textId="302ADC76" w:rsidR="4A29191E" w:rsidRPr="005B05B3" w:rsidRDefault="0027775A" w:rsidP="00426684">
      <w:pPr>
        <w:pStyle w:val="Heading1"/>
      </w:pPr>
      <w:r w:rsidRPr="005B05B3">
        <w:rPr>
          <w:noProof/>
        </w:rPr>
        <w:lastRenderedPageBreak/>
        <mc:AlternateContent>
          <mc:Choice Requires="wps">
            <w:drawing>
              <wp:anchor distT="0" distB="0" distL="114300" distR="114300" simplePos="0" relativeHeight="251655169" behindDoc="1" locked="0" layoutInCell="1" allowOverlap="1" wp14:anchorId="11E92957" wp14:editId="20FD10D1">
                <wp:simplePos x="0" y="0"/>
                <wp:positionH relativeFrom="column">
                  <wp:posOffset>-142613</wp:posOffset>
                </wp:positionH>
                <wp:positionV relativeFrom="paragraph">
                  <wp:posOffset>578007</wp:posOffset>
                </wp:positionV>
                <wp:extent cx="6037580" cy="1476463"/>
                <wp:effectExtent l="0" t="0" r="0" b="0"/>
                <wp:wrapNone/>
                <wp:docPr id="167620377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37580" cy="1476463"/>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C83E0" id="Rectangle 1" o:spid="_x0000_s1026" alt="&quot;&quot;" style="position:absolute;margin-left:-11.25pt;margin-top:45.5pt;width:475.4pt;height:1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" fillcolor="#e8e8e8 [3214]" stroked="f" strokeweight="1pt"/>
            </w:pict>
          </mc:Fallback>
        </mc:AlternateContent>
      </w:r>
      <w:r w:rsidR="4A29191E" w:rsidRPr="005B05B3">
        <w:t>Provider Risk Framework</w:t>
      </w:r>
      <w:bookmarkEnd w:id="36"/>
    </w:p>
    <w:p w14:paraId="4E87A534" w14:textId="0F3CF25F" w:rsidR="00C86410" w:rsidRPr="005B05B3" w:rsidRDefault="00C86410" w:rsidP="00177B8E">
      <w:pPr>
        <w:spacing w:before="240" w:after="0" w:line="276" w:lineRule="auto"/>
        <w:jc w:val="both"/>
        <w:rPr>
          <w:rFonts w:eastAsia="Aptos"/>
          <w:b/>
          <w:bCs/>
          <w:color w:val="auto"/>
        </w:rPr>
      </w:pPr>
      <w:r w:rsidRPr="005B05B3">
        <w:rPr>
          <w:rFonts w:eastAsia="Aptos"/>
          <w:b/>
          <w:bCs/>
          <w:color w:val="auto"/>
        </w:rPr>
        <w:t>Recommendation 3</w:t>
      </w:r>
    </w:p>
    <w:p w14:paraId="407E39AB" w14:textId="387E86F7" w:rsidR="00F565B5" w:rsidRPr="005B05B3" w:rsidRDefault="00F565B5" w:rsidP="003E2FDC">
      <w:r w:rsidRPr="005B05B3">
        <w:t xml:space="preserve">The Taskforce believes that the framework </w:t>
      </w:r>
      <w:r w:rsidR="001A59E8" w:rsidRPr="005B05B3">
        <w:t xml:space="preserve">(figure 14) </w:t>
      </w:r>
      <w:r w:rsidRPr="005B05B3">
        <w:t xml:space="preserve">provided in the discussion of Recommendation 17 of the NDIS Review </w:t>
      </w:r>
      <w:r w:rsidRPr="003E2FDC">
        <w:t>provides</w:t>
      </w:r>
      <w:r w:rsidRPr="005B05B3">
        <w:t xml:space="preserve"> a useful framework for understanding risk. The Taskforce recommends that the registration categories, as outlined in the comprehensive graduated and risk-proportionate registration and enrolment framework at Table </w:t>
      </w:r>
      <w:r w:rsidR="00CC2E78" w:rsidRPr="005B05B3">
        <w:t xml:space="preserve">1 (Annexure A), </w:t>
      </w:r>
      <w:r w:rsidRPr="005B05B3">
        <w:t xml:space="preserve">should be used as the basis for most provider registration. </w:t>
      </w:r>
    </w:p>
    <w:p w14:paraId="109CBB78" w14:textId="0FCC6339" w:rsidR="00052364" w:rsidRPr="005B05B3" w:rsidRDefault="00052364" w:rsidP="00F97F79">
      <w:pPr>
        <w:rPr>
          <w:rStyle w:val="FootnoteReference"/>
          <w:vertAlign w:val="baseline"/>
        </w:rPr>
      </w:pPr>
      <w:r w:rsidRPr="005B05B3">
        <w:t xml:space="preserve">The Taskforce proposes a risk-proportionate registration model. We recognise that a one size fits all approach to registering </w:t>
      </w:r>
      <w:r w:rsidRPr="00F97F79">
        <w:t>supports</w:t>
      </w:r>
      <w:r w:rsidRPr="005B05B3">
        <w:t xml:space="preserve"> is not consistent with a modern approach to regulation and it does not </w:t>
      </w:r>
      <w:r w:rsidRPr="00220F16">
        <w:t>support the progressive realisation of the human rights of people with disabilities. That is, deeming specific services to be inherently risky on the basis of</w:t>
      </w:r>
      <w:r w:rsidR="002877B5" w:rsidRPr="00220F16">
        <w:t xml:space="preserve"> </w:t>
      </w:r>
      <w:r w:rsidR="00E85C5C" w:rsidRPr="00220F16">
        <w:t xml:space="preserve">the </w:t>
      </w:r>
      <w:r w:rsidR="00660DC1" w:rsidRPr="00220F16">
        <w:t xml:space="preserve">types of support services that are </w:t>
      </w:r>
      <w:r w:rsidR="00595C91" w:rsidRPr="00220F16">
        <w:t>provided to people with disability</w:t>
      </w:r>
      <w:r w:rsidR="001A59E8" w:rsidRPr="00220F16">
        <w:t>.</w:t>
      </w:r>
      <w:r w:rsidR="00595C91" w:rsidRPr="00220F16">
        <w:t xml:space="preserve"> </w:t>
      </w:r>
      <w:r w:rsidR="00F006FB" w:rsidRPr="00220F16">
        <w:t>without consideration of other factors</w:t>
      </w:r>
      <w:r w:rsidR="00F25BD2">
        <w:t>,</w:t>
      </w:r>
      <w:r w:rsidR="00F006FB" w:rsidRPr="00220F16">
        <w:t xml:space="preserve"> is incomplete</w:t>
      </w:r>
      <w:r w:rsidR="008F6370">
        <w:t>.</w:t>
      </w:r>
      <w:r w:rsidRPr="00220F16">
        <w:rPr>
          <w:rStyle w:val="FootnoteReference"/>
        </w:rPr>
        <w:footnoteReference w:id="35"/>
      </w:r>
    </w:p>
    <w:p w14:paraId="5745F0BA" w14:textId="02F09519" w:rsidR="003D441B" w:rsidRPr="005B05B3" w:rsidRDefault="00052364" w:rsidP="00052364">
      <w:r w:rsidRPr="005B05B3">
        <w:t xml:space="preserve">In this chapter, </w:t>
      </w:r>
      <w:r w:rsidR="004B3193" w:rsidRPr="005B05B3">
        <w:t xml:space="preserve">we set out our Provider Risk Framework and </w:t>
      </w:r>
      <w:r w:rsidRPr="005B05B3">
        <w:t>explain how risk should be determined. At the outset, we want to be clear that people with disability do not have risky lives. We express our deep concern that services in the disability support sector persist to present a significant level of risk to people with disability by way of their service design.</w:t>
      </w:r>
    </w:p>
    <w:p w14:paraId="67D0B73E" w14:textId="0B2064A7" w:rsidR="00052364" w:rsidRPr="005B05B3" w:rsidRDefault="00052364" w:rsidP="00052364">
      <w:r w:rsidRPr="005B05B3">
        <w:t>For example, in the view of the Taskforce, the inherent risk of the provision of supported independent living in group home settings is unacceptable and efforts must be made to evolve these models into services that recognise the human rights of people with disability and reduce and eliminate the risk of violence, abuse, neglect and exploitation from occurring.</w:t>
      </w:r>
    </w:p>
    <w:p w14:paraId="4D12BEC2" w14:textId="4B6BACFF" w:rsidR="00052364" w:rsidRPr="005B05B3" w:rsidRDefault="00052364" w:rsidP="00052364">
      <w:r w:rsidRPr="005B05B3">
        <w:t>We recognise that individual risk and service risk are separate but intersecting. We have heard that the risk in a service is likely to look different for each individual.</w:t>
      </w:r>
    </w:p>
    <w:p w14:paraId="4DBDA615" w14:textId="2500E202" w:rsidR="00052364" w:rsidRPr="005B05B3" w:rsidRDefault="00052364" w:rsidP="00FA0B19">
      <w:pPr>
        <w:pStyle w:val="Quote"/>
        <w:rPr>
          <w:rFonts w:eastAsia="Arial" w:cs="Arial"/>
          <w:color w:val="333333"/>
          <w:sz w:val="22"/>
          <w:szCs w:val="22"/>
        </w:rPr>
      </w:pPr>
      <w:r w:rsidRPr="00E519C4">
        <w:t xml:space="preserve">Tailor risk management to individual needs and types of support, considering: risks at the individual level (age, communication, medical conditions, mitigating factors such as nature and extent of informal supports, appropriate supported decision making mechanisms in place); risks based on types of support (personal contact, potential adverse effects); the level of personal contact involved; the environment in which the support occurs (limited supervision, professional registration). </w:t>
      </w:r>
      <w:r w:rsidRPr="00E519C4">
        <w:rPr>
          <w:rStyle w:val="FootnoteReference"/>
          <w:rFonts w:eastAsia="Arial" w:cs="Arial"/>
          <w:color w:val="333333"/>
          <w:sz w:val="22"/>
          <w:szCs w:val="22"/>
        </w:rPr>
        <w:footnoteReference w:id="36"/>
      </w:r>
    </w:p>
    <w:p w14:paraId="3E0750BC" w14:textId="70F39305" w:rsidR="00134556" w:rsidRPr="005B05B3" w:rsidRDefault="00052364" w:rsidP="00587F85">
      <w:r w:rsidRPr="005B05B3">
        <w:t>In this respect, we need to be realistic about the effectiveness of registration as a tool to address or mitigate risk in service delivery.</w:t>
      </w:r>
      <w:r w:rsidR="00587F85" w:rsidRPr="005B05B3">
        <w:t xml:space="preserve"> </w:t>
      </w:r>
    </w:p>
    <w:p w14:paraId="571E8BBE" w14:textId="130C6032" w:rsidR="00134556" w:rsidRPr="005B05B3" w:rsidRDefault="00DA54B8" w:rsidP="00134556">
      <w:pPr>
        <w:pStyle w:val="Quote"/>
      </w:pPr>
      <w:r w:rsidRPr="00F57E85">
        <w:lastRenderedPageBreak/>
        <w:t>The providers we choose are registered with AHPRA. We are confident that there</w:t>
      </w:r>
      <w:r w:rsidR="000C66D9" w:rsidRPr="00F57E85">
        <w:t xml:space="preserve"> </w:t>
      </w:r>
      <w:r w:rsidR="00440B9F" w:rsidRPr="00F57E85">
        <w:t>[sic]</w:t>
      </w:r>
      <w:r w:rsidRPr="00F57E85">
        <w:t xml:space="preserve"> provision of support is just as safe and professional as any other who is registered with the </w:t>
      </w:r>
      <w:r w:rsidR="00575D35" w:rsidRPr="00F57E85">
        <w:t>NDIS. We</w:t>
      </w:r>
      <w:r w:rsidR="00052364" w:rsidRPr="00F57E85">
        <w:t xml:space="preserve"> have also heard of some very concerning practices </w:t>
      </w:r>
      <w:r w:rsidR="63CD4612" w:rsidRPr="00F57E85">
        <w:t>in the current model</w:t>
      </w:r>
      <w:r w:rsidR="00052364" w:rsidRPr="00F57E85">
        <w:t xml:space="preserve"> by registered providers</w:t>
      </w:r>
      <w:r w:rsidR="02D68606" w:rsidRPr="00F57E85">
        <w:t>.</w:t>
      </w:r>
      <w:r w:rsidR="00052364" w:rsidRPr="00F57E85">
        <w:t xml:space="preserve"> </w:t>
      </w:r>
      <w:r w:rsidR="02D68606" w:rsidRPr="00F57E85">
        <w:t>A</w:t>
      </w:r>
      <w:r w:rsidR="00052364" w:rsidRPr="00F57E85">
        <w:t xml:space="preserve"> provider being registered with the NDIS does not mean that they will be any better than a non-registered provider.</w:t>
      </w:r>
      <w:r w:rsidR="00052364" w:rsidRPr="00F57E85">
        <w:rPr>
          <w:rStyle w:val="FootnoteReference"/>
        </w:rPr>
        <w:footnoteReference w:id="37"/>
      </w:r>
      <w:r w:rsidR="001F7207" w:rsidRPr="005B05B3">
        <w:t xml:space="preserve"> </w:t>
      </w:r>
    </w:p>
    <w:p w14:paraId="52374BE6" w14:textId="76400600" w:rsidR="00052364" w:rsidRPr="005B05B3" w:rsidRDefault="00052364" w:rsidP="00587F85">
      <w:r w:rsidRPr="005B05B3">
        <w:t xml:space="preserve">However, the Taskforce has found that there are disability support services </w:t>
      </w:r>
      <w:r w:rsidR="00F25BD2">
        <w:t>that</w:t>
      </w:r>
      <w:r w:rsidRPr="005B05B3">
        <w:t xml:space="preserve"> would be improved in terms of quality and safety with registration being imposed.</w:t>
      </w:r>
    </w:p>
    <w:p w14:paraId="2E67A90C" w14:textId="77777777" w:rsidR="00052364" w:rsidRPr="00600BFC" w:rsidRDefault="4EA15D44" w:rsidP="001879E5">
      <w:pPr>
        <w:spacing w:before="360" w:after="120"/>
        <w:rPr>
          <w:color w:val="0D2B58"/>
          <w:sz w:val="32"/>
          <w:szCs w:val="32"/>
        </w:rPr>
      </w:pPr>
      <w:bookmarkStart w:id="37" w:name="_Toc170128729"/>
      <w:bookmarkStart w:id="38" w:name="_Toc170808350"/>
      <w:bookmarkStart w:id="39" w:name="_Toc170919673"/>
      <w:r w:rsidRPr="00600BFC">
        <w:rPr>
          <w:color w:val="0D2B58"/>
          <w:sz w:val="32"/>
          <w:szCs w:val="32"/>
        </w:rPr>
        <w:t>Principles of a proportionality of risk</w:t>
      </w:r>
      <w:bookmarkEnd w:id="37"/>
      <w:bookmarkEnd w:id="38"/>
      <w:bookmarkEnd w:id="39"/>
    </w:p>
    <w:p w14:paraId="59CCF9D0" w14:textId="06C1EC9C" w:rsidR="00052364" w:rsidRPr="005B05B3" w:rsidRDefault="00052364" w:rsidP="002B15EF">
      <w:pPr>
        <w:spacing w:after="120"/>
      </w:pPr>
      <w:r w:rsidRPr="005B05B3">
        <w:t>The</w:t>
      </w:r>
      <w:r w:rsidR="302197B9" w:rsidRPr="005B05B3">
        <w:t xml:space="preserve"> </w:t>
      </w:r>
      <w:r w:rsidRPr="005B05B3">
        <w:t xml:space="preserve">Taskforce has identified the following principles to underpin </w:t>
      </w:r>
      <w:r w:rsidR="00F735AC" w:rsidRPr="005B05B3">
        <w:t>our</w:t>
      </w:r>
      <w:r w:rsidR="00F735AC" w:rsidRPr="005B05B3" w:rsidDel="00F735AC">
        <w:t xml:space="preserve"> </w:t>
      </w:r>
      <w:r w:rsidR="00F735AC" w:rsidRPr="005B05B3">
        <w:t xml:space="preserve">Provider Risk Framework and </w:t>
      </w:r>
      <w:r w:rsidRPr="005B05B3">
        <w:t>the proportionality of risk which determines the categories of registration:</w:t>
      </w:r>
    </w:p>
    <w:p w14:paraId="27989334" w14:textId="5ACD354D" w:rsidR="00052364" w:rsidRPr="005B05B3" w:rsidRDefault="00052364" w:rsidP="002D6AB8">
      <w:pPr>
        <w:pStyle w:val="ListParagraph"/>
        <w:numPr>
          <w:ilvl w:val="0"/>
          <w:numId w:val="23"/>
        </w:numPr>
        <w:spacing w:after="160" w:line="278" w:lineRule="auto"/>
      </w:pPr>
      <w:r w:rsidRPr="005B05B3">
        <w:rPr>
          <w:b/>
          <w:bCs/>
        </w:rPr>
        <w:t xml:space="preserve">Human rights: </w:t>
      </w:r>
      <w:r w:rsidRPr="005B05B3">
        <w:t>recognition and realisation of the UN Convention on the Rights of Persons with Disabilities</w:t>
      </w:r>
      <w:r w:rsidRPr="005B05B3">
        <w:rPr>
          <w:rStyle w:val="FootnoteReference"/>
        </w:rPr>
        <w:footnoteReference w:id="38"/>
      </w:r>
      <w:r w:rsidRPr="005B05B3">
        <w:t>, including the right to independent living</w:t>
      </w:r>
      <w:r w:rsidRPr="005B05B3">
        <w:rPr>
          <w:rStyle w:val="FootnoteReference"/>
        </w:rPr>
        <w:footnoteReference w:id="39"/>
      </w:r>
      <w:r w:rsidRPr="005B05B3">
        <w:t>, legal capacity</w:t>
      </w:r>
      <w:r w:rsidRPr="005B05B3">
        <w:rPr>
          <w:rStyle w:val="FootnoteReference"/>
        </w:rPr>
        <w:footnoteReference w:id="40"/>
      </w:r>
      <w:r w:rsidRPr="005B05B3">
        <w:t xml:space="preserve"> and being equal on the same basis as others</w:t>
      </w:r>
      <w:r w:rsidRPr="005B05B3">
        <w:rPr>
          <w:rStyle w:val="FootnoteReference"/>
        </w:rPr>
        <w:footnoteReference w:id="41"/>
      </w:r>
      <w:r w:rsidRPr="005B05B3">
        <w:t>, privacy</w:t>
      </w:r>
      <w:r w:rsidRPr="005B05B3">
        <w:rPr>
          <w:rStyle w:val="FootnoteReference"/>
        </w:rPr>
        <w:footnoteReference w:id="42"/>
      </w:r>
      <w:r w:rsidRPr="005B05B3">
        <w:t xml:space="preserve"> and to be free from exploitation, violence and abuse</w:t>
      </w:r>
      <w:r w:rsidR="000A561C">
        <w:t>.</w:t>
      </w:r>
      <w:r w:rsidRPr="005B05B3">
        <w:rPr>
          <w:rStyle w:val="FootnoteReference"/>
        </w:rPr>
        <w:footnoteReference w:id="43"/>
      </w:r>
    </w:p>
    <w:p w14:paraId="23540849" w14:textId="08AB22E4" w:rsidR="00052364" w:rsidRPr="005B05B3" w:rsidRDefault="00052364" w:rsidP="002D6AB8">
      <w:pPr>
        <w:pStyle w:val="ListParagraph"/>
        <w:numPr>
          <w:ilvl w:val="0"/>
          <w:numId w:val="23"/>
        </w:numPr>
        <w:spacing w:after="160" w:line="278" w:lineRule="auto"/>
      </w:pPr>
      <w:r w:rsidRPr="005B05B3">
        <w:rPr>
          <w:b/>
          <w:bCs/>
        </w:rPr>
        <w:t xml:space="preserve">Dignity of risk: </w:t>
      </w:r>
      <w:r w:rsidRPr="005B05B3">
        <w:t>people with disabilities must have freedom to make their own choices, including through the use of supported decision making.</w:t>
      </w:r>
      <w:r w:rsidRPr="005B05B3">
        <w:rPr>
          <w:rStyle w:val="FootnoteReference"/>
        </w:rPr>
        <w:footnoteReference w:id="44"/>
      </w:r>
    </w:p>
    <w:p w14:paraId="69CE9C8D" w14:textId="63CADB46" w:rsidR="00052364" w:rsidRPr="005B05B3" w:rsidRDefault="00052364" w:rsidP="002D6AB8">
      <w:pPr>
        <w:pStyle w:val="ListParagraph"/>
        <w:numPr>
          <w:ilvl w:val="0"/>
          <w:numId w:val="23"/>
        </w:numPr>
        <w:spacing w:after="160" w:line="278" w:lineRule="auto"/>
      </w:pPr>
      <w:r w:rsidRPr="005B05B3">
        <w:rPr>
          <w:b/>
          <w:bCs/>
        </w:rPr>
        <w:t>Developing high quality, innovative services:</w:t>
      </w:r>
      <w:r w:rsidRPr="005B05B3">
        <w:t xml:space="preserve"> ensuring that </w:t>
      </w:r>
      <w:r w:rsidR="7EA6B8F6" w:rsidRPr="005B05B3">
        <w:t>services</w:t>
      </w:r>
      <w:r w:rsidRPr="005B05B3">
        <w:t xml:space="preserve"> are of a high quality and meet the needs of people with disabilities, including through innovative solutions.</w:t>
      </w:r>
    </w:p>
    <w:p w14:paraId="74A36C64" w14:textId="77777777" w:rsidR="00052364" w:rsidRPr="00600BFC" w:rsidRDefault="4EA15D44" w:rsidP="001879E5">
      <w:pPr>
        <w:spacing w:before="360" w:after="120"/>
        <w:rPr>
          <w:color w:val="0D2B58"/>
          <w:sz w:val="32"/>
          <w:szCs w:val="32"/>
        </w:rPr>
      </w:pPr>
      <w:bookmarkStart w:id="40" w:name="_Toc170128730"/>
      <w:bookmarkStart w:id="41" w:name="_Toc170808351"/>
      <w:bookmarkStart w:id="42" w:name="_Toc170919674"/>
      <w:r w:rsidRPr="00600BFC">
        <w:rPr>
          <w:color w:val="0D2B58"/>
          <w:sz w:val="32"/>
          <w:szCs w:val="32"/>
        </w:rPr>
        <w:t>Addressing individual and systems risk</w:t>
      </w:r>
      <w:bookmarkEnd w:id="40"/>
      <w:bookmarkEnd w:id="41"/>
      <w:bookmarkEnd w:id="42"/>
    </w:p>
    <w:p w14:paraId="3C821F6E" w14:textId="0A08A282" w:rsidR="00052364" w:rsidRPr="005B05B3" w:rsidRDefault="00052364" w:rsidP="002B15EF">
      <w:pPr>
        <w:spacing w:after="160"/>
        <w:rPr>
          <w:rStyle w:val="FootnoteReference"/>
        </w:rPr>
      </w:pPr>
      <w:r w:rsidRPr="005B05B3">
        <w:t>The Taskforce is of the view that a participant-centred approach to capacity building and safeguarding that complements the regulation of providers and workers to improve outcomes for participants is essential.</w:t>
      </w:r>
      <w:r w:rsidRPr="005B05B3">
        <w:rPr>
          <w:rStyle w:val="FootnoteReference"/>
        </w:rPr>
        <w:footnoteReference w:id="45"/>
      </w:r>
      <w:r w:rsidRPr="005B05B3">
        <w:t xml:space="preserve"> This approach was core to the NDIS Quality and </w:t>
      </w:r>
      <w:r w:rsidRPr="005B05B3">
        <w:lastRenderedPageBreak/>
        <w:t>Safeguards Framework 2016</w:t>
      </w:r>
      <w:r w:rsidRPr="005B05B3">
        <w:rPr>
          <w:rStyle w:val="FootnoteReference"/>
        </w:rPr>
        <w:footnoteReference w:id="46"/>
      </w:r>
      <w:r w:rsidRPr="005B05B3">
        <w:t xml:space="preserve"> and the need for this approach has continued to be clear in our work</w:t>
      </w:r>
      <w:r w:rsidR="006513A3" w:rsidRPr="005B05B3">
        <w:t xml:space="preserve"> and underpins our Provider Risk Framework</w:t>
      </w:r>
      <w:r w:rsidRPr="005B05B3">
        <w:t>.</w:t>
      </w:r>
    </w:p>
    <w:p w14:paraId="66FC9666" w14:textId="0F9A0053" w:rsidR="00052364" w:rsidRPr="005B05B3" w:rsidRDefault="00052364" w:rsidP="002B15EF">
      <w:pPr>
        <w:pStyle w:val="Quote"/>
        <w:spacing w:after="160"/>
      </w:pPr>
      <w:r w:rsidRPr="00E519C4">
        <w:t>Improve access to capacity building to ensure that people with disabilities and our nominees understand our responsibilities and the risks associated with self-management and directly engaging support people.</w:t>
      </w:r>
      <w:r w:rsidRPr="00E519C4">
        <w:rPr>
          <w:rStyle w:val="FootnoteReference"/>
        </w:rPr>
        <w:footnoteReference w:id="47"/>
      </w:r>
    </w:p>
    <w:p w14:paraId="0322C649" w14:textId="5C9E3511" w:rsidR="00052364" w:rsidRPr="005B05B3" w:rsidRDefault="00052364" w:rsidP="00052364">
      <w:r w:rsidRPr="005B05B3">
        <w:t>The risks identified at an individual level or risks that are found in types of support need to be subject to developmental, preventative and corrective action</w:t>
      </w:r>
      <w:r w:rsidR="003F63B2" w:rsidRPr="005B05B3">
        <w:t>s</w:t>
      </w:r>
      <w:r w:rsidRPr="005B05B3">
        <w:t xml:space="preserve">. </w:t>
      </w:r>
    </w:p>
    <w:p w14:paraId="53E9591E" w14:textId="77777777" w:rsidR="00052364" w:rsidRPr="005804D7" w:rsidRDefault="00052364" w:rsidP="001879E5">
      <w:pPr>
        <w:spacing w:before="360" w:after="120"/>
        <w:rPr>
          <w:color w:val="0D2B58"/>
          <w:sz w:val="32"/>
          <w:szCs w:val="32"/>
        </w:rPr>
      </w:pPr>
      <w:bookmarkStart w:id="43" w:name="_Toc170128731"/>
      <w:r w:rsidRPr="005804D7">
        <w:rPr>
          <w:color w:val="0D2B58"/>
          <w:sz w:val="32"/>
          <w:szCs w:val="32"/>
        </w:rPr>
        <w:t>Recognising individual risk</w:t>
      </w:r>
      <w:bookmarkEnd w:id="43"/>
    </w:p>
    <w:p w14:paraId="3A0CB442" w14:textId="6FD739F4" w:rsidR="00052364" w:rsidRPr="005B05B3" w:rsidRDefault="00052364" w:rsidP="00052364">
      <w:r w:rsidRPr="005B05B3">
        <w:t>People face individual risk that can impact their safety when engaging with and receiving supports. The Taskforce is clear that disability, in and of itself, is not a risk factor. Instead, we have heard that people with disability experience risk due to the poor quality supports and services they receive and the circumstances they are in.</w:t>
      </w:r>
    </w:p>
    <w:p w14:paraId="146C1215" w14:textId="08C6E679" w:rsidR="00052364" w:rsidRPr="00F57E85" w:rsidRDefault="00052364" w:rsidP="00FA0B19">
      <w:pPr>
        <w:pStyle w:val="Quote"/>
      </w:pPr>
      <w:r w:rsidRPr="00F57E85">
        <w:t xml:space="preserve">Registered providers are not as flexible or available in my area. By using unregistered retired providers, who only work for me some hours a week and one who does other jobs, I have shifts covered. Registered provider companies are reliably unreliable and give little notice. I can't risk not having workers help me get up and go to bed. </w:t>
      </w:r>
      <w:r w:rsidRPr="00F57E85">
        <w:rPr>
          <w:rStyle w:val="FootnoteReference"/>
        </w:rPr>
        <w:footnoteReference w:id="48"/>
      </w:r>
    </w:p>
    <w:p w14:paraId="10FE7BC2" w14:textId="0DD3977C" w:rsidR="00052364" w:rsidRPr="00F57E85" w:rsidRDefault="00052364" w:rsidP="00FA0B19">
      <w:pPr>
        <w:pStyle w:val="Quote"/>
      </w:pPr>
      <w:r w:rsidRPr="00F57E85">
        <w:t>...by having the ability to self manage, I have been able to source, engage and train workers who are specifically suited to cater to each of our individual, unique needs. The type of support worker required for myself, as a 59 year old female living with C2 incomplete tetraplegia is very different to the type of support worker that is required by my 21 year old or my 25 year old son.</w:t>
      </w:r>
      <w:r w:rsidRPr="00F57E85">
        <w:rPr>
          <w:rStyle w:val="FootnoteReference"/>
        </w:rPr>
        <w:footnoteReference w:id="49"/>
      </w:r>
    </w:p>
    <w:p w14:paraId="0DDE89F0" w14:textId="77777777" w:rsidR="00052364" w:rsidRPr="005B05B3" w:rsidRDefault="00052364" w:rsidP="32207079">
      <w:pPr>
        <w:ind w:left="720"/>
      </w:pPr>
      <w:r w:rsidRPr="00F57E85">
        <w:rPr>
          <w:rStyle w:val="QuoteChar"/>
          <w:rFonts w:ascii="Aptos" w:hAnsi="Aptos"/>
        </w:rPr>
        <w:t>The suggestion of categorising participants into classes of disability not only oversimplifies the complex spectrum of disabilities, but also undermines the inherent dignity of individuals by reducing them to mere classes. This approach fails to recognise the unique strengths, challenges, and aspirations of each person and their informal networks removing their agency and autonomy in defining their own identity, support needs and risk mitigation strategies</w:t>
      </w:r>
      <w:r w:rsidRPr="005B05B3">
        <w:rPr>
          <w:rStyle w:val="QuoteChar"/>
          <w:rFonts w:ascii="Aptos" w:hAnsi="Aptos"/>
        </w:rPr>
        <w:t>.</w:t>
      </w:r>
      <w:r w:rsidRPr="005B05B3">
        <w:rPr>
          <w:rStyle w:val="FootnoteReference"/>
        </w:rPr>
        <w:footnoteReference w:id="50"/>
      </w:r>
    </w:p>
    <w:p w14:paraId="5777DD24" w14:textId="2B9CC3C6" w:rsidR="00052364" w:rsidRPr="005B05B3" w:rsidRDefault="00052364" w:rsidP="002B15EF">
      <w:pPr>
        <w:spacing w:after="160"/>
      </w:pPr>
      <w:r w:rsidRPr="005B05B3">
        <w:t>The risk may be temporary or ongoing until their circumstances change. When considering individual risk, evidence shows that those living at the intersections of marginalised groups often experience additional risk</w:t>
      </w:r>
      <w:r w:rsidRPr="005B05B3" w:rsidDel="00052364">
        <w:rPr>
          <w:i/>
          <w:iCs/>
        </w:rPr>
        <w:t>.</w:t>
      </w:r>
      <w:r w:rsidRPr="005B05B3">
        <w:rPr>
          <w:rStyle w:val="FootnoteReference"/>
        </w:rPr>
        <w:t xml:space="preserve"> </w:t>
      </w:r>
      <w:r w:rsidRPr="005B05B3">
        <w:rPr>
          <w:rStyle w:val="FootnoteReference"/>
        </w:rPr>
        <w:footnoteReference w:id="51"/>
      </w:r>
    </w:p>
    <w:p w14:paraId="2C6B8539" w14:textId="69D59196" w:rsidR="00052364" w:rsidRPr="005B05B3" w:rsidRDefault="00052364" w:rsidP="002B15EF">
      <w:pPr>
        <w:spacing w:after="160"/>
      </w:pPr>
      <w:r w:rsidRPr="005B05B3">
        <w:lastRenderedPageBreak/>
        <w:t>The Taskforce has heard that when people with disability experience certain circumstances, their risk when receiving supports and services escalates dramatically. These circumstances can include poverty, unemployment, family and domestic violence</w:t>
      </w:r>
      <w:r w:rsidRPr="005B05B3">
        <w:rPr>
          <w:rStyle w:val="FootnoteReference"/>
        </w:rPr>
        <w:footnoteReference w:id="52"/>
      </w:r>
      <w:r w:rsidRPr="005B05B3">
        <w:t>, backgrounds of trauma and abuse and geographic isolation.</w:t>
      </w:r>
    </w:p>
    <w:p w14:paraId="33E298B3" w14:textId="5DAB3938" w:rsidR="00052364" w:rsidRPr="00F57E85" w:rsidRDefault="00052364" w:rsidP="00FA0B19">
      <w:pPr>
        <w:pStyle w:val="Quote"/>
      </w:pPr>
      <w:r w:rsidRPr="00F57E85">
        <w:t>NDIS participants with complex and acute needs require additional safeguards if they: use alternative methods of communication and/or communication devices; do not have active family and/or social supports; have a history of trauma.</w:t>
      </w:r>
      <w:r w:rsidRPr="00F57E85">
        <w:rPr>
          <w:rStyle w:val="FootnoteReference"/>
        </w:rPr>
        <w:footnoteReference w:id="53"/>
      </w:r>
    </w:p>
    <w:p w14:paraId="1708DF53" w14:textId="77777777" w:rsidR="00052364" w:rsidRPr="00F57E85" w:rsidRDefault="00052364" w:rsidP="00FA0B19">
      <w:pPr>
        <w:pStyle w:val="Quote"/>
      </w:pPr>
      <w:r w:rsidRPr="00F57E85">
        <w:t>Additionally, participants must have access to Navigators with specialised expertise – for example, specialist knowledge in gender-based, family and domestic violence – in order to ensure they can receive supports and services that are responsive to their needs.</w:t>
      </w:r>
      <w:r w:rsidRPr="00F57E85">
        <w:rPr>
          <w:rStyle w:val="FootnoteReference"/>
        </w:rPr>
        <w:footnoteReference w:id="54"/>
      </w:r>
    </w:p>
    <w:p w14:paraId="4A6C33E4" w14:textId="77777777" w:rsidR="00052364" w:rsidRPr="005B05B3" w:rsidRDefault="00052364" w:rsidP="00FA0B19">
      <w:pPr>
        <w:pStyle w:val="Quote"/>
      </w:pPr>
      <w:r w:rsidRPr="00F57E85">
        <w:t>Poverty focuses Anangu (both people with disability and their family-based carers) on their immediate needs rather than allowing them to invest time in things that may be of benefit in the future, such as therapeutic services.</w:t>
      </w:r>
      <w:r w:rsidRPr="00F57E85">
        <w:rPr>
          <w:rStyle w:val="FootnoteReference"/>
        </w:rPr>
        <w:footnoteReference w:id="55"/>
      </w:r>
    </w:p>
    <w:p w14:paraId="619C88D5" w14:textId="766BBA1E" w:rsidR="001440E3" w:rsidRPr="005804D7" w:rsidRDefault="001440E3" w:rsidP="001879E5">
      <w:pPr>
        <w:spacing w:before="360" w:after="120"/>
        <w:rPr>
          <w:color w:val="0D2B58"/>
          <w:sz w:val="32"/>
          <w:szCs w:val="32"/>
        </w:rPr>
      </w:pPr>
      <w:r w:rsidRPr="005804D7">
        <w:rPr>
          <w:color w:val="0D2B58"/>
          <w:sz w:val="32"/>
          <w:szCs w:val="32"/>
        </w:rPr>
        <w:t>Isolation</w:t>
      </w:r>
      <w:r w:rsidR="003B6DED" w:rsidRPr="005804D7">
        <w:rPr>
          <w:color w:val="0D2B58"/>
          <w:sz w:val="32"/>
          <w:szCs w:val="32"/>
        </w:rPr>
        <w:t xml:space="preserve"> and segregation </w:t>
      </w:r>
    </w:p>
    <w:p w14:paraId="340F8945" w14:textId="647E7E21" w:rsidR="00052364" w:rsidRPr="005B05B3" w:rsidRDefault="00052364" w:rsidP="00052364">
      <w:r w:rsidRPr="005B05B3">
        <w:t>One of the greatest risks that the Taskforce has identified from published research, inquiries</w:t>
      </w:r>
      <w:r w:rsidRPr="005B05B3">
        <w:rPr>
          <w:rStyle w:val="FootnoteReference"/>
        </w:rPr>
        <w:footnoteReference w:id="56"/>
      </w:r>
      <w:r w:rsidRPr="005B05B3">
        <w:t xml:space="preserve"> and submissions provided by individuals and their families in these circumstances is the risk that comes with isolation.</w:t>
      </w:r>
      <w:r w:rsidRPr="005B05B3">
        <w:rPr>
          <w:vertAlign w:val="superscript"/>
        </w:rPr>
        <w:footnoteReference w:id="57"/>
      </w:r>
    </w:p>
    <w:p w14:paraId="5311F4EE" w14:textId="63B9A95A" w:rsidR="00052364" w:rsidRPr="005B05B3" w:rsidRDefault="00052364" w:rsidP="00052364">
      <w:r w:rsidRPr="005B05B3">
        <w:t xml:space="preserve">For example, the </w:t>
      </w:r>
      <w:r w:rsidR="002706AF" w:rsidRPr="005B05B3">
        <w:rPr>
          <w:i/>
          <w:iCs/>
        </w:rPr>
        <w:t>i</w:t>
      </w:r>
      <w:r w:rsidRPr="005B05B3">
        <w:rPr>
          <w:i/>
          <w:iCs/>
        </w:rPr>
        <w:t xml:space="preserve">ndependent review of the adequacy of the regulation of the supports and services provided to Ms Ann-Marie Smith, an NDIS participant, who died on 6 April 2020 </w:t>
      </w:r>
      <w:r w:rsidRPr="005B05B3">
        <w:t>(Robertson Review) concluded that:</w:t>
      </w:r>
    </w:p>
    <w:p w14:paraId="72EE38A2" w14:textId="60CA32DA" w:rsidR="00052364" w:rsidRPr="005B05B3" w:rsidRDefault="00052364" w:rsidP="443C6F9B">
      <w:pPr>
        <w:ind w:left="720"/>
      </w:pPr>
      <w:r w:rsidRPr="00F34BED">
        <w:rPr>
          <w:rStyle w:val="QuoteChar"/>
          <w:rFonts w:ascii="Aptos" w:hAnsi="Aptos"/>
        </w:rPr>
        <w:t xml:space="preserve">One </w:t>
      </w:r>
      <w:r w:rsidR="00AE18BE" w:rsidRPr="00F34BED">
        <w:rPr>
          <w:rStyle w:val="QuoteChar"/>
          <w:rFonts w:ascii="Aptos" w:hAnsi="Aptos"/>
        </w:rPr>
        <w:t>‘</w:t>
      </w:r>
      <w:r w:rsidRPr="00F34BED">
        <w:rPr>
          <w:rStyle w:val="QuoteChar"/>
          <w:rFonts w:ascii="Aptos" w:hAnsi="Aptos"/>
        </w:rPr>
        <w:t>mechanism</w:t>
      </w:r>
      <w:r w:rsidR="00AE18BE" w:rsidRPr="00F34BED">
        <w:rPr>
          <w:rStyle w:val="QuoteChar"/>
          <w:rFonts w:ascii="Aptos" w:hAnsi="Aptos"/>
        </w:rPr>
        <w:t>’</w:t>
      </w:r>
      <w:r w:rsidRPr="00F34BED">
        <w:rPr>
          <w:rStyle w:val="QuoteChar"/>
          <w:rFonts w:ascii="Aptos" w:hAnsi="Aptos"/>
        </w:rPr>
        <w:t xml:space="preserve"> which may have guarded against the particular vulnerability of Ms Smith, arising from her immobility, isolation and a sole carer providing at-home services, would have been the interest of neighbours or other members of the community or of friends and relations.</w:t>
      </w:r>
      <w:r w:rsidRPr="00F34BED">
        <w:rPr>
          <w:rStyle w:val="FootnoteReference"/>
          <w:rFonts w:cs="Segoe UI"/>
          <w:i/>
          <w:iCs/>
        </w:rPr>
        <w:footnoteReference w:id="58"/>
      </w:r>
    </w:p>
    <w:p w14:paraId="60FC367E" w14:textId="508F3B72" w:rsidR="00052364" w:rsidRPr="005B05B3" w:rsidRDefault="00052364" w:rsidP="005B2CBD">
      <w:r w:rsidRPr="005B05B3">
        <w:t xml:space="preserve">When a person with disability is required to live in accommodation, work or be educated in a segregated setting that does not have genuine and close connections to communities, does not encourage the person to be an active citizen or fails to support a </w:t>
      </w:r>
      <w:r w:rsidRPr="005B05B3">
        <w:lastRenderedPageBreak/>
        <w:t>person to live an ordinary life, the likelihood of that person being a victim of violence, abuse, neglect or exploitation is significantly increased</w:t>
      </w:r>
      <w:r w:rsidR="008F6370">
        <w:t>.</w:t>
      </w:r>
      <w:r w:rsidRPr="005B05B3">
        <w:rPr>
          <w:vertAlign w:val="superscript"/>
        </w:rPr>
        <w:footnoteReference w:id="59"/>
      </w:r>
      <w:r w:rsidRPr="005B05B3">
        <w:t>The Taskforce has been extremely alarmed to hear of many disability support organisations that offer services that perpetuate the segregation of people with disabilities.</w:t>
      </w:r>
    </w:p>
    <w:p w14:paraId="46C3794F" w14:textId="77777777" w:rsidR="00052364" w:rsidRPr="005B05B3" w:rsidRDefault="00052364" w:rsidP="00FA0B19">
      <w:pPr>
        <w:pStyle w:val="Quote"/>
      </w:pPr>
      <w:r w:rsidRPr="00574174">
        <w:t>Witnessing the very adverse impacts on people with a disability of a large powerful service provider within a small community such as segregation, negative labels and assumptions, low expectations and the disrespect of people’s individual needs and identity convinced us as a family that the way to safeguard our daughters life was to engage support outside of any such system.</w:t>
      </w:r>
      <w:r w:rsidRPr="00574174">
        <w:rPr>
          <w:rStyle w:val="FootnoteReference"/>
        </w:rPr>
        <w:footnoteReference w:id="60"/>
      </w:r>
    </w:p>
    <w:p w14:paraId="54119700" w14:textId="40E1F38F" w:rsidR="00052364" w:rsidRPr="005B05B3" w:rsidRDefault="00052364" w:rsidP="00052364">
      <w:r w:rsidRPr="005B05B3">
        <w:t>It is incumbent on disability support organisations, in our view, to ensure that the services offered do not create individual risk to people with disability by encouraging, facilitating or designing isolation as part of their service design.</w:t>
      </w:r>
    </w:p>
    <w:p w14:paraId="2E6C50F1" w14:textId="3D5FD620" w:rsidR="008576CF" w:rsidRPr="005804D7" w:rsidRDefault="008576CF" w:rsidP="001879E5">
      <w:pPr>
        <w:spacing w:before="360" w:after="120"/>
        <w:rPr>
          <w:color w:val="0D2B58"/>
          <w:sz w:val="32"/>
          <w:szCs w:val="32"/>
        </w:rPr>
      </w:pPr>
      <w:r w:rsidRPr="005804D7">
        <w:rPr>
          <w:color w:val="0D2B58"/>
          <w:sz w:val="32"/>
          <w:szCs w:val="32"/>
        </w:rPr>
        <w:t>Natural safeguards</w:t>
      </w:r>
    </w:p>
    <w:p w14:paraId="41DAC9E5" w14:textId="180B3901" w:rsidR="00052364" w:rsidRPr="005B05B3" w:rsidRDefault="00052364" w:rsidP="00052364">
      <w:r w:rsidRPr="005B05B3">
        <w:t>Even where people with disability are not isolated per se, the Taskforce has heard that risk will occur where the person does not have natural safeguards in their life.</w:t>
      </w:r>
    </w:p>
    <w:p w14:paraId="01802971" w14:textId="77777777" w:rsidR="00052364" w:rsidRPr="005B05B3" w:rsidRDefault="00052364" w:rsidP="00FA0B19">
      <w:pPr>
        <w:pStyle w:val="Quote"/>
      </w:pPr>
      <w:r w:rsidRPr="00017282">
        <w:t>The NDIS Provider and Worker Registration Taskforce should recognise the crucial role that natural safeguards play alongside formal systems. It should develop a new regulatory model that reflects and promotes the importance of freely given relationships and the need to both prevent harm and enable participants to live good meaningful lives in community. And it should demand this of providers.</w:t>
      </w:r>
      <w:r w:rsidRPr="00017282">
        <w:rPr>
          <w:rStyle w:val="FootnoteReference"/>
        </w:rPr>
        <w:footnoteReference w:id="61"/>
      </w:r>
    </w:p>
    <w:p w14:paraId="73F268D1" w14:textId="3A08C5E0" w:rsidR="00052364" w:rsidRPr="005B05B3" w:rsidRDefault="00052364" w:rsidP="00052364">
      <w:r w:rsidRPr="005B05B3">
        <w:t xml:space="preserve">Natural safeguards include having family and friends around </w:t>
      </w:r>
      <w:r w:rsidR="00AD43D0">
        <w:t>a person</w:t>
      </w:r>
      <w:r w:rsidRPr="005B05B3">
        <w:t>, being involved in local activities and enabling self-advocacy so that the person knows when and how to speak up for themselves. We have heard that some supports reduce natural safeguards by separating people with disability from their family and friends or by not encouraging active involvement in local communities and instead creating heavy reliance on paid supports</w:t>
      </w:r>
      <w:r w:rsidR="00275B7B" w:rsidRPr="005B05B3">
        <w:t>.</w:t>
      </w:r>
    </w:p>
    <w:p w14:paraId="2CC27FF6" w14:textId="0CBF120F" w:rsidR="00052364" w:rsidRPr="00017282" w:rsidRDefault="0211D84D" w:rsidP="00FA0B19">
      <w:pPr>
        <w:pStyle w:val="Quote"/>
      </w:pPr>
      <w:r w:rsidRPr="00017282">
        <w:lastRenderedPageBreak/>
        <w:t>So for example, a traditional group home setting, where multiple people with significant need are supported in a congregate care setting, with rostered staff, where those participants do not have natural safeguarding relationships individually is the highest risk context. Whereas the lowest risk context is where people are immersed in community with lots of natural safeguarding relationships around them, including eyes on the ground in their day-to-day world, are the least risky contexts.</w:t>
      </w:r>
      <w:r w:rsidR="00341637" w:rsidRPr="00017282">
        <w:rPr>
          <w:rStyle w:val="FootnoteReference"/>
        </w:rPr>
        <w:footnoteReference w:id="62"/>
      </w:r>
    </w:p>
    <w:p w14:paraId="1F75D9F1" w14:textId="5FFC48EF" w:rsidR="00E31184" w:rsidRPr="00017282" w:rsidRDefault="00E31184" w:rsidP="00BD1BB8">
      <w:pPr>
        <w:pStyle w:val="Quote"/>
      </w:pPr>
      <w:r w:rsidRPr="00017282">
        <w:t>…there has been a lack of investment in consumer rights capacity building for people with disability as end users of the scheme. Building the skills of people with disability to be informed and confident participants, to ensure that people with disability are able to successfully navigate the NDIS and are empowered to do so is crucial to success.…and … Greater investment is needed in peer support, community access, community visitor programs and advocacy to reduce risk and support people to navigate systems.</w:t>
      </w:r>
      <w:r w:rsidRPr="00017282">
        <w:rPr>
          <w:rStyle w:val="FootnoteReference"/>
        </w:rPr>
        <w:footnoteReference w:id="63"/>
      </w:r>
    </w:p>
    <w:p w14:paraId="0736BFBB" w14:textId="77777777" w:rsidR="00E31184" w:rsidRPr="00017282" w:rsidRDefault="00E31184" w:rsidP="00BD1BB8">
      <w:pPr>
        <w:pStyle w:val="Quote"/>
      </w:pPr>
      <w:r w:rsidRPr="00017282">
        <w:t>The implementation of the NDIS has placed an emphasis on individualised supports, which is at odds with First Nations culture and values of placing family and community first.</w:t>
      </w:r>
      <w:r w:rsidRPr="00017282">
        <w:rPr>
          <w:rStyle w:val="FootnoteReference"/>
        </w:rPr>
        <w:footnoteReference w:id="64"/>
      </w:r>
    </w:p>
    <w:p w14:paraId="5A661FDB" w14:textId="3372AFD3" w:rsidR="00E31184" w:rsidRPr="00BD1BB8" w:rsidRDefault="00E31184" w:rsidP="00BD1BB8">
      <w:pPr>
        <w:pStyle w:val="Quote"/>
      </w:pPr>
      <w:r w:rsidRPr="00BD1BB8">
        <w:t>People with disabilities who are part of their communities have friendships and networks beyond service providers that can both identify concerns and provide support.</w:t>
      </w:r>
      <w:r w:rsidRPr="00017282">
        <w:rPr>
          <w:rStyle w:val="FootnoteReference"/>
        </w:rPr>
        <w:footnoteReference w:id="65"/>
      </w:r>
    </w:p>
    <w:p w14:paraId="3CB3C4C7" w14:textId="04F0CAFC" w:rsidR="00052364" w:rsidRPr="005B05B3" w:rsidRDefault="00052364" w:rsidP="00052364">
      <w:r w:rsidRPr="005B05B3">
        <w:t>The Taskforce acknowledges the importance of developmental and preventative action needed to continue to reduce individual risk when it is present</w:t>
      </w:r>
      <w:r w:rsidR="005B1481" w:rsidRPr="005B05B3">
        <w:t xml:space="preserve">. The Taskforce encourages </w:t>
      </w:r>
      <w:r w:rsidR="00486107" w:rsidRPr="005B05B3">
        <w:t xml:space="preserve">a balanced </w:t>
      </w:r>
      <w:r w:rsidR="0084086B" w:rsidRPr="005B05B3">
        <w:t>incorporation of</w:t>
      </w:r>
      <w:r w:rsidR="005B1481" w:rsidRPr="005B05B3">
        <w:t xml:space="preserve"> safeguards </w:t>
      </w:r>
      <w:r w:rsidR="0084086B" w:rsidRPr="005B05B3">
        <w:t>into the new registration model</w:t>
      </w:r>
      <w:r w:rsidR="005B1481" w:rsidRPr="005B05B3">
        <w:t xml:space="preserve"> from natural safeguarding through to regulatory intervention</w:t>
      </w:r>
      <w:r w:rsidRPr="005B05B3" w:rsidDel="00E31184">
        <w:t>.</w:t>
      </w:r>
    </w:p>
    <w:p w14:paraId="5790E56A" w14:textId="77777777" w:rsidR="00052364" w:rsidRPr="005804D7" w:rsidRDefault="00052364" w:rsidP="001879E5">
      <w:pPr>
        <w:spacing w:before="360" w:after="120"/>
        <w:rPr>
          <w:color w:val="0D2B58"/>
          <w:sz w:val="32"/>
          <w:szCs w:val="32"/>
        </w:rPr>
      </w:pPr>
      <w:bookmarkStart w:id="44" w:name="_Toc170128732"/>
      <w:r w:rsidRPr="005804D7">
        <w:rPr>
          <w:color w:val="0D2B58"/>
          <w:sz w:val="32"/>
          <w:szCs w:val="32"/>
        </w:rPr>
        <w:t>Risks based on types of supports</w:t>
      </w:r>
      <w:bookmarkEnd w:id="44"/>
    </w:p>
    <w:p w14:paraId="6CBDF0F1" w14:textId="77777777" w:rsidR="00052364" w:rsidRPr="005B05B3" w:rsidRDefault="00052364" w:rsidP="00052364">
      <w:r w:rsidRPr="005B05B3">
        <w:t>Different from individual risk, the Taskforce acknowledges that certain types of support can present risk. First and foremost, the Taskforce has heard that some supports have inherent risk because of what could happen to a participant or worker if something goes wrong in the delivery of support.</w:t>
      </w:r>
    </w:p>
    <w:p w14:paraId="4DD13ACC" w14:textId="65BB6796" w:rsidR="00052364" w:rsidRPr="005B05B3" w:rsidRDefault="00052364" w:rsidP="00FA0B19">
      <w:pPr>
        <w:pStyle w:val="Quote"/>
      </w:pPr>
      <w:r w:rsidRPr="00017282">
        <w:t>Safety hazards NDIS workers sometimes face are physical, such as manual handling, slips and falls and workplace-related violence, but also psychosocial, such as stress, burnout, vicarious trauma, bullying and unpredictability of work.</w:t>
      </w:r>
      <w:r w:rsidRPr="00017282">
        <w:rPr>
          <w:rStyle w:val="FootnoteReference"/>
        </w:rPr>
        <w:footnoteReference w:id="66"/>
      </w:r>
    </w:p>
    <w:p w14:paraId="6EC97781" w14:textId="20174B72" w:rsidR="00052364" w:rsidRPr="005B05B3" w:rsidRDefault="00052364" w:rsidP="00052364">
      <w:pPr>
        <w:rPr>
          <w:rStyle w:val="FootnoteReference"/>
        </w:rPr>
      </w:pPr>
      <w:r w:rsidRPr="005B05B3">
        <w:lastRenderedPageBreak/>
        <w:t>For example, if a participant requires medication management and is given the wrong medication, then they can become very sick. Or, if a worker is providing manual handling assistance, the risk of injury can increase.</w:t>
      </w:r>
    </w:p>
    <w:p w14:paraId="41FA7012" w14:textId="77777777" w:rsidR="00052364" w:rsidRPr="005B05B3" w:rsidRDefault="00052364" w:rsidP="00FA0B19">
      <w:pPr>
        <w:pStyle w:val="Quote"/>
      </w:pPr>
      <w:r w:rsidRPr="00017282">
        <w:t>As such, my son's life was thrown into turmoil. He became progressively dysregulated, could not tolerate the mixture of the excessive drugs administered to him and subsequently required hospitalisation.</w:t>
      </w:r>
      <w:r w:rsidRPr="00017282">
        <w:rPr>
          <w:rStyle w:val="FootnoteReference"/>
        </w:rPr>
        <w:footnoteReference w:id="67"/>
      </w:r>
    </w:p>
    <w:p w14:paraId="44891CA8" w14:textId="7824FDD9" w:rsidR="002C0517" w:rsidRPr="005804D7" w:rsidRDefault="002C0517" w:rsidP="001879E5">
      <w:pPr>
        <w:spacing w:before="360" w:after="120"/>
        <w:rPr>
          <w:color w:val="0D2B58"/>
          <w:sz w:val="32"/>
          <w:szCs w:val="32"/>
        </w:rPr>
      </w:pPr>
      <w:r w:rsidRPr="005804D7">
        <w:rPr>
          <w:color w:val="0D2B58"/>
          <w:sz w:val="32"/>
          <w:szCs w:val="32"/>
        </w:rPr>
        <w:t>Personal care</w:t>
      </w:r>
    </w:p>
    <w:p w14:paraId="2838A1D3" w14:textId="41743997" w:rsidR="0061478A" w:rsidRPr="00315CFA" w:rsidRDefault="00052364" w:rsidP="00315CFA">
      <w:pPr>
        <w:spacing w:after="160" w:line="276" w:lineRule="auto"/>
      </w:pPr>
      <w:r w:rsidRPr="005B05B3">
        <w:t>In the delivery of supports where there is personal contact or intimate care provided, the Disability Royal Commission has found that there is an increased risk of violence or abuse occurring, and this is especially the case for people with disability who may be isolated or living in segregated or separate settings.</w:t>
      </w:r>
      <w:r w:rsidRPr="005B05B3">
        <w:rPr>
          <w:rStyle w:val="FootnoteReference"/>
        </w:rPr>
        <w:footnoteReference w:id="68"/>
      </w:r>
      <w:r w:rsidRPr="005B05B3">
        <w:t xml:space="preserve"> The Taskforce recognises that this risk intersects significantly with individual risk and where a person experiences lower individual risk and is, in particular, able to advocate for themselves and is able to seek help if something goes wrong, the risk is </w:t>
      </w:r>
      <w:r w:rsidR="00BD74F8" w:rsidRPr="005B05B3">
        <w:t>minimised. The</w:t>
      </w:r>
      <w:r w:rsidR="00950F24" w:rsidRPr="005B05B3">
        <w:t xml:space="preserve"> Taskforce heard that r</w:t>
      </w:r>
      <w:r w:rsidR="00A57185" w:rsidRPr="005B05B3">
        <w:t xml:space="preserve">isk assessment </w:t>
      </w:r>
      <w:r w:rsidR="003614EB" w:rsidRPr="005B05B3">
        <w:t>should be</w:t>
      </w:r>
      <w:r w:rsidR="00A57185" w:rsidRPr="005B05B3">
        <w:t xml:space="preserve"> individualised. It should not be informed solely by the providers perspective but also by other relevant factors including the capability of the Participant and their setting as well as their connection to informal support </w:t>
      </w:r>
      <w:r w:rsidR="00A57185" w:rsidRPr="00017282">
        <w:t>networks.</w:t>
      </w:r>
      <w:r w:rsidR="00D50C51" w:rsidRPr="00017282">
        <w:t xml:space="preserve"> </w:t>
      </w:r>
      <w:r w:rsidR="00D50C51" w:rsidRPr="00017282">
        <w:rPr>
          <w:vertAlign w:val="superscript"/>
        </w:rPr>
        <w:footnoteReference w:id="69"/>
      </w:r>
      <w:r w:rsidR="0061478A" w:rsidRPr="005B05B3">
        <w:rPr>
          <w:rFonts w:cs="Times New Roman"/>
          <w:i/>
          <w:iCs/>
          <w:color w:val="auto"/>
          <w:lang w:eastAsia="en-AU"/>
        </w:rPr>
        <w:t xml:space="preserve"> </w:t>
      </w:r>
    </w:p>
    <w:p w14:paraId="1F68EB84" w14:textId="30A379B9" w:rsidR="00B85CEF" w:rsidRPr="005B05B3" w:rsidRDefault="00052364" w:rsidP="00315CFA">
      <w:pPr>
        <w:spacing w:after="160" w:line="276" w:lineRule="auto"/>
      </w:pPr>
      <w:r w:rsidRPr="005B05B3">
        <w:t xml:space="preserve">However, the Taskforce accepts that even where individual risk is very low, the evidence suggests that providing brings an increased risk of violence and abuse as current data shows that people are more likely in these scenarios to be taken advantage of compared to other types of disability support such as community participation. </w:t>
      </w:r>
      <w:r w:rsidRPr="005B05B3">
        <w:rPr>
          <w:rStyle w:val="FootnoteReference"/>
        </w:rPr>
        <w:footnoteReference w:id="70"/>
      </w:r>
      <w:r w:rsidR="2397C1B6" w:rsidRPr="005B05B3">
        <w:rPr>
          <w:rStyle w:val="FootnoteReference"/>
        </w:rPr>
        <w:t xml:space="preserve"> </w:t>
      </w:r>
    </w:p>
    <w:p w14:paraId="41931B86" w14:textId="59D01382" w:rsidR="002C0517" w:rsidRPr="005B05B3" w:rsidRDefault="007C62B5" w:rsidP="00052364">
      <w:r w:rsidRPr="005B05B3">
        <w:t>The</w:t>
      </w:r>
      <w:r w:rsidR="55F180BF" w:rsidRPr="005B05B3">
        <w:t xml:space="preserve"> risk in personal care supports increases the longer it is provided. For </w:t>
      </w:r>
      <w:r w:rsidR="00BD74F8" w:rsidRPr="005B05B3">
        <w:t>example, a</w:t>
      </w:r>
      <w:r w:rsidR="55F180BF" w:rsidRPr="005B05B3">
        <w:t xml:space="preserve"> </w:t>
      </w:r>
      <w:r w:rsidR="00DF7F96" w:rsidRPr="005B05B3">
        <w:t>p</w:t>
      </w:r>
      <w:r w:rsidR="55F180BF" w:rsidRPr="005B05B3">
        <w:t xml:space="preserve">articipant </w:t>
      </w:r>
      <w:r w:rsidR="00B85CEF" w:rsidRPr="005B05B3">
        <w:t xml:space="preserve">who </w:t>
      </w:r>
      <w:r w:rsidR="55F180BF" w:rsidRPr="005B05B3">
        <w:t>receives 1 - 2 hours of personal care per day may be at less risk than someone receiving personal care 24 hours per day.</w:t>
      </w:r>
      <w:r w:rsidR="00052364" w:rsidRPr="005B05B3">
        <w:t xml:space="preserve"> </w:t>
      </w:r>
      <w:r w:rsidR="00BD74F8" w:rsidRPr="005B05B3">
        <w:t>The</w:t>
      </w:r>
      <w:r w:rsidR="00052364" w:rsidRPr="005B05B3">
        <w:t xml:space="preserve"> Taskforce expresses our deep concern and disappointment that th</w:t>
      </w:r>
      <w:r w:rsidR="005C5B11" w:rsidRPr="005B05B3">
        <w:t>e</w:t>
      </w:r>
      <w:r w:rsidR="00052364" w:rsidRPr="005B05B3">
        <w:t xml:space="preserve"> risk in the delivery of personal care services persists in </w:t>
      </w:r>
      <w:r w:rsidR="00114B99">
        <w:t>modern</w:t>
      </w:r>
      <w:r w:rsidR="00052364" w:rsidRPr="005B05B3">
        <w:t xml:space="preserve"> times. This reflects extremely poorly on </w:t>
      </w:r>
      <w:r w:rsidR="00D85F2A" w:rsidRPr="005B05B3">
        <w:t>those</w:t>
      </w:r>
      <w:r w:rsidR="00052364" w:rsidRPr="005B05B3">
        <w:t xml:space="preserve"> organisations and workers who perpetrate against people with disability when they are </w:t>
      </w:r>
      <w:r w:rsidR="00114B99">
        <w:t>providing</w:t>
      </w:r>
      <w:r w:rsidR="00052364" w:rsidRPr="005B05B3">
        <w:t xml:space="preserve"> supports on which the</w:t>
      </w:r>
      <w:r w:rsidR="00114B99">
        <w:t xml:space="preserve"> person is</w:t>
      </w:r>
      <w:r w:rsidR="00052364" w:rsidRPr="005B05B3">
        <w:t xml:space="preserve"> dependent. Unlike other risk factors in supports</w:t>
      </w:r>
      <w:r w:rsidR="00217A99" w:rsidRPr="005B05B3">
        <w:t>,</w:t>
      </w:r>
      <w:r w:rsidR="00052364" w:rsidRPr="005B05B3">
        <w:t xml:space="preserve"> such as negative outcomes that</w:t>
      </w:r>
      <w:r w:rsidR="001F48E3" w:rsidRPr="005B05B3">
        <w:t xml:space="preserve"> can</w:t>
      </w:r>
      <w:r w:rsidR="00052364" w:rsidRPr="005B05B3">
        <w:t xml:space="preserve"> occur through poor service delivery (</w:t>
      </w:r>
      <w:r w:rsidR="00441826" w:rsidRPr="005B05B3">
        <w:t xml:space="preserve">and </w:t>
      </w:r>
      <w:r w:rsidR="00052364" w:rsidRPr="005B05B3">
        <w:t>which may only ever be able to be mitigated so far</w:t>
      </w:r>
      <w:r w:rsidR="001F48E3" w:rsidRPr="005B05B3">
        <w:t>)</w:t>
      </w:r>
      <w:r w:rsidR="00052364" w:rsidRPr="005B05B3">
        <w:t xml:space="preserve">, the Taskforce does not accept that there must be an inherent risk in the delivery of personal support services. Significant effort must be undertaken to address this and to ensure that organisations and workers do not exploit </w:t>
      </w:r>
      <w:r w:rsidR="00052364" w:rsidRPr="005B05B3">
        <w:lastRenderedPageBreak/>
        <w:t xml:space="preserve">the apparent opportunity that arises to perpetrate crimes against people with disabilities when providing personal care support services. </w:t>
      </w:r>
    </w:p>
    <w:p w14:paraId="291CA0B4" w14:textId="77777777" w:rsidR="002C0517" w:rsidRPr="005804D7" w:rsidRDefault="002C0517" w:rsidP="001879E5">
      <w:pPr>
        <w:spacing w:before="360" w:after="120"/>
        <w:rPr>
          <w:sz w:val="32"/>
          <w:szCs w:val="32"/>
        </w:rPr>
      </w:pPr>
      <w:r w:rsidRPr="005804D7">
        <w:rPr>
          <w:sz w:val="32"/>
          <w:szCs w:val="32"/>
        </w:rPr>
        <w:t>Closed settings</w:t>
      </w:r>
    </w:p>
    <w:p w14:paraId="62338904" w14:textId="36FD290D" w:rsidR="00052364" w:rsidRPr="005B05B3" w:rsidRDefault="00052364" w:rsidP="00052364">
      <w:r w:rsidRPr="005B05B3">
        <w:t>Similar to the risk of isolation increasing a person’s individual risk factors, the environment in which services are delivered adds a layer of risk to the service type. When a service is offered in a closed environment, without external visibility or direct supervision, the Taskforce has heard that risk can increase.</w:t>
      </w:r>
    </w:p>
    <w:p w14:paraId="6E1C4EB1" w14:textId="77777777" w:rsidR="00052364" w:rsidRPr="005B05B3" w:rsidRDefault="00052364" w:rsidP="4DF3B00C">
      <w:pPr>
        <w:ind w:left="720"/>
      </w:pPr>
      <w:r w:rsidRPr="00BA5681">
        <w:rPr>
          <w:rStyle w:val="QuoteChar"/>
          <w:rFonts w:ascii="Aptos" w:hAnsi="Aptos"/>
        </w:rPr>
        <w:t>The environment in which the support occurs, particularly if it lacks external visibility or direct supervision, or if the support does not require professional registration, can pose a higher risk of abuse for participants.</w:t>
      </w:r>
      <w:r w:rsidRPr="00BA5681">
        <w:rPr>
          <w:rStyle w:val="FootnoteReference"/>
        </w:rPr>
        <w:footnoteReference w:id="71"/>
      </w:r>
    </w:p>
    <w:p w14:paraId="4F03E040" w14:textId="1532AB9F" w:rsidR="00052364" w:rsidRPr="005B05B3" w:rsidRDefault="00052364" w:rsidP="00052364">
      <w:r w:rsidRPr="005B05B3">
        <w:t>The Taskforce accepts that some supports will always be delivered alone to a person and</w:t>
      </w:r>
      <w:r w:rsidR="00B20EEC" w:rsidRPr="005B05B3">
        <w:t>,</w:t>
      </w:r>
      <w:r w:rsidRPr="005B05B3">
        <w:t xml:space="preserve"> as is the case with the delivery of personal support services, that brings an inherent risk that violence or abuse may occur</w:t>
      </w:r>
      <w:r w:rsidR="736E09BB" w:rsidRPr="005B05B3">
        <w:t>. This is</w:t>
      </w:r>
      <w:r w:rsidRPr="005B05B3" w:rsidDel="00052364">
        <w:t xml:space="preserve"> </w:t>
      </w:r>
      <w:r w:rsidRPr="005B05B3">
        <w:t>very disappointing and causes deep concern</w:t>
      </w:r>
      <w:r w:rsidR="00B20EEC" w:rsidRPr="005B05B3">
        <w:t>.</w:t>
      </w:r>
      <w:r w:rsidRPr="005B05B3">
        <w:t xml:space="preserve"> </w:t>
      </w:r>
      <w:r w:rsidR="00B20EEC" w:rsidRPr="005B05B3">
        <w:t>A</w:t>
      </w:r>
      <w:r w:rsidR="5A7EA32D" w:rsidRPr="005B05B3">
        <w:t xml:space="preserve">s such, </w:t>
      </w:r>
      <w:r w:rsidR="00B20EEC" w:rsidRPr="005B05B3">
        <w:t>t</w:t>
      </w:r>
      <w:r w:rsidR="5A7EA32D" w:rsidRPr="005B05B3">
        <w:t xml:space="preserve">he Taskforce </w:t>
      </w:r>
      <w:r w:rsidRPr="005B05B3">
        <w:t xml:space="preserve">emphasise that preventative actions such as through worker training, screening and reportable incidents need to be undertaken to minimise this risk. Those preventative actions are </w:t>
      </w:r>
      <w:r w:rsidRPr="004F238D">
        <w:t xml:space="preserve">discussed in </w:t>
      </w:r>
      <w:hyperlink w:anchor="_NDIS_Provider_Obligations" w:history="1">
        <w:r w:rsidRPr="004F238D">
          <w:rPr>
            <w:rStyle w:val="Hyperlink"/>
            <w:rFonts w:ascii="Aptos" w:hAnsi="Aptos"/>
          </w:rPr>
          <w:t xml:space="preserve">Chapter </w:t>
        </w:r>
        <w:r w:rsidR="00947193" w:rsidRPr="004F238D">
          <w:rPr>
            <w:rStyle w:val="Hyperlink"/>
            <w:rFonts w:ascii="Aptos" w:hAnsi="Aptos"/>
          </w:rPr>
          <w:t>8</w:t>
        </w:r>
        <w:r w:rsidR="00AB2368" w:rsidRPr="004F238D">
          <w:rPr>
            <w:rStyle w:val="Hyperlink"/>
            <w:rFonts w:ascii="Aptos" w:hAnsi="Aptos"/>
          </w:rPr>
          <w:t xml:space="preserve"> NDIS Provider Obligations and Processes</w:t>
        </w:r>
      </w:hyperlink>
      <w:r w:rsidRPr="004F238D">
        <w:t>.</w:t>
      </w:r>
    </w:p>
    <w:p w14:paraId="7D308798" w14:textId="21667097" w:rsidR="00F17BC9" w:rsidRPr="005804D7" w:rsidRDefault="00F17BC9" w:rsidP="001879E5">
      <w:pPr>
        <w:spacing w:before="360" w:after="120"/>
        <w:rPr>
          <w:color w:val="0D2B58"/>
          <w:sz w:val="32"/>
          <w:szCs w:val="32"/>
        </w:rPr>
      </w:pPr>
      <w:r w:rsidRPr="005804D7">
        <w:rPr>
          <w:color w:val="0D2B58"/>
          <w:sz w:val="32"/>
          <w:szCs w:val="32"/>
        </w:rPr>
        <w:t>High risk supports</w:t>
      </w:r>
    </w:p>
    <w:p w14:paraId="4AB1A818" w14:textId="3F55D992" w:rsidR="00052364" w:rsidRPr="005B05B3" w:rsidRDefault="00052364" w:rsidP="00F43D40">
      <w:pPr>
        <w:spacing w:after="120" w:line="276" w:lineRule="auto"/>
      </w:pPr>
      <w:r w:rsidRPr="005B05B3">
        <w:t>Upon examining the current offerings of disability support services,</w:t>
      </w:r>
      <w:r w:rsidR="7B9D8F0F" w:rsidRPr="005B05B3">
        <w:t xml:space="preserve"> the Taskforce has noted the following supports and services to be so inherently risky due to the opportunity for violence, abuse, neglect and exploitation </w:t>
      </w:r>
      <w:r w:rsidR="4FA9DC19" w:rsidRPr="005B05B3">
        <w:t xml:space="preserve">of people with disability, </w:t>
      </w:r>
      <w:r w:rsidR="009E7FDE" w:rsidRPr="005B05B3">
        <w:t>p</w:t>
      </w:r>
      <w:r w:rsidR="4FA9DC19" w:rsidRPr="005B05B3">
        <w:t>roviders offering them will need to register to deliver high-risk supports:</w:t>
      </w:r>
    </w:p>
    <w:p w14:paraId="0A6C580C" w14:textId="79E4BB69" w:rsidR="00052364" w:rsidRPr="005B05B3" w:rsidRDefault="4FA9DC19" w:rsidP="00F43D40">
      <w:pPr>
        <w:pStyle w:val="ListParagraph"/>
        <w:numPr>
          <w:ilvl w:val="0"/>
          <w:numId w:val="24"/>
        </w:numPr>
        <w:spacing w:line="276" w:lineRule="auto"/>
      </w:pPr>
      <w:r w:rsidRPr="005B05B3">
        <w:t>Behaviour support and restrictive practices (authorised or unauthorised)</w:t>
      </w:r>
    </w:p>
    <w:p w14:paraId="22AAD763" w14:textId="2DB134A9" w:rsidR="00052364" w:rsidRPr="005B05B3" w:rsidRDefault="4FA9DC19" w:rsidP="00F43D40">
      <w:pPr>
        <w:pStyle w:val="ListParagraph"/>
        <w:numPr>
          <w:ilvl w:val="0"/>
          <w:numId w:val="24"/>
        </w:numPr>
        <w:spacing w:line="276" w:lineRule="auto"/>
      </w:pPr>
      <w:r w:rsidRPr="005B05B3">
        <w:t>Specialist Disability Accommodations</w:t>
      </w:r>
    </w:p>
    <w:p w14:paraId="32BA2EB3" w14:textId="398C0F90" w:rsidR="00052364" w:rsidRPr="005B05B3" w:rsidRDefault="6926D36B" w:rsidP="00F43D40">
      <w:pPr>
        <w:pStyle w:val="ListParagraph"/>
        <w:numPr>
          <w:ilvl w:val="0"/>
          <w:numId w:val="24"/>
        </w:numPr>
        <w:spacing w:line="276" w:lineRule="auto"/>
      </w:pPr>
      <w:r w:rsidRPr="005B05B3">
        <w:t>Plan management</w:t>
      </w:r>
    </w:p>
    <w:p w14:paraId="116EA7F9" w14:textId="38959F29" w:rsidR="007A764A" w:rsidRPr="005B05B3" w:rsidRDefault="6926D36B" w:rsidP="00F43D40">
      <w:pPr>
        <w:pStyle w:val="ListParagraph"/>
        <w:numPr>
          <w:ilvl w:val="0"/>
          <w:numId w:val="24"/>
        </w:numPr>
        <w:spacing w:line="276" w:lineRule="auto"/>
      </w:pPr>
      <w:r w:rsidRPr="005B05B3">
        <w:t>Support coordination (including specialist support coordination</w:t>
      </w:r>
      <w:r w:rsidR="00145199" w:rsidRPr="005B05B3">
        <w:t>)</w:t>
      </w:r>
    </w:p>
    <w:p w14:paraId="76E609E6" w14:textId="75D1EE7C" w:rsidR="00052364" w:rsidRPr="005B05B3" w:rsidRDefault="6926D36B" w:rsidP="00F43D40">
      <w:pPr>
        <w:pStyle w:val="ListParagraph"/>
        <w:numPr>
          <w:ilvl w:val="0"/>
          <w:numId w:val="24"/>
        </w:numPr>
        <w:spacing w:line="276" w:lineRule="auto"/>
      </w:pPr>
      <w:r w:rsidRPr="005B05B3">
        <w:t>Early childhood supports and therapies</w:t>
      </w:r>
    </w:p>
    <w:p w14:paraId="106DF63F" w14:textId="385466CD" w:rsidR="005C5BF5" w:rsidRPr="005804D7" w:rsidRDefault="00C6541E" w:rsidP="001879E5">
      <w:pPr>
        <w:spacing w:before="360" w:after="120"/>
        <w:rPr>
          <w:sz w:val="32"/>
          <w:szCs w:val="32"/>
        </w:rPr>
      </w:pPr>
      <w:r w:rsidRPr="005804D7">
        <w:rPr>
          <w:sz w:val="32"/>
          <w:szCs w:val="32"/>
        </w:rPr>
        <w:t>Oversight in l</w:t>
      </w:r>
      <w:r w:rsidR="005C5BF5" w:rsidRPr="005804D7">
        <w:rPr>
          <w:sz w:val="32"/>
          <w:szCs w:val="32"/>
        </w:rPr>
        <w:t>arger organisations</w:t>
      </w:r>
      <w:r w:rsidRPr="005804D7">
        <w:rPr>
          <w:sz w:val="32"/>
          <w:szCs w:val="32"/>
        </w:rPr>
        <w:t xml:space="preserve"> and conflict of interest</w:t>
      </w:r>
    </w:p>
    <w:p w14:paraId="62BECC24" w14:textId="52043652" w:rsidR="00052364" w:rsidRPr="00BA5681" w:rsidRDefault="440D38BE" w:rsidP="00F43D40">
      <w:pPr>
        <w:spacing w:after="160" w:line="276" w:lineRule="auto"/>
      </w:pPr>
      <w:r w:rsidRPr="005B05B3">
        <w:t xml:space="preserve">Further, the Taskforce observed evidence of concern that some risk may occur in some large organisations, </w:t>
      </w:r>
      <w:r w:rsidR="59E82E57" w:rsidRPr="005B05B3">
        <w:t>who offer</w:t>
      </w:r>
      <w:r w:rsidR="00052364" w:rsidRPr="005B05B3">
        <w:t xml:space="preserve"> different types of disability support services provided to </w:t>
      </w:r>
      <w:r w:rsidR="005C5BF5" w:rsidRPr="005B05B3">
        <w:t xml:space="preserve">a </w:t>
      </w:r>
      <w:r w:rsidR="00052364" w:rsidRPr="005B05B3">
        <w:t>large client base. Principally, the risk lies in the inability of the service to know and have thorough oversight of a</w:t>
      </w:r>
      <w:r w:rsidR="005C5BF5" w:rsidRPr="005B05B3">
        <w:t>n NDIS</w:t>
      </w:r>
      <w:r w:rsidR="00052364" w:rsidRPr="005B05B3">
        <w:t xml:space="preserve"> participant’s needs in these large</w:t>
      </w:r>
      <w:r w:rsidR="002925D1" w:rsidRPr="005B05B3">
        <w:t xml:space="preserve"> </w:t>
      </w:r>
      <w:r w:rsidR="00052364" w:rsidRPr="005B05B3">
        <w:t xml:space="preserve">scale and often </w:t>
      </w:r>
      <w:r w:rsidR="00052364" w:rsidRPr="00BA5681">
        <w:t>dispersed operations.</w:t>
      </w:r>
    </w:p>
    <w:p w14:paraId="4CAA7990" w14:textId="77777777" w:rsidR="00052364" w:rsidRPr="00BA5681" w:rsidRDefault="00052364" w:rsidP="00B12412">
      <w:pPr>
        <w:pStyle w:val="Quote"/>
      </w:pPr>
      <w:r w:rsidRPr="00BA5681">
        <w:lastRenderedPageBreak/>
        <w:t xml:space="preserve">The larger organisations employ primarily young, inexperienced staff with high staff turnover that means they </w:t>
      </w:r>
      <w:r w:rsidRPr="00B12412">
        <w:t>are</w:t>
      </w:r>
      <w:r w:rsidRPr="00BA5681">
        <w:t xml:space="preserve"> unable to provide continuity of services. This is a common complaint directed at large providers from NDIS participants.</w:t>
      </w:r>
      <w:r w:rsidRPr="00BA5681">
        <w:rPr>
          <w:rStyle w:val="FootnoteReference"/>
        </w:rPr>
        <w:footnoteReference w:id="72"/>
      </w:r>
    </w:p>
    <w:p w14:paraId="43066626" w14:textId="24E321E0" w:rsidR="00052364" w:rsidRPr="005B05B3" w:rsidRDefault="00052364" w:rsidP="00B12412">
      <w:pPr>
        <w:pStyle w:val="Quote"/>
      </w:pPr>
      <w:r w:rsidRPr="00B12412">
        <w:t>In all of my experience NDIS registration or government approved and funded organisations, particularly those that are large - are unable to provide good support for those with disabilities due to their focus on rules and regulations - but not on people - so in the end the ones who miss out are the people!!</w:t>
      </w:r>
      <w:r w:rsidRPr="00BA5681">
        <w:rPr>
          <w:rStyle w:val="FootnoteReference"/>
        </w:rPr>
        <w:footnoteReference w:id="73"/>
      </w:r>
    </w:p>
    <w:p w14:paraId="2525BD20" w14:textId="1F0B2629" w:rsidR="00052364" w:rsidRPr="005B05B3" w:rsidRDefault="00052364" w:rsidP="00B12412">
      <w:r w:rsidRPr="005B05B3">
        <w:t xml:space="preserve">The Taskforce acknowledges that many large service providers </w:t>
      </w:r>
      <w:r w:rsidR="001631AA" w:rsidRPr="005B05B3">
        <w:t xml:space="preserve">deliver quality services and </w:t>
      </w:r>
      <w:r w:rsidRPr="005B05B3">
        <w:t xml:space="preserve">do the right thing, and we recognise the importance of having large scale providers to meet </w:t>
      </w:r>
      <w:r w:rsidR="25192A39" w:rsidRPr="005B05B3">
        <w:t xml:space="preserve">the </w:t>
      </w:r>
      <w:r w:rsidRPr="005B05B3">
        <w:t>needs</w:t>
      </w:r>
      <w:r w:rsidR="06A9E222" w:rsidRPr="005B05B3">
        <w:t xml:space="preserve"> of people with disability and contribute </w:t>
      </w:r>
      <w:r w:rsidR="00FF2AB7">
        <w:t xml:space="preserve">to </w:t>
      </w:r>
      <w:r w:rsidR="06A9E222" w:rsidRPr="005B05B3">
        <w:t>the NDIS market</w:t>
      </w:r>
      <w:r w:rsidRPr="005B05B3">
        <w:t>.</w:t>
      </w:r>
    </w:p>
    <w:p w14:paraId="1A55073C" w14:textId="77777777" w:rsidR="00255EAB" w:rsidRPr="005B05B3" w:rsidRDefault="00DC5DE7" w:rsidP="00B12412">
      <w:pPr>
        <w:rPr>
          <w:lang w:val="en-GB"/>
        </w:rPr>
      </w:pPr>
      <w:r w:rsidRPr="005B05B3">
        <w:t>However, during our consultations, w</w:t>
      </w:r>
      <w:r w:rsidR="00052364" w:rsidRPr="005B05B3">
        <w:t>e</w:t>
      </w:r>
      <w:r w:rsidR="00BD74F8">
        <w:t xml:space="preserve"> </w:t>
      </w:r>
      <w:r w:rsidR="00052364" w:rsidRPr="005B05B3">
        <w:t xml:space="preserve">heard concerning stories that </w:t>
      </w:r>
      <w:r w:rsidR="00052364" w:rsidRPr="00137C03">
        <w:t>people with disability who have used these styles of services have not had their individual needs met, have not received adequate (or any) response when an incident has occurred or have received services that are in conflict</w:t>
      </w:r>
      <w:r w:rsidR="00052364" w:rsidRPr="005B05B3">
        <w:t xml:space="preserve"> such as personal care support and support coordination by the same organisation.</w:t>
      </w:r>
      <w:r w:rsidR="00255EAB">
        <w:t xml:space="preserve"> </w:t>
      </w:r>
      <w:r w:rsidR="00255EAB" w:rsidRPr="004B03C4">
        <w:t>One Participant shared their experience of workers who were not fully trained to deliver their specific supports let alone accommodating their personal preferences due to workforce shortages but also challenges in worker training matching the individual needs of Participants.</w:t>
      </w:r>
      <w:r w:rsidR="00255EAB" w:rsidRPr="004B03C4">
        <w:rPr>
          <w:rStyle w:val="FootnoteReference"/>
          <w:lang w:val="en-GB"/>
        </w:rPr>
        <w:footnoteReference w:id="74"/>
      </w:r>
      <w:r w:rsidR="00255EAB" w:rsidRPr="004B03C4">
        <w:rPr>
          <w:color w:val="404040" w:themeColor="text1" w:themeTint="BF"/>
          <w:lang w:val="en-GB"/>
        </w:rPr>
        <w:t xml:space="preserve"> </w:t>
      </w:r>
      <w:r w:rsidR="00255EAB" w:rsidRPr="004B03C4">
        <w:rPr>
          <w:lang w:val="en-GB"/>
        </w:rPr>
        <w:t>The Taskforce also heard from the parent of a Participant, who shared concerns regarding the lack of oversight of a worker who had not disclosed incident reporting or requested approval for medical testing for their child.</w:t>
      </w:r>
      <w:r w:rsidR="00255EAB" w:rsidRPr="004B03C4">
        <w:rPr>
          <w:rStyle w:val="FootnoteReference"/>
          <w:lang w:val="en-GB"/>
        </w:rPr>
        <w:footnoteReference w:id="75"/>
      </w:r>
    </w:p>
    <w:p w14:paraId="3A836D3C" w14:textId="5B89E11F" w:rsidR="00052364" w:rsidRPr="005B05B3" w:rsidRDefault="00052364" w:rsidP="00B12412">
      <w:r w:rsidRPr="005B05B3">
        <w:t xml:space="preserve">Notwithstanding that the Practice Standards require where a </w:t>
      </w:r>
      <w:r w:rsidR="004C201E" w:rsidRPr="005B05B3">
        <w:t>specialist disability accommodation (</w:t>
      </w:r>
      <w:r w:rsidRPr="005B05B3">
        <w:t>SDA</w:t>
      </w:r>
      <w:r w:rsidR="004C201E" w:rsidRPr="005B05B3">
        <w:t>)</w:t>
      </w:r>
      <w:r w:rsidRPr="005B05B3">
        <w:t xml:space="preserve"> provider is delivering both SDA and other NDIS supports to the same participant that there are separate service agreements, the </w:t>
      </w:r>
      <w:r w:rsidR="3631A8C6" w:rsidRPr="005B05B3">
        <w:t xml:space="preserve">Taskforce, like the </w:t>
      </w:r>
      <w:r w:rsidRPr="005B05B3">
        <w:t>NDIS Review</w:t>
      </w:r>
      <w:r w:rsidR="3631A8C6" w:rsidRPr="005B05B3">
        <w:t>,</w:t>
      </w:r>
      <w:r w:rsidRPr="005B05B3">
        <w:t xml:space="preserve"> heard these concerns about conflict of interest in the provision of housing/accommodation supports and living supports, for SDA, but also for non-SDA accommodation such as SIL homes and recommended mandating the separation of SDA and living support providers.</w:t>
      </w:r>
      <w:r w:rsidRPr="005B05B3">
        <w:rPr>
          <w:rStyle w:val="FootnoteReference"/>
        </w:rPr>
        <w:footnoteReference w:id="76"/>
      </w:r>
    </w:p>
    <w:p w14:paraId="3CB7F1DA" w14:textId="46D3D60D" w:rsidR="00C62CE8" w:rsidRPr="005B05B3" w:rsidRDefault="00C62CE8" w:rsidP="00B12412">
      <w:pPr>
        <w:pStyle w:val="Quote"/>
      </w:pPr>
      <w:r w:rsidRPr="00A94964">
        <w:t xml:space="preserve">Too many people are becoming trapped by providers who are offering all services such as support workers, housing and support </w:t>
      </w:r>
      <w:r w:rsidRPr="00B12412">
        <w:t>coordination</w:t>
      </w:r>
      <w:r w:rsidRPr="00A94964">
        <w:t xml:space="preserve"> despite obvious conflict. This limits a participants' ability to seek support or guidance outside of this provider and makes providing feedback near impossible. </w:t>
      </w:r>
      <w:r w:rsidRPr="00A94964">
        <w:rPr>
          <w:rStyle w:val="FootnoteReference"/>
        </w:rPr>
        <w:footnoteReference w:id="77"/>
      </w:r>
    </w:p>
    <w:p w14:paraId="5F025D87" w14:textId="77777777" w:rsidR="00052364" w:rsidRPr="005B05B3" w:rsidRDefault="4EA15D44" w:rsidP="00F43D40">
      <w:pPr>
        <w:pStyle w:val="TSDAltHeading2"/>
      </w:pPr>
      <w:bookmarkStart w:id="45" w:name="_Toc170808352"/>
      <w:bookmarkStart w:id="46" w:name="_Toc170128733"/>
      <w:bookmarkStart w:id="47" w:name="_Toc173318057"/>
      <w:bookmarkEnd w:id="45"/>
      <w:r w:rsidRPr="005B05B3">
        <w:lastRenderedPageBreak/>
        <w:t>Incorporating risk into the model</w:t>
      </w:r>
      <w:bookmarkEnd w:id="46"/>
      <w:bookmarkEnd w:id="47"/>
    </w:p>
    <w:p w14:paraId="78CAEFDD" w14:textId="40F6B1A9" w:rsidR="00052364" w:rsidRPr="005B05B3" w:rsidRDefault="00052364" w:rsidP="00B12412">
      <w:r w:rsidRPr="005B05B3">
        <w:t xml:space="preserve">With this understanding of risk, the </w:t>
      </w:r>
      <w:r w:rsidRPr="00B12412">
        <w:t>Taskforce</w:t>
      </w:r>
      <w:r w:rsidRPr="005B05B3">
        <w:t xml:space="preserve"> has recommended that there be </w:t>
      </w:r>
      <w:r w:rsidR="003D4AB0" w:rsidRPr="005B05B3">
        <w:t xml:space="preserve">4 </w:t>
      </w:r>
      <w:r w:rsidRPr="005B05B3">
        <w:t>categories of registration which reflect a graduated risk-proportionate approach:</w:t>
      </w:r>
    </w:p>
    <w:p w14:paraId="7F739EB5" w14:textId="694BEA43" w:rsidR="59D56FF5" w:rsidRPr="005B05B3" w:rsidRDefault="183C53EE" w:rsidP="00F43D40">
      <w:pPr>
        <w:numPr>
          <w:ilvl w:val="0"/>
          <w:numId w:val="25"/>
        </w:numPr>
        <w:spacing w:after="40" w:line="276" w:lineRule="auto"/>
        <w:ind w:left="714" w:hanging="357"/>
      </w:pPr>
      <w:r w:rsidRPr="005B05B3">
        <w:rPr>
          <w:b/>
          <w:bCs/>
        </w:rPr>
        <w:t>Advanced</w:t>
      </w:r>
      <w:r w:rsidR="59D56FF5" w:rsidRPr="005B05B3">
        <w:rPr>
          <w:b/>
          <w:bCs/>
        </w:rPr>
        <w:t xml:space="preserve"> Registration: </w:t>
      </w:r>
      <w:r w:rsidR="59D56FF5" w:rsidRPr="005B05B3">
        <w:t>Providers who offer</w:t>
      </w:r>
      <w:r w:rsidR="4F6EF1E7" w:rsidRPr="005B05B3">
        <w:t xml:space="preserve"> high-risk</w:t>
      </w:r>
      <w:r w:rsidR="59D56FF5" w:rsidRPr="005B05B3">
        <w:t xml:space="preserve"> supports and services</w:t>
      </w:r>
      <w:r w:rsidR="04B6C21B" w:rsidRPr="005B05B3">
        <w:t xml:space="preserve"> such as supports delivered in high-risk settings, such as daily living supports delivered in formal closed settings like group homes.</w:t>
      </w:r>
    </w:p>
    <w:p w14:paraId="5AA16EC7" w14:textId="31CF89FB" w:rsidR="59D56FF5" w:rsidRPr="005B05B3" w:rsidRDefault="04B6C21B" w:rsidP="00F43D40">
      <w:pPr>
        <w:pStyle w:val="ListParagraph"/>
        <w:numPr>
          <w:ilvl w:val="0"/>
          <w:numId w:val="25"/>
        </w:numPr>
        <w:spacing w:after="40" w:line="276" w:lineRule="auto"/>
        <w:ind w:left="714" w:hanging="357"/>
        <w:contextualSpacing w:val="0"/>
      </w:pPr>
      <w:r w:rsidRPr="005B05B3">
        <w:rPr>
          <w:b/>
          <w:bCs/>
        </w:rPr>
        <w:t>General</w:t>
      </w:r>
      <w:r w:rsidR="59D56FF5" w:rsidRPr="005B05B3">
        <w:rPr>
          <w:b/>
          <w:bCs/>
        </w:rPr>
        <w:t xml:space="preserve"> Registration: </w:t>
      </w:r>
      <w:r w:rsidR="1582D183" w:rsidRPr="005B05B3">
        <w:t>Providers who offer medium-risk supports such as high intensity supports (such as high intensity daily personal activities), supports that require additional skill and training (such as complex bowel care or injections) and</w:t>
      </w:r>
      <w:r w:rsidR="59D56FF5" w:rsidRPr="005B05B3">
        <w:t xml:space="preserve"> supports </w:t>
      </w:r>
      <w:r w:rsidR="1582D183" w:rsidRPr="005B05B3">
        <w:t>involving significant 1:1 contact with</w:t>
      </w:r>
      <w:r w:rsidR="59D56FF5" w:rsidRPr="005B05B3">
        <w:t xml:space="preserve"> people </w:t>
      </w:r>
      <w:r w:rsidR="1582D183" w:rsidRPr="005B05B3">
        <w:t>with disability.</w:t>
      </w:r>
    </w:p>
    <w:p w14:paraId="401A6E50" w14:textId="65A790B9" w:rsidR="00CF2FCD" w:rsidRDefault="52003DEA" w:rsidP="00F43D40">
      <w:pPr>
        <w:pStyle w:val="ListParagraph"/>
        <w:numPr>
          <w:ilvl w:val="0"/>
          <w:numId w:val="25"/>
        </w:numPr>
        <w:spacing w:after="160" w:line="276" w:lineRule="auto"/>
      </w:pPr>
      <w:r w:rsidRPr="005B05B3">
        <w:rPr>
          <w:b/>
          <w:bCs/>
        </w:rPr>
        <w:t>Self</w:t>
      </w:r>
      <w:r w:rsidR="00881433" w:rsidRPr="005B05B3">
        <w:rPr>
          <w:b/>
          <w:bCs/>
        </w:rPr>
        <w:t>-</w:t>
      </w:r>
      <w:r w:rsidRPr="005B05B3">
        <w:rPr>
          <w:b/>
          <w:bCs/>
        </w:rPr>
        <w:t xml:space="preserve">Directed Support Registration: </w:t>
      </w:r>
      <w:r w:rsidRPr="005B05B3">
        <w:t xml:space="preserve">Participants, their guardian or legal representative who direct contract all of their supports, including through </w:t>
      </w:r>
      <w:r w:rsidR="00114B99">
        <w:t xml:space="preserve">direct employment, </w:t>
      </w:r>
      <w:r w:rsidR="00B26661" w:rsidRPr="005B05B3">
        <w:t xml:space="preserve">Services for One and </w:t>
      </w:r>
      <w:r w:rsidRPr="005B05B3">
        <w:t>independent contractors.</w:t>
      </w:r>
    </w:p>
    <w:p w14:paraId="68C23381" w14:textId="6DAE7D82" w:rsidR="003D4AB0" w:rsidRPr="00CF2FCD" w:rsidRDefault="003D4AB0" w:rsidP="00F43D40">
      <w:pPr>
        <w:pStyle w:val="ListParagraph"/>
        <w:numPr>
          <w:ilvl w:val="0"/>
          <w:numId w:val="25"/>
        </w:numPr>
        <w:spacing w:after="160" w:line="276" w:lineRule="auto"/>
      </w:pPr>
      <w:r w:rsidRPr="00CF2FCD">
        <w:rPr>
          <w:b/>
          <w:bCs/>
        </w:rPr>
        <w:t xml:space="preserve">Basic Registration: </w:t>
      </w:r>
      <w:r w:rsidRPr="00CF2FCD">
        <w:t>Providers who offer lower-risk supports such as</w:t>
      </w:r>
      <w:r w:rsidR="00114B99">
        <w:t xml:space="preserve"> some</w:t>
      </w:r>
      <w:r w:rsidRPr="00CF2FCD">
        <w:t xml:space="preserve"> sole traders and supports such as social and community participation and supports involving more limited 1:1 contact with people with disability.</w:t>
      </w:r>
    </w:p>
    <w:p w14:paraId="2AC66F43" w14:textId="44FFF487" w:rsidR="6EB98A9E" w:rsidRPr="005B05B3" w:rsidRDefault="313EC691" w:rsidP="00B12412">
      <w:r w:rsidRPr="005B05B3">
        <w:t xml:space="preserve">We note that a </w:t>
      </w:r>
      <w:r w:rsidRPr="005B05B3">
        <w:rPr>
          <w:b/>
          <w:bCs/>
        </w:rPr>
        <w:t>fifth category</w:t>
      </w:r>
      <w:r w:rsidRPr="005B05B3">
        <w:t xml:space="preserve"> is included in the proposed model </w:t>
      </w:r>
      <w:r w:rsidR="00A42D7B" w:rsidRPr="005B05B3">
        <w:t>(</w:t>
      </w:r>
      <w:r w:rsidR="00A42D7B" w:rsidRPr="004F0EA2">
        <w:t xml:space="preserve">Table </w:t>
      </w:r>
      <w:r w:rsidR="00EA6A6A" w:rsidRPr="006C602C">
        <w:t>1</w:t>
      </w:r>
      <w:r w:rsidR="00EA6A6A" w:rsidRPr="005B05B3">
        <w:t xml:space="preserve">, </w:t>
      </w:r>
      <w:hyperlink w:anchor="Annexure_A" w:history="1">
        <w:r w:rsidR="00EA6A6A" w:rsidRPr="006C602C">
          <w:rPr>
            <w:rStyle w:val="Hyperlink"/>
            <w:rFonts w:ascii="Aptos" w:hAnsi="Aptos"/>
          </w:rPr>
          <w:t>Annexure A</w:t>
        </w:r>
      </w:hyperlink>
      <w:r w:rsidR="00A42D7B" w:rsidRPr="005B05B3">
        <w:t xml:space="preserve">) </w:t>
      </w:r>
      <w:r w:rsidRPr="005B05B3">
        <w:t xml:space="preserve">but it does not require registration; </w:t>
      </w:r>
      <w:r w:rsidRPr="005B05B3">
        <w:rPr>
          <w:b/>
          <w:bCs/>
        </w:rPr>
        <w:t xml:space="preserve">Purchase </w:t>
      </w:r>
      <w:r w:rsidR="347461A0" w:rsidRPr="005B05B3">
        <w:rPr>
          <w:b/>
          <w:bCs/>
        </w:rPr>
        <w:t>Visibility</w:t>
      </w:r>
      <w:r w:rsidRPr="005B05B3">
        <w:rPr>
          <w:b/>
          <w:bCs/>
        </w:rPr>
        <w:t xml:space="preserve"> only. </w:t>
      </w:r>
      <w:r w:rsidRPr="005B05B3">
        <w:t xml:space="preserve">This is for goods from mainstream retailers where there is no support provided to the </w:t>
      </w:r>
      <w:r w:rsidR="00DF7F96" w:rsidRPr="00B12412">
        <w:t>p</w:t>
      </w:r>
      <w:r w:rsidRPr="00B12412">
        <w:t>articipant</w:t>
      </w:r>
      <w:r w:rsidR="009B2448">
        <w:t>,</w:t>
      </w:r>
      <w:r w:rsidRPr="005B05B3">
        <w:t xml:space="preserve"> with visibility provided via the purchasing arrangements.</w:t>
      </w:r>
    </w:p>
    <w:p w14:paraId="0955C78D" w14:textId="77777777" w:rsidR="002A42BF" w:rsidRPr="005B05B3" w:rsidRDefault="002A42BF" w:rsidP="002A42BF">
      <w:pPr>
        <w:rPr>
          <w:lang w:eastAsia="zh-CN"/>
        </w:rPr>
      </w:pPr>
    </w:p>
    <w:p w14:paraId="4927CDB1" w14:textId="77777777" w:rsidR="002A42BF" w:rsidRPr="005B05B3" w:rsidRDefault="002A42BF" w:rsidP="002A42BF">
      <w:pPr>
        <w:rPr>
          <w:lang w:eastAsia="zh-CN"/>
        </w:rPr>
        <w:sectPr w:rsidR="002A42BF" w:rsidRPr="005B05B3" w:rsidSect="002B15EF">
          <w:headerReference w:type="default" r:id="rId26"/>
          <w:headerReference w:type="first" r:id="rId27"/>
          <w:pgSz w:w="11906" w:h="16838"/>
          <w:pgMar w:top="1390" w:right="1394" w:bottom="1318" w:left="1440" w:header="907" w:footer="709" w:gutter="0"/>
          <w:cols w:space="708"/>
          <w:titlePg/>
          <w:docGrid w:linePitch="360"/>
        </w:sectPr>
      </w:pPr>
    </w:p>
    <w:p w14:paraId="677A329A" w14:textId="2718A794" w:rsidR="002C231C" w:rsidRPr="009B1AE4" w:rsidRDefault="0033451F" w:rsidP="00426684">
      <w:pPr>
        <w:pStyle w:val="Heading1"/>
      </w:pPr>
      <w:bookmarkStart w:id="48" w:name="_Registration_categories"/>
      <w:bookmarkStart w:id="49" w:name="_Toc173318058"/>
      <w:bookmarkEnd w:id="48"/>
      <w:r w:rsidRPr="009B1AE4">
        <w:lastRenderedPageBreak/>
        <w:t>Registration categories</w:t>
      </w:r>
      <w:bookmarkEnd w:id="49"/>
      <w:r w:rsidRPr="009B1AE4">
        <w:t xml:space="preserve"> </w:t>
      </w:r>
    </w:p>
    <w:p w14:paraId="27B61D05" w14:textId="383B7F0A" w:rsidR="00BB1B69" w:rsidRPr="005B05B3" w:rsidRDefault="00BB1B69" w:rsidP="00BB1B69">
      <w:r w:rsidRPr="005B05B3">
        <w:t xml:space="preserve">The purpose of this Chapter is to explain these categories from what we have heard in our engagement and in light of recent findings of the critical work of the Disability Royal Commission. However, we note at the outset that prior to implementation, the </w:t>
      </w:r>
      <w:r w:rsidR="73977438" w:rsidRPr="005B05B3">
        <w:t xml:space="preserve">full </w:t>
      </w:r>
      <w:r w:rsidRPr="005B05B3">
        <w:t xml:space="preserve">scope of the categories of registration needs to be co-designed with the disability community and sector and so we do </w:t>
      </w:r>
      <w:r w:rsidRPr="00E27739">
        <w:t xml:space="preserve">not seek to be overly prescriptive. Further, it is important to read this chapter together with </w:t>
      </w:r>
      <w:hyperlink w:anchor="_NDIS_Provider_Obligations" w:history="1">
        <w:r w:rsidRPr="00E27739">
          <w:rPr>
            <w:rStyle w:val="Hyperlink"/>
            <w:rFonts w:ascii="Aptos" w:hAnsi="Aptos"/>
          </w:rPr>
          <w:t xml:space="preserve">Chapter </w:t>
        </w:r>
        <w:r w:rsidR="000A037A" w:rsidRPr="00E27739">
          <w:rPr>
            <w:rStyle w:val="Hyperlink"/>
            <w:rFonts w:ascii="Aptos" w:hAnsi="Aptos"/>
          </w:rPr>
          <w:t>8</w:t>
        </w:r>
      </w:hyperlink>
      <w:r w:rsidR="000A037A" w:rsidRPr="00E27739">
        <w:t xml:space="preserve"> </w:t>
      </w:r>
      <w:r w:rsidRPr="00E27739">
        <w:t>which</w:t>
      </w:r>
      <w:r w:rsidRPr="005B05B3">
        <w:t xml:space="preserve"> details Provider Obligations.</w:t>
      </w:r>
    </w:p>
    <w:p w14:paraId="10841E2A" w14:textId="18A1C741" w:rsidR="00BB1B69" w:rsidRPr="005B05B3" w:rsidRDefault="00BB1B69" w:rsidP="00BB1B69">
      <w:r w:rsidRPr="005B05B3">
        <w:t xml:space="preserve">As </w:t>
      </w:r>
      <w:r w:rsidRPr="000608E1">
        <w:t>discussed in</w:t>
      </w:r>
      <w:r w:rsidR="001E4A9E">
        <w:t xml:space="preserve"> </w:t>
      </w:r>
      <w:hyperlink w:anchor="_Defining_‘Providers’_and" w:history="1">
        <w:r w:rsidR="001E4A9E" w:rsidRPr="001E4A9E">
          <w:rPr>
            <w:rStyle w:val="Hyperlink"/>
            <w:rFonts w:ascii="Aptos" w:hAnsi="Aptos"/>
          </w:rPr>
          <w:t>Chapter 3</w:t>
        </w:r>
      </w:hyperlink>
      <w:r w:rsidRPr="005B05B3">
        <w:t xml:space="preserve">, the categories of registration </w:t>
      </w:r>
      <w:r w:rsidR="0136E3F4" w:rsidRPr="005B05B3">
        <w:t>are not proposed to apply to all providers as would be caught by the current legislative definition</w:t>
      </w:r>
      <w:r w:rsidR="003E7E82" w:rsidRPr="005B05B3">
        <w:t>. As noted, the Taskforce</w:t>
      </w:r>
      <w:r w:rsidR="0136E3F4" w:rsidRPr="005B05B3">
        <w:t xml:space="preserve"> </w:t>
      </w:r>
      <w:r w:rsidR="003E7E82" w:rsidRPr="005B05B3">
        <w:t xml:space="preserve">believes </w:t>
      </w:r>
      <w:r w:rsidR="0136E3F4" w:rsidRPr="005B05B3">
        <w:t>the best way to achieve the scope of provide</w:t>
      </w:r>
      <w:r w:rsidR="1439E12D" w:rsidRPr="005B05B3">
        <w:t>rs to which these categories will apply</w:t>
      </w:r>
      <w:r w:rsidR="003E7E82" w:rsidRPr="005B05B3">
        <w:t>, in order</w:t>
      </w:r>
      <w:r w:rsidR="7D32FBFE" w:rsidRPr="005B05B3">
        <w:t xml:space="preserve"> to avoid unintended consequences</w:t>
      </w:r>
      <w:r w:rsidR="003E7E82" w:rsidRPr="005B05B3">
        <w:t>,</w:t>
      </w:r>
      <w:r w:rsidR="7D32FBFE" w:rsidRPr="005B05B3">
        <w:t xml:space="preserve"> requires further consideration, </w:t>
      </w:r>
      <w:r w:rsidR="003E7E82" w:rsidRPr="005B05B3">
        <w:t xml:space="preserve">in </w:t>
      </w:r>
      <w:r w:rsidR="7D32FBFE" w:rsidRPr="005B05B3">
        <w:t>consultation with the disability community and sector.</w:t>
      </w:r>
    </w:p>
    <w:p w14:paraId="2600F958" w14:textId="078C0718" w:rsidR="00BB1B69" w:rsidRPr="00DC1BCE" w:rsidRDefault="33C3FD72" w:rsidP="001879E5">
      <w:pPr>
        <w:spacing w:before="360" w:after="120"/>
        <w:rPr>
          <w:color w:val="0D2B58"/>
          <w:sz w:val="32"/>
          <w:szCs w:val="32"/>
        </w:rPr>
      </w:pPr>
      <w:bookmarkStart w:id="50" w:name="_Toc170128735"/>
      <w:r w:rsidRPr="00DC1BCE">
        <w:rPr>
          <w:color w:val="0D2B58"/>
          <w:sz w:val="32"/>
          <w:szCs w:val="32"/>
        </w:rPr>
        <w:t>The NDIS Review’s approach</w:t>
      </w:r>
      <w:bookmarkEnd w:id="50"/>
    </w:p>
    <w:p w14:paraId="6B4C7E89" w14:textId="546BBCF0" w:rsidR="006F6D46" w:rsidRPr="005B05B3" w:rsidRDefault="00BB1B69" w:rsidP="002D7871">
      <w:r w:rsidRPr="005B05B3">
        <w:t xml:space="preserve">As discussed in </w:t>
      </w:r>
      <w:hyperlink w:anchor="_Overview_of_the" w:history="1">
        <w:r w:rsidRPr="00F97326">
          <w:rPr>
            <w:rStyle w:val="Hyperlink"/>
            <w:rFonts w:ascii="Aptos" w:hAnsi="Aptos"/>
          </w:rPr>
          <w:t xml:space="preserve">Chapter </w:t>
        </w:r>
        <w:r w:rsidR="00F97326" w:rsidRPr="00F97326">
          <w:rPr>
            <w:rStyle w:val="Hyperlink"/>
            <w:rFonts w:ascii="Aptos" w:hAnsi="Aptos"/>
          </w:rPr>
          <w:t>1</w:t>
        </w:r>
      </w:hyperlink>
      <w:r w:rsidRPr="00F97326">
        <w:t>,</w:t>
      </w:r>
      <w:r w:rsidRPr="005B05B3">
        <w:t xml:space="preserve"> the NDIS Review recommended that all providers be registered or enrolled. The NDIS Review held significant concerns about the rise in unregistered providers because of their lack of visibility to the regulator.</w:t>
      </w:r>
    </w:p>
    <w:p w14:paraId="69020019" w14:textId="115BA78F" w:rsidR="002D7871" w:rsidRPr="005B05B3" w:rsidRDefault="00BB1B69" w:rsidP="002D7871">
      <w:r w:rsidRPr="005B05B3">
        <w:t xml:space="preserve">The Taskforce have considered the NDIS Review’s proposed model in significant detail. </w:t>
      </w:r>
      <w:r w:rsidR="57853816" w:rsidRPr="005B05B3">
        <w:t xml:space="preserve">This model </w:t>
      </w:r>
      <w:r w:rsidR="5F8ED6DF" w:rsidRPr="005B05B3">
        <w:t>has formed the basis for much of our work, to test what would work with the disability sector and disability community.</w:t>
      </w:r>
      <w:r w:rsidR="1CBDAE79" w:rsidRPr="005B05B3">
        <w:t xml:space="preserve"> </w:t>
      </w:r>
      <w:r w:rsidR="5F8ED6DF" w:rsidRPr="005B05B3">
        <w:t>We found that the model provides a useful framework and should be used as the basis for most provider registration.</w:t>
      </w:r>
    </w:p>
    <w:p w14:paraId="6F5BBC26" w14:textId="06A14AD3" w:rsidR="00BB1B69" w:rsidRPr="00DC1BCE" w:rsidRDefault="33C3FD72" w:rsidP="001879E5">
      <w:pPr>
        <w:spacing w:before="360" w:after="120"/>
        <w:rPr>
          <w:color w:val="0D2B58"/>
          <w:sz w:val="32"/>
          <w:szCs w:val="32"/>
        </w:rPr>
      </w:pPr>
      <w:bookmarkStart w:id="51" w:name="_Toc170128736"/>
      <w:r w:rsidRPr="00DC1BCE">
        <w:rPr>
          <w:color w:val="0D2B58"/>
          <w:sz w:val="32"/>
          <w:szCs w:val="32"/>
        </w:rPr>
        <w:t>The design of the current system: reflections on registered v</w:t>
      </w:r>
      <w:r w:rsidR="009D4875" w:rsidRPr="00DC1BCE">
        <w:rPr>
          <w:color w:val="0D2B58"/>
          <w:sz w:val="32"/>
          <w:szCs w:val="32"/>
        </w:rPr>
        <w:t>ers</w:t>
      </w:r>
      <w:r w:rsidR="00BD74F8" w:rsidRPr="00DC1BCE">
        <w:rPr>
          <w:color w:val="0D2B58"/>
          <w:sz w:val="32"/>
          <w:szCs w:val="32"/>
        </w:rPr>
        <w:t>us</w:t>
      </w:r>
      <w:r w:rsidRPr="00DC1BCE">
        <w:rPr>
          <w:color w:val="0D2B58"/>
          <w:sz w:val="32"/>
          <w:szCs w:val="32"/>
        </w:rPr>
        <w:t xml:space="preserve"> unregistered providers</w:t>
      </w:r>
      <w:bookmarkEnd w:id="51"/>
    </w:p>
    <w:p w14:paraId="2D4DE163" w14:textId="03F8F250" w:rsidR="00BB1B69" w:rsidRPr="005B05B3" w:rsidRDefault="00BB1B69" w:rsidP="00BB1B69">
      <w:pPr>
        <w:rPr>
          <w:rFonts w:eastAsia="Aptos" w:cs="Aptos"/>
          <w:color w:val="D13438"/>
        </w:rPr>
      </w:pPr>
      <w:r w:rsidRPr="005B05B3">
        <w:rPr>
          <w:rFonts w:eastAsia="Aptos" w:cs="Aptos"/>
        </w:rPr>
        <w:t xml:space="preserve">Currently, NDIS </w:t>
      </w:r>
      <w:r w:rsidR="009E7FDE" w:rsidRPr="005B05B3">
        <w:rPr>
          <w:rFonts w:eastAsia="Aptos" w:cs="Aptos"/>
        </w:rPr>
        <w:t>p</w:t>
      </w:r>
      <w:r w:rsidRPr="005B05B3">
        <w:rPr>
          <w:rFonts w:eastAsia="Aptos" w:cs="Aptos"/>
        </w:rPr>
        <w:t xml:space="preserve">roviders are a mix of registered and unregistered providers. NDIS </w:t>
      </w:r>
      <w:r w:rsidR="009E7FDE" w:rsidRPr="005B05B3">
        <w:rPr>
          <w:rFonts w:eastAsia="Aptos" w:cs="Aptos"/>
        </w:rPr>
        <w:t>p</w:t>
      </w:r>
      <w:r w:rsidRPr="005B05B3">
        <w:rPr>
          <w:rFonts w:eastAsia="Aptos" w:cs="Aptos"/>
        </w:rPr>
        <w:t>roviders are an important part of the market, as competitors</w:t>
      </w:r>
      <w:r w:rsidR="009D4875" w:rsidRPr="005B05B3">
        <w:rPr>
          <w:rFonts w:eastAsia="Aptos" w:cs="Aptos"/>
        </w:rPr>
        <w:t>,</w:t>
      </w:r>
      <w:r w:rsidRPr="005B05B3">
        <w:rPr>
          <w:rFonts w:eastAsia="Aptos" w:cs="Aptos"/>
        </w:rPr>
        <w:t xml:space="preserve"> but also with scale to support workforce training and development, explore innovative and alternative service delivery models and to promote and support the lived experience workforce. They are an important component in the successful exercise of choice and control by people with disability</w:t>
      </w:r>
      <w:r w:rsidR="003F6D4F" w:rsidRPr="005B05B3">
        <w:rPr>
          <w:rFonts w:eastAsia="Aptos" w:cs="Aptos"/>
        </w:rPr>
        <w:t>, which is at the core of the NDIS</w:t>
      </w:r>
      <w:r w:rsidRPr="005B05B3">
        <w:rPr>
          <w:rFonts w:eastAsia="Aptos" w:cs="Aptos"/>
        </w:rPr>
        <w:t>.</w:t>
      </w:r>
    </w:p>
    <w:p w14:paraId="0192E46B" w14:textId="4D158ABA" w:rsidR="00624813" w:rsidRPr="005B05B3" w:rsidRDefault="00BB1B69" w:rsidP="00BB1B69">
      <w:pPr>
        <w:rPr>
          <w:rFonts w:eastAsia="Aptos" w:cs="Aptos"/>
        </w:rPr>
      </w:pPr>
      <w:r w:rsidRPr="005B05B3">
        <w:rPr>
          <w:rFonts w:eastAsia="Aptos" w:cs="Aptos"/>
        </w:rPr>
        <w:t xml:space="preserve">Mandatory registration is </w:t>
      </w:r>
      <w:r w:rsidR="00624813" w:rsidRPr="005B05B3">
        <w:rPr>
          <w:rFonts w:eastAsia="Aptos" w:cs="Aptos"/>
        </w:rPr>
        <w:t xml:space="preserve">already </w:t>
      </w:r>
      <w:r w:rsidRPr="005B05B3">
        <w:rPr>
          <w:rFonts w:eastAsia="Aptos" w:cs="Aptos"/>
        </w:rPr>
        <w:t xml:space="preserve">imposed for those providing </w:t>
      </w:r>
      <w:r w:rsidR="008D6EF4" w:rsidRPr="005B05B3">
        <w:rPr>
          <w:rFonts w:eastAsia="Aptos" w:cs="Aptos"/>
        </w:rPr>
        <w:t>SDA</w:t>
      </w:r>
      <w:r w:rsidRPr="005B05B3">
        <w:rPr>
          <w:rFonts w:eastAsia="Aptos" w:cs="Aptos"/>
        </w:rPr>
        <w:t>, behaviour supports, and restrictive practices.</w:t>
      </w:r>
      <w:r w:rsidR="0009694F">
        <w:rPr>
          <w:rStyle w:val="FootnoteReference"/>
          <w:rFonts w:eastAsia="Aptos" w:cs="Aptos"/>
        </w:rPr>
        <w:footnoteReference w:id="78"/>
      </w:r>
    </w:p>
    <w:p w14:paraId="1FCC55E1" w14:textId="552B7A82" w:rsidR="00BB1B69" w:rsidRPr="000923F2" w:rsidRDefault="00BB1B69" w:rsidP="00BB1B69">
      <w:pPr>
        <w:rPr>
          <w:rFonts w:eastAsia="Aptos" w:cs="Aptos"/>
          <w:sz w:val="19"/>
          <w:szCs w:val="19"/>
        </w:rPr>
      </w:pPr>
      <w:r w:rsidRPr="005B05B3">
        <w:rPr>
          <w:rFonts w:eastAsia="Aptos" w:cs="Aptos"/>
        </w:rPr>
        <w:t>The Taskforce has heard of service providers voluntarily registering to reflect their commitment to achieving the highest quality and safety within their service offerings.</w:t>
      </w:r>
      <w:r w:rsidR="00032972" w:rsidRPr="005B05B3">
        <w:rPr>
          <w:rFonts w:eastAsia="Aptos" w:cs="Aptos"/>
        </w:rPr>
        <w:t xml:space="preserve"> </w:t>
      </w:r>
      <w:r w:rsidRPr="005B05B3">
        <w:rPr>
          <w:rFonts w:eastAsia="Aptos" w:cs="Aptos"/>
        </w:rPr>
        <w:lastRenderedPageBreak/>
        <w:t xml:space="preserve">Others have told the Taskforce that the cost and </w:t>
      </w:r>
      <w:r w:rsidR="001631AA" w:rsidRPr="005B05B3">
        <w:rPr>
          <w:rFonts w:eastAsia="Aptos" w:cs="Aptos"/>
        </w:rPr>
        <w:t xml:space="preserve">lengthy </w:t>
      </w:r>
      <w:r w:rsidRPr="005B05B3">
        <w:rPr>
          <w:rFonts w:eastAsia="Aptos" w:cs="Aptos"/>
        </w:rPr>
        <w:t>process of registration is cost-</w:t>
      </w:r>
      <w:r w:rsidRPr="000923F2">
        <w:rPr>
          <w:rFonts w:eastAsia="Aptos" w:cs="Aptos"/>
        </w:rPr>
        <w:t>prohibitive and does not add value to their business.</w:t>
      </w:r>
    </w:p>
    <w:p w14:paraId="7D075414" w14:textId="0007AF03" w:rsidR="00BB1B69" w:rsidRPr="000923F2" w:rsidRDefault="00BB1B69" w:rsidP="4DF3B00C">
      <w:pPr>
        <w:spacing w:line="278" w:lineRule="auto"/>
        <w:ind w:left="720"/>
        <w:rPr>
          <w:rFonts w:eastAsia="Aptos" w:cs="Aptos"/>
        </w:rPr>
      </w:pPr>
      <w:r w:rsidRPr="000923F2">
        <w:rPr>
          <w:rStyle w:val="QuoteChar"/>
          <w:rFonts w:ascii="Aptos" w:hAnsi="Aptos"/>
        </w:rPr>
        <w:t>I am unregistered as it would not be able to be financially sustainable to gain registration in the current process</w:t>
      </w:r>
      <w:r w:rsidRPr="000923F2">
        <w:rPr>
          <w:rStyle w:val="QuoteChar"/>
          <w:rFonts w:ascii="Aptos" w:eastAsia="Aptos" w:hAnsi="Aptos" w:cs="Aptos"/>
        </w:rPr>
        <w:t>.</w:t>
      </w:r>
      <w:r w:rsidRPr="000923F2">
        <w:rPr>
          <w:rStyle w:val="FootnoteReference"/>
          <w:rFonts w:eastAsia="Aptos" w:cs="Aptos"/>
        </w:rPr>
        <w:footnoteReference w:id="79"/>
      </w:r>
    </w:p>
    <w:p w14:paraId="1D317E13" w14:textId="1D19F83A" w:rsidR="00BB1B69" w:rsidRPr="005B05B3" w:rsidRDefault="00BB1B69" w:rsidP="4DF3B00C">
      <w:pPr>
        <w:spacing w:line="278" w:lineRule="auto"/>
        <w:ind w:left="720"/>
        <w:rPr>
          <w:rFonts w:eastAsia="Aptos" w:cs="Aptos"/>
        </w:rPr>
      </w:pPr>
      <w:r w:rsidRPr="000923F2">
        <w:rPr>
          <w:rStyle w:val="QuoteChar"/>
          <w:rFonts w:ascii="Aptos" w:hAnsi="Aptos"/>
        </w:rPr>
        <w:t>When I started as an independent, I wanted to get registered, as this was important to me to ensure I was not only doing a job to the best of my ability, but also ensuring that I had the approval from the NDIS to say I was doing everything appropriately to the guidelines, however, this has been unachievable for me [due to cost].</w:t>
      </w:r>
      <w:r w:rsidRPr="000923F2">
        <w:rPr>
          <w:rStyle w:val="FootnoteReference"/>
        </w:rPr>
        <w:footnoteReference w:id="80"/>
      </w:r>
    </w:p>
    <w:p w14:paraId="34E19174" w14:textId="47246DDD" w:rsidR="003B6F12" w:rsidRPr="005B05B3" w:rsidRDefault="00BB1B69" w:rsidP="005B05B3">
      <w:pPr>
        <w:spacing w:line="278" w:lineRule="auto"/>
        <w:rPr>
          <w:rFonts w:eastAsia="Aptos" w:cs="Aptos"/>
        </w:rPr>
      </w:pPr>
      <w:r w:rsidRPr="005B05B3">
        <w:rPr>
          <w:rFonts w:eastAsia="Aptos" w:cs="Aptos"/>
        </w:rPr>
        <w:t>The Taskforce is of the view that the current registration process is not fit for purpose and fails to encourage better quality or adequate safeguards in service delivery. Providers and participants alike a</w:t>
      </w:r>
      <w:r w:rsidRPr="004B03C4">
        <w:rPr>
          <w:rFonts w:eastAsia="Aptos" w:cs="Aptos"/>
        </w:rPr>
        <w:t>greed with this view through our engagement with them</w:t>
      </w:r>
      <w:r w:rsidRPr="004B03C4">
        <w:t>.</w:t>
      </w:r>
      <w:r w:rsidR="00DC6A49" w:rsidRPr="004B03C4">
        <w:t xml:space="preserve"> </w:t>
      </w:r>
      <w:r w:rsidR="00E548FD" w:rsidRPr="004B03C4">
        <w:t xml:space="preserve">Some </w:t>
      </w:r>
      <w:r w:rsidR="00397F46" w:rsidRPr="004B03C4">
        <w:t xml:space="preserve">unregistered providers </w:t>
      </w:r>
      <w:r w:rsidR="00E44C12" w:rsidRPr="004B03C4">
        <w:t xml:space="preserve">suggested </w:t>
      </w:r>
      <w:r w:rsidR="00BA3712" w:rsidRPr="004B03C4">
        <w:t>there was</w:t>
      </w:r>
      <w:r w:rsidR="00E44C12" w:rsidRPr="004B03C4">
        <w:t xml:space="preserve"> no benefit to registering in the current scheme</w:t>
      </w:r>
      <w:r w:rsidR="00D85E29" w:rsidRPr="004B03C4">
        <w:t xml:space="preserve"> </w:t>
      </w:r>
      <w:r w:rsidR="00E70175" w:rsidRPr="004B03C4">
        <w:t xml:space="preserve">because </w:t>
      </w:r>
      <w:r w:rsidR="00DB3F9D" w:rsidRPr="004B03C4">
        <w:t xml:space="preserve">it was slow, cumbersome, and </w:t>
      </w:r>
      <w:r w:rsidR="00C50696" w:rsidRPr="004B03C4">
        <w:t xml:space="preserve">participants </w:t>
      </w:r>
      <w:r w:rsidR="004E1A82" w:rsidRPr="004B03C4">
        <w:t xml:space="preserve">didn’t </w:t>
      </w:r>
      <w:r w:rsidR="007E4D28" w:rsidRPr="004B03C4">
        <w:t xml:space="preserve">distinguish </w:t>
      </w:r>
      <w:r w:rsidR="00095679" w:rsidRPr="004B03C4">
        <w:t>between registered and unregistered providers.</w:t>
      </w:r>
      <w:r w:rsidR="00076216" w:rsidRPr="004B03C4">
        <w:rPr>
          <w:rFonts w:eastAsia="Aptos" w:cs="Aptos"/>
        </w:rPr>
        <w:t xml:space="preserve"> </w:t>
      </w:r>
      <w:r w:rsidRPr="004B03C4">
        <w:rPr>
          <w:rStyle w:val="FootnoteReference"/>
          <w:rFonts w:eastAsia="Aptos" w:cs="Aptos"/>
        </w:rPr>
        <w:footnoteReference w:id="81"/>
      </w:r>
    </w:p>
    <w:p w14:paraId="72B5A94D" w14:textId="5DF33C74" w:rsidR="00BB1B69" w:rsidRPr="000923F2" w:rsidRDefault="003B6F12" w:rsidP="005B05B3">
      <w:pPr>
        <w:pStyle w:val="Quote"/>
        <w:ind w:left="0"/>
      </w:pPr>
      <w:r w:rsidRPr="005B05B3">
        <w:rPr>
          <w:i w:val="0"/>
        </w:rPr>
        <w:t>In terms of market share</w:t>
      </w:r>
      <w:r w:rsidR="00C12A07" w:rsidRPr="005B05B3">
        <w:rPr>
          <w:i w:val="0"/>
        </w:rPr>
        <w:t xml:space="preserve"> </w:t>
      </w:r>
      <w:r w:rsidR="00AE18BE" w:rsidRPr="005B05B3">
        <w:t>‘</w:t>
      </w:r>
      <w:r w:rsidR="00C12A07" w:rsidRPr="005B05B3">
        <w:rPr>
          <w:i w:val="0"/>
        </w:rPr>
        <w:t xml:space="preserve">unregistered </w:t>
      </w:r>
      <w:r w:rsidR="00BB1B69" w:rsidRPr="005B05B3">
        <w:rPr>
          <w:i w:val="0"/>
        </w:rPr>
        <w:t>providers</w:t>
      </w:r>
      <w:r w:rsidR="00AE18BE" w:rsidRPr="005B05B3">
        <w:t>’</w:t>
      </w:r>
      <w:r w:rsidR="00BB1B69" w:rsidRPr="005B05B3">
        <w:rPr>
          <w:i w:val="0"/>
        </w:rPr>
        <w:t xml:space="preserve"> are large in number, </w:t>
      </w:r>
      <w:r w:rsidR="001F3CA7" w:rsidRPr="005B05B3">
        <w:rPr>
          <w:i w:val="0"/>
        </w:rPr>
        <w:t>e</w:t>
      </w:r>
      <w:r w:rsidR="00BB1B69" w:rsidRPr="005B05B3">
        <w:rPr>
          <w:i w:val="0"/>
        </w:rPr>
        <w:t>stimated to be over 154 000</w:t>
      </w:r>
      <w:r w:rsidR="00C12A07" w:rsidRPr="005B05B3">
        <w:rPr>
          <w:i w:val="0"/>
        </w:rPr>
        <w:t xml:space="preserve"> </w:t>
      </w:r>
      <w:r w:rsidR="00394D33" w:rsidRPr="005B05B3">
        <w:rPr>
          <w:i w:val="0"/>
        </w:rPr>
        <w:t>compared to around 16,000 registered</w:t>
      </w:r>
      <w:r w:rsidR="00C12A07" w:rsidRPr="005B05B3">
        <w:rPr>
          <w:i w:val="0"/>
        </w:rPr>
        <w:t xml:space="preserve"> providers</w:t>
      </w:r>
      <w:r w:rsidR="007A27B7" w:rsidRPr="005B05B3">
        <w:rPr>
          <w:i w:val="0"/>
        </w:rPr>
        <w:t>.</w:t>
      </w:r>
      <w:r w:rsidR="00394D33" w:rsidRPr="005B05B3">
        <w:rPr>
          <w:rStyle w:val="FootnoteReference"/>
          <w:i w:val="0"/>
          <w:color w:val="auto"/>
        </w:rPr>
        <w:footnoteReference w:id="82"/>
      </w:r>
      <w:r w:rsidR="007A27B7" w:rsidRPr="005B05B3">
        <w:rPr>
          <w:i w:val="0"/>
        </w:rPr>
        <w:t xml:space="preserve"> From our engagement, we </w:t>
      </w:r>
      <w:r w:rsidR="00BB1B69" w:rsidRPr="005B05B3">
        <w:rPr>
          <w:i w:val="0"/>
        </w:rPr>
        <w:t>identified that the most likely reasons</w:t>
      </w:r>
      <w:r w:rsidR="007A27B7" w:rsidRPr="005B05B3">
        <w:rPr>
          <w:i w:val="0"/>
        </w:rPr>
        <w:t xml:space="preserve"> for operating without </w:t>
      </w:r>
      <w:r w:rsidR="00551A1D" w:rsidRPr="005B05B3">
        <w:rPr>
          <w:i w:val="0"/>
        </w:rPr>
        <w:t>registration</w:t>
      </w:r>
      <w:r w:rsidR="00BB1B69" w:rsidRPr="005B05B3">
        <w:rPr>
          <w:i w:val="0"/>
        </w:rPr>
        <w:t xml:space="preserve"> are cost, time involved and process to become registered and a perceived or actual lack of flexibility in service delivery once registered. </w:t>
      </w:r>
      <w:r w:rsidR="172989E1" w:rsidRPr="005B05B3">
        <w:rPr>
          <w:i w:val="0"/>
        </w:rPr>
        <w:t xml:space="preserve">Specifically for therapists providing NDIS services, </w:t>
      </w:r>
      <w:r w:rsidR="0DF89F04" w:rsidRPr="005B05B3">
        <w:rPr>
          <w:i w:val="0"/>
        </w:rPr>
        <w:t>t</w:t>
      </w:r>
      <w:r w:rsidR="00BB1B69" w:rsidRPr="005B05B3">
        <w:rPr>
          <w:i w:val="0"/>
        </w:rPr>
        <w:t xml:space="preserve">hese three reasons - cost, delays, audit burden (among others) are why therapists have elected to be unregistered in the current system and have often chosen not to renew registration once they have </w:t>
      </w:r>
      <w:r w:rsidR="00BB1B69" w:rsidRPr="000923F2">
        <w:rPr>
          <w:i w:val="0"/>
        </w:rPr>
        <w:t>experienced it</w:t>
      </w:r>
      <w:r w:rsidR="00BB1B69" w:rsidRPr="000923F2">
        <w:t>.</w:t>
      </w:r>
      <w:r w:rsidR="00BB1B69" w:rsidRPr="000923F2">
        <w:rPr>
          <w:rStyle w:val="FootnoteReference"/>
          <w:rFonts w:eastAsia="Aptos" w:cs="Aptos"/>
          <w:i w:val="0"/>
          <w:iCs w:val="0"/>
          <w:color w:val="auto"/>
        </w:rPr>
        <w:footnoteReference w:id="83"/>
      </w:r>
    </w:p>
    <w:p w14:paraId="3E2CD134" w14:textId="049A7919" w:rsidR="00BB1B69" w:rsidRPr="005B05B3" w:rsidRDefault="00BB1B69" w:rsidP="00B12412">
      <w:pPr>
        <w:pStyle w:val="Quote"/>
        <w:rPr>
          <w:rFonts w:eastAsia="Aptos" w:cs="Aptos"/>
        </w:rPr>
      </w:pPr>
      <w:r w:rsidRPr="00B12412">
        <w:t>There is no line number that specifically caters to my industry, therefore we have a concern that getting registered could further restrict what we could charge</w:t>
      </w:r>
      <w:r w:rsidRPr="00B12412">
        <w:rPr>
          <w:rFonts w:eastAsia="Aptos" w:cs="Aptos"/>
        </w:rPr>
        <w:t>.</w:t>
      </w:r>
      <w:r w:rsidRPr="000923F2">
        <w:rPr>
          <w:rStyle w:val="FootnoteReference"/>
          <w:rFonts w:eastAsia="Aptos" w:cs="Aptos"/>
        </w:rPr>
        <w:footnoteReference w:id="84"/>
      </w:r>
    </w:p>
    <w:p w14:paraId="5940FBCF" w14:textId="6FC8F482" w:rsidR="00BB1B69" w:rsidRPr="005B05B3" w:rsidRDefault="00B93CAA" w:rsidP="00B12412">
      <w:pPr>
        <w:rPr>
          <w:rFonts w:eastAsia="Aptos" w:cs="Aptos"/>
          <w:color w:val="D13438"/>
        </w:rPr>
      </w:pPr>
      <w:r w:rsidRPr="005B05B3">
        <w:rPr>
          <w:rFonts w:eastAsia="Aptos" w:cs="Aptos"/>
        </w:rPr>
        <w:t xml:space="preserve">Outside of these reasons, the Taskforce </w:t>
      </w:r>
      <w:r w:rsidR="00BB1B69" w:rsidRPr="005B05B3">
        <w:rPr>
          <w:rFonts w:eastAsia="Aptos" w:cs="Aptos"/>
        </w:rPr>
        <w:t xml:space="preserve">have been concerned by a </w:t>
      </w:r>
      <w:r w:rsidR="00E53DBD">
        <w:rPr>
          <w:rFonts w:eastAsia="Aptos" w:cs="Aptos"/>
        </w:rPr>
        <w:t xml:space="preserve">growing </w:t>
      </w:r>
      <w:r w:rsidR="00BB1B69" w:rsidRPr="005B05B3">
        <w:rPr>
          <w:rFonts w:eastAsia="Aptos" w:cs="Aptos"/>
        </w:rPr>
        <w:t xml:space="preserve">number of providers who have declined to become registered for </w:t>
      </w:r>
      <w:r w:rsidR="00BB1B69" w:rsidRPr="00B12412">
        <w:t>unethical</w:t>
      </w:r>
      <w:r w:rsidR="00BB1B69" w:rsidRPr="005B05B3">
        <w:rPr>
          <w:rFonts w:eastAsia="Aptos" w:cs="Aptos"/>
        </w:rPr>
        <w:t xml:space="preserve"> or concerning reasons. For example, to avoid providing services to certain people with disabilities, who require agency-managed NDIS Plans. It was put to the Taskforce that this group of people with disability required more significant care and support which exceeded what the provider </w:t>
      </w:r>
      <w:r w:rsidR="00BB1B69" w:rsidRPr="005B05B3">
        <w:rPr>
          <w:rFonts w:eastAsia="Aptos" w:cs="Aptos"/>
        </w:rPr>
        <w:lastRenderedPageBreak/>
        <w:t>was set up to do and so they used their non-registered status as a shield to hide from these people with disability.</w:t>
      </w:r>
      <w:r w:rsidR="00100BE2">
        <w:rPr>
          <w:vertAlign w:val="superscript"/>
        </w:rPr>
        <w:t xml:space="preserve"> </w:t>
      </w:r>
      <w:r w:rsidR="00BB1B69" w:rsidRPr="005B05B3">
        <w:rPr>
          <w:rFonts w:eastAsia="Aptos" w:cs="Aptos"/>
        </w:rPr>
        <w:t>The Taskforce</w:t>
      </w:r>
      <w:r w:rsidRPr="005B05B3">
        <w:rPr>
          <w:rFonts w:eastAsia="Aptos" w:cs="Aptos"/>
        </w:rPr>
        <w:t xml:space="preserve"> express concern about this approach.</w:t>
      </w:r>
    </w:p>
    <w:p w14:paraId="4A7C2396" w14:textId="1A30FDB8" w:rsidR="00E20559" w:rsidRPr="00B12412" w:rsidRDefault="00BB1B69" w:rsidP="00B12412">
      <w:r w:rsidRPr="005B05B3">
        <w:rPr>
          <w:rFonts w:eastAsia="Aptos" w:cs="Aptos"/>
        </w:rPr>
        <w:t xml:space="preserve">A cultural side effect of the current registration system is that NDIS service providers are divided by the identity of </w:t>
      </w:r>
      <w:r w:rsidR="00AE18BE" w:rsidRPr="005B05B3">
        <w:rPr>
          <w:rFonts w:eastAsia="Aptos" w:cs="Aptos"/>
        </w:rPr>
        <w:t>‘</w:t>
      </w:r>
      <w:r w:rsidRPr="005B05B3">
        <w:rPr>
          <w:rFonts w:eastAsia="Aptos" w:cs="Aptos"/>
        </w:rPr>
        <w:t>registered</w:t>
      </w:r>
      <w:r w:rsidR="00AE18BE" w:rsidRPr="005B05B3">
        <w:rPr>
          <w:rFonts w:eastAsia="Aptos" w:cs="Aptos"/>
        </w:rPr>
        <w:t>’</w:t>
      </w:r>
      <w:r w:rsidRPr="005B05B3">
        <w:rPr>
          <w:rFonts w:eastAsia="Aptos" w:cs="Aptos"/>
        </w:rPr>
        <w:t xml:space="preserve"> and </w:t>
      </w:r>
      <w:r w:rsidR="00AE18BE" w:rsidRPr="005B05B3">
        <w:rPr>
          <w:rFonts w:eastAsia="Aptos" w:cs="Aptos"/>
        </w:rPr>
        <w:t>‘</w:t>
      </w:r>
      <w:r w:rsidRPr="005B05B3">
        <w:rPr>
          <w:rFonts w:eastAsia="Aptos" w:cs="Aptos"/>
        </w:rPr>
        <w:t>unregistered</w:t>
      </w:r>
      <w:r w:rsidR="00AE18BE" w:rsidRPr="005B05B3">
        <w:rPr>
          <w:rFonts w:eastAsia="Aptos" w:cs="Aptos"/>
        </w:rPr>
        <w:t>’</w:t>
      </w:r>
      <w:r w:rsidRPr="005B05B3">
        <w:rPr>
          <w:rFonts w:eastAsia="Aptos" w:cs="Aptos"/>
        </w:rPr>
        <w:t xml:space="preserve"> </w:t>
      </w:r>
      <w:r w:rsidRPr="00B12412">
        <w:t xml:space="preserve">providers. Often, commentators seek to have one prevail over the other. </w:t>
      </w:r>
    </w:p>
    <w:p w14:paraId="66438BF0" w14:textId="17DB72A7" w:rsidR="00D20F44" w:rsidRPr="00B12412" w:rsidRDefault="00BB1B69" w:rsidP="00B12412">
      <w:r w:rsidRPr="00B12412">
        <w:t>The Taskforce observed that at times the divide between types of providers was significant</w:t>
      </w:r>
      <w:r w:rsidR="00362F8D" w:rsidRPr="00B12412">
        <w:t xml:space="preserve">. </w:t>
      </w:r>
      <w:r w:rsidR="00165FA8" w:rsidRPr="00B12412">
        <w:t xml:space="preserve">There was often </w:t>
      </w:r>
      <w:r w:rsidR="00C24836" w:rsidRPr="00B12412">
        <w:t>debate as</w:t>
      </w:r>
      <w:r w:rsidRPr="00B12412">
        <w:t xml:space="preserve"> to whether unregistered providers were unseen and dangerous or whether registered providers were </w:t>
      </w:r>
      <w:r w:rsidR="00AE18BE" w:rsidRPr="00B12412">
        <w:t>‘</w:t>
      </w:r>
      <w:r w:rsidRPr="00B12412">
        <w:t>wolves in sheep's clothing</w:t>
      </w:r>
      <w:r w:rsidR="00AE18BE" w:rsidRPr="00B12412">
        <w:t>’</w:t>
      </w:r>
      <w:r w:rsidRPr="00B12412">
        <w:t xml:space="preserve">. </w:t>
      </w:r>
      <w:r w:rsidR="0006145F" w:rsidRPr="00B12412">
        <w:t>T</w:t>
      </w:r>
      <w:r w:rsidR="00165FA8" w:rsidRPr="00B12412">
        <w:t xml:space="preserve">he Taskforce </w:t>
      </w:r>
      <w:r w:rsidRPr="00B12412">
        <w:t>observed this divide to be toxic and in many instances</w:t>
      </w:r>
      <w:r w:rsidR="00D20F44" w:rsidRPr="00B12412">
        <w:t xml:space="preserve">, the debate </w:t>
      </w:r>
      <w:r w:rsidRPr="00B12412">
        <w:t xml:space="preserve">was weaponised against people with disability and service providers alike. </w:t>
      </w:r>
    </w:p>
    <w:p w14:paraId="2D092844" w14:textId="33551735" w:rsidR="00BB1B69" w:rsidRPr="005B05B3" w:rsidRDefault="00D20F44" w:rsidP="00B12412">
      <w:pPr>
        <w:rPr>
          <w:rFonts w:eastAsia="Aptos" w:cs="Aptos"/>
        </w:rPr>
      </w:pPr>
      <w:r w:rsidRPr="00B12412">
        <w:t xml:space="preserve">The Taskforce </w:t>
      </w:r>
      <w:r w:rsidR="00BB1B69" w:rsidRPr="00B12412">
        <w:t>observe</w:t>
      </w:r>
      <w:r w:rsidRPr="00B12412">
        <w:t>d</w:t>
      </w:r>
      <w:r w:rsidR="00BB1B69" w:rsidRPr="00B12412">
        <w:t xml:space="preserve"> the impact this </w:t>
      </w:r>
      <w:r w:rsidR="007623BD" w:rsidRPr="00B12412">
        <w:t>was having</w:t>
      </w:r>
      <w:r w:rsidR="00BB1B69" w:rsidRPr="00B12412">
        <w:t xml:space="preserve"> on provider registration issues within the NDIS and how they are publicly reported,</w:t>
      </w:r>
      <w:r w:rsidR="007623BD" w:rsidRPr="00B12412">
        <w:t xml:space="preserve"> which included</w:t>
      </w:r>
      <w:r w:rsidR="00BB1B69" w:rsidRPr="00B12412">
        <w:t xml:space="preserve"> perpetuating a narrative that the NDIS is losing integrity. When looking beyond the commentary, the evidence provided to the Taskforce demonstrated that neither registered nor unregistered providers </w:t>
      </w:r>
      <w:r w:rsidR="00B93CAA" w:rsidRPr="00B12412">
        <w:t xml:space="preserve">outperformed the other. </w:t>
      </w:r>
      <w:r w:rsidR="00BB1B69" w:rsidRPr="00B12412">
        <w:t>Both types of providers presented great</w:t>
      </w:r>
      <w:r w:rsidR="00BB1B69" w:rsidRPr="005B05B3">
        <w:rPr>
          <w:rFonts w:eastAsia="Aptos" w:cs="Aptos"/>
        </w:rPr>
        <w:t xml:space="preserve"> service options in almost equal measure to significant concerns of quality and safety. In our view, this construct to divide the providers based on registration was merely another indicator of a system that is failing in part to serve the people who matter </w:t>
      </w:r>
      <w:r w:rsidR="0005691F" w:rsidRPr="005B05B3">
        <w:rPr>
          <w:rFonts w:eastAsia="Aptos" w:cs="Aptos"/>
        </w:rPr>
        <w:t>most,</w:t>
      </w:r>
      <w:r w:rsidR="00BB1B69" w:rsidRPr="005B05B3">
        <w:rPr>
          <w:rFonts w:eastAsia="Aptos" w:cs="Aptos"/>
        </w:rPr>
        <w:t xml:space="preserve"> people with disability. </w:t>
      </w:r>
      <w:r w:rsidR="00B86B77" w:rsidRPr="005B05B3">
        <w:rPr>
          <w:rFonts w:eastAsia="Aptos" w:cs="Aptos"/>
        </w:rPr>
        <w:t xml:space="preserve">The Taskforce also </w:t>
      </w:r>
      <w:r w:rsidR="00BB1B69" w:rsidRPr="005B05B3">
        <w:rPr>
          <w:rFonts w:eastAsia="Aptos" w:cs="Aptos"/>
        </w:rPr>
        <w:t>acknowledge the significant anxiety and distress that has been experienced by many people involved in this conversation, especially those with disability.</w:t>
      </w:r>
    </w:p>
    <w:p w14:paraId="740C6A07" w14:textId="5BCBAC3D" w:rsidR="009E2FD6" w:rsidRPr="00DC1BCE" w:rsidRDefault="009E2FD6" w:rsidP="001879E5">
      <w:pPr>
        <w:spacing w:before="360" w:after="120"/>
        <w:rPr>
          <w:color w:val="0D2B58"/>
          <w:sz w:val="32"/>
          <w:szCs w:val="32"/>
        </w:rPr>
      </w:pPr>
      <w:r w:rsidRPr="00DC1BCE">
        <w:rPr>
          <w:color w:val="0D2B58"/>
          <w:sz w:val="32"/>
          <w:szCs w:val="32"/>
        </w:rPr>
        <w:t>An improved registration system</w:t>
      </w:r>
    </w:p>
    <w:p w14:paraId="4E091D48" w14:textId="02C498C6" w:rsidR="002C4333" w:rsidRDefault="00BB1B69" w:rsidP="00B12412">
      <w:pPr>
        <w:rPr>
          <w:rFonts w:eastAsia="Aptos" w:cs="Aptos"/>
        </w:rPr>
      </w:pPr>
      <w:r w:rsidRPr="005B05B3">
        <w:rPr>
          <w:rFonts w:eastAsia="Aptos" w:cs="Aptos"/>
        </w:rPr>
        <w:t xml:space="preserve">Ultimately, one of the most significant barriers that the Taskforce had to overcome </w:t>
      </w:r>
      <w:r w:rsidR="00B93CAA" w:rsidRPr="005B05B3">
        <w:rPr>
          <w:rFonts w:eastAsia="Aptos" w:cs="Aptos"/>
        </w:rPr>
        <w:t xml:space="preserve">was </w:t>
      </w:r>
      <w:r w:rsidRPr="005B05B3">
        <w:rPr>
          <w:rFonts w:eastAsia="Aptos" w:cs="Aptos"/>
        </w:rPr>
        <w:t>the understanding of</w:t>
      </w:r>
      <w:r w:rsidR="00B93CAA" w:rsidRPr="005B05B3">
        <w:rPr>
          <w:rFonts w:eastAsia="Aptos" w:cs="Aptos"/>
        </w:rPr>
        <w:t xml:space="preserve"> what </w:t>
      </w:r>
      <w:r w:rsidRPr="005B05B3">
        <w:rPr>
          <w:rFonts w:eastAsia="Aptos" w:cs="Aptos"/>
        </w:rPr>
        <w:t>a future registration model would look like. For some people and providers, it has been unimaginable to consider a registration system that would not impose significant costs and time burdens.</w:t>
      </w:r>
      <w:r w:rsidR="002C4333">
        <w:rPr>
          <w:vertAlign w:val="superscript"/>
        </w:rPr>
        <w:t xml:space="preserve"> </w:t>
      </w:r>
      <w:r w:rsidRPr="005B05B3">
        <w:rPr>
          <w:rFonts w:eastAsia="Aptos" w:cs="Aptos"/>
        </w:rPr>
        <w:t xml:space="preserve">The Taskforce </w:t>
      </w:r>
      <w:r w:rsidRPr="00B12412">
        <w:t>has</w:t>
      </w:r>
      <w:r w:rsidRPr="005B05B3">
        <w:rPr>
          <w:rFonts w:eastAsia="Aptos" w:cs="Aptos"/>
        </w:rPr>
        <w:t xml:space="preserve"> been especially disappointed by providers who have told their clients that they would never register and so if the Taskforce recommended a registration model, the service would end; no matter what the registration process would look like. </w:t>
      </w:r>
    </w:p>
    <w:p w14:paraId="1A6063B9" w14:textId="04D46730" w:rsidR="002C4333" w:rsidRDefault="002C4333" w:rsidP="00B12412">
      <w:pPr>
        <w:pStyle w:val="Quote"/>
      </w:pPr>
      <w:r w:rsidRPr="002C4333">
        <w:t>They will simply leave the NDIS market. There</w:t>
      </w:r>
      <w:r>
        <w:t xml:space="preserve"> is</w:t>
      </w:r>
      <w:r w:rsidRPr="002C4333">
        <w:t xml:space="preserve"> no incentive to do unbillable hours work as a mainstream business to enrol or register. The demand for their services is such they don't need NDIS.</w:t>
      </w:r>
      <w:r>
        <w:rPr>
          <w:rStyle w:val="FootnoteReference"/>
        </w:rPr>
        <w:footnoteReference w:id="85"/>
      </w:r>
    </w:p>
    <w:p w14:paraId="73F6E592" w14:textId="4EB53FE0" w:rsidR="00100AF5" w:rsidRPr="005B05B3" w:rsidRDefault="00BB1B69" w:rsidP="00B12412">
      <w:pPr>
        <w:rPr>
          <w:rFonts w:eastAsia="Aptos" w:cs="Aptos"/>
        </w:rPr>
      </w:pPr>
      <w:r w:rsidRPr="005B05B3">
        <w:rPr>
          <w:rFonts w:eastAsia="Aptos" w:cs="Aptos"/>
        </w:rPr>
        <w:t xml:space="preserve">This type of scaremongering and misinformation was unprofessional and in some instances, unethical. </w:t>
      </w:r>
    </w:p>
    <w:p w14:paraId="5108BA75" w14:textId="348EAD4E" w:rsidR="00BB1B69" w:rsidRPr="005B05B3" w:rsidRDefault="00BB1B69" w:rsidP="00B12412">
      <w:pPr>
        <w:rPr>
          <w:rFonts w:eastAsia="Aptos" w:cs="Aptos"/>
        </w:rPr>
      </w:pPr>
      <w:r w:rsidRPr="005B05B3">
        <w:rPr>
          <w:rFonts w:eastAsia="Aptos" w:cs="Aptos"/>
        </w:rPr>
        <w:lastRenderedPageBreak/>
        <w:t xml:space="preserve">When people and providers engaged with the Taskforce to explore what a registration system could </w:t>
      </w:r>
      <w:r w:rsidRPr="005B05B3">
        <w:rPr>
          <w:rFonts w:eastAsia="Aptos" w:cs="Aptos"/>
          <w:i/>
          <w:iCs/>
        </w:rPr>
        <w:t xml:space="preserve">not </w:t>
      </w:r>
      <w:r w:rsidRPr="005B05B3">
        <w:rPr>
          <w:rFonts w:eastAsia="Aptos" w:cs="Aptos"/>
        </w:rPr>
        <w:t xml:space="preserve">look like and what would add value, it was much clearer as to how we could design a system that </w:t>
      </w:r>
      <w:r w:rsidR="001631AA" w:rsidRPr="005B05B3">
        <w:rPr>
          <w:rFonts w:eastAsia="Aptos" w:cs="Aptos"/>
        </w:rPr>
        <w:t xml:space="preserve">was efficient and effective that </w:t>
      </w:r>
      <w:r w:rsidRPr="005B05B3">
        <w:rPr>
          <w:rFonts w:eastAsia="Aptos" w:cs="Aptos"/>
        </w:rPr>
        <w:t>worked for everyone. The Taskforce has been grateful for those who engaged with us in this way, at times, despite their anxiety and concern for their lives or livelihoods. We acknowledge that it has not been easy.</w:t>
      </w:r>
    </w:p>
    <w:p w14:paraId="317F0C17" w14:textId="7D8E1FFA" w:rsidR="00CF649A" w:rsidRPr="005B05B3" w:rsidRDefault="000E366B" w:rsidP="003D35AB">
      <w:pPr>
        <w:pStyle w:val="TSDAltHeading2"/>
        <w:spacing w:before="360" w:after="0"/>
      </w:pPr>
      <w:bookmarkStart w:id="52" w:name="_Toc173318059"/>
      <w:r w:rsidRPr="005B05B3">
        <w:t>R</w:t>
      </w:r>
      <w:r w:rsidR="00CF649A" w:rsidRPr="005B05B3">
        <w:t>egistration categories explained</w:t>
      </w:r>
      <w:bookmarkEnd w:id="52"/>
    </w:p>
    <w:p w14:paraId="71FF90AA" w14:textId="77777777" w:rsidR="00CF649A" w:rsidRPr="005B05B3" w:rsidRDefault="00CF649A" w:rsidP="009F682D">
      <w:pPr>
        <w:pStyle w:val="TSDAltHeading3"/>
      </w:pPr>
      <w:bookmarkStart w:id="53" w:name="_Toc170128740"/>
      <w:r w:rsidRPr="005B05B3">
        <w:t>Advanced Registration</w:t>
      </w:r>
      <w:bookmarkEnd w:id="53"/>
    </w:p>
    <w:p w14:paraId="745DC071" w14:textId="5A9B2FBB" w:rsidR="00CF649A" w:rsidRPr="005B05B3" w:rsidRDefault="00CF649A" w:rsidP="00CF649A">
      <w:r w:rsidRPr="005B05B3">
        <w:t xml:space="preserve">Advanced Registration is the strictest form of registration, imposing the most obligations on the provider. This category is designed to demand the utmost quality and safety in the services provided to recognise and </w:t>
      </w:r>
      <w:r w:rsidR="0005691F" w:rsidRPr="005B05B3">
        <w:t>respond to</w:t>
      </w:r>
      <w:r w:rsidRPr="005B05B3">
        <w:t xml:space="preserve"> the risk in the services, whether capable of mitigation or inherent.</w:t>
      </w:r>
    </w:p>
    <w:p w14:paraId="4BACA477" w14:textId="7314BA09" w:rsidR="00CF649A" w:rsidRPr="005B05B3" w:rsidRDefault="00CF649A" w:rsidP="00B12412">
      <w:r w:rsidRPr="005B05B3">
        <w:t xml:space="preserve">Providers who deliver services in congregate or closed settings will fall within this category. This </w:t>
      </w:r>
      <w:r w:rsidR="009F3982" w:rsidRPr="005B05B3">
        <w:t>includes</w:t>
      </w:r>
      <w:r w:rsidRPr="005B05B3">
        <w:t xml:space="preserve"> behaviour support and supported employment. The Taskforce recognises that these supports and services </w:t>
      </w:r>
      <w:r w:rsidR="006B0FE1" w:rsidRPr="005B05B3">
        <w:t xml:space="preserve">can </w:t>
      </w:r>
      <w:r w:rsidRPr="005B05B3">
        <w:t xml:space="preserve">restrict the rights of people with disability and expose them to risks including isolation, reduction in natural safeguards, minimised community participation and little opportunity for capacity building. For completeness, the Taskforce acknowledges that the </w:t>
      </w:r>
      <w:r w:rsidRPr="00B12412">
        <w:t>Disability</w:t>
      </w:r>
      <w:r w:rsidRPr="005B05B3">
        <w:t xml:space="preserve"> Royal Commission found services delivered in congregate or closed settings placed unacceptable limitations on the lives of people with disability, and while there was disagreement about the timeframes for implementation, all Commissioners agreed they should be phased out</w:t>
      </w:r>
      <w:r w:rsidR="00D133B9">
        <w:t>.</w:t>
      </w:r>
      <w:r w:rsidRPr="005B05B3">
        <w:rPr>
          <w:rStyle w:val="FootnoteReference"/>
        </w:rPr>
        <w:footnoteReference w:id="86"/>
      </w:r>
    </w:p>
    <w:p w14:paraId="392E34FC" w14:textId="496FF784" w:rsidR="00CF649A" w:rsidRPr="005B05B3" w:rsidRDefault="00CF649A" w:rsidP="00CF649A">
      <w:r w:rsidRPr="005B05B3">
        <w:t>The NDIS Commission’s 202</w:t>
      </w:r>
      <w:r w:rsidR="008C006A" w:rsidRPr="005B05B3">
        <w:t>2</w:t>
      </w:r>
      <w:r w:rsidRPr="005B05B3">
        <w:rPr>
          <w:i/>
          <w:iCs/>
        </w:rPr>
        <w:t xml:space="preserve"> Own Motion Inquiry into Aspects of Supported Accommodation</w:t>
      </w:r>
      <w:r w:rsidRPr="005B05B3">
        <w:t xml:space="preserve"> identified higher levels of incident reporting in closed group settings. Although the Inquiry was limited to 7 providers, these providers represented 18% of all NDIS participants receiving SIL across Australia.</w:t>
      </w:r>
      <w:r w:rsidRPr="005B05B3">
        <w:rPr>
          <w:rStyle w:val="FootnoteReference"/>
        </w:rPr>
        <w:footnoteReference w:id="87"/>
      </w:r>
      <w:r w:rsidRPr="005B05B3">
        <w:t xml:space="preserve"> The Inquiry found that 85% of all reportable incidents notified by these providers occurred in group home settings, with the remainder occurring in other settings.</w:t>
      </w:r>
      <w:r w:rsidRPr="005B05B3">
        <w:rPr>
          <w:rStyle w:val="FootnoteReference"/>
        </w:rPr>
        <w:footnoteReference w:id="88"/>
      </w:r>
    </w:p>
    <w:p w14:paraId="3CB37386" w14:textId="677762C9" w:rsidR="00CF649A" w:rsidRPr="005B05B3" w:rsidRDefault="00CF649A" w:rsidP="00B12412">
      <w:r w:rsidRPr="005B05B3">
        <w:rPr>
          <w:rFonts w:eastAsia="Aptos" w:cs="Aptos"/>
        </w:rPr>
        <w:t>The Inquiry also identified a number of risk factors in supported accommodation settings that heightened exposure to risks of violence, abuse, neglect and exploitation including:</w:t>
      </w:r>
    </w:p>
    <w:p w14:paraId="4B63BC90" w14:textId="5A845E83" w:rsidR="00CF649A" w:rsidRPr="005B05B3" w:rsidRDefault="00CF649A" w:rsidP="002D6AB8">
      <w:pPr>
        <w:pStyle w:val="ListParagraph"/>
        <w:numPr>
          <w:ilvl w:val="0"/>
          <w:numId w:val="14"/>
        </w:numPr>
        <w:spacing w:line="278" w:lineRule="auto"/>
        <w:rPr>
          <w:rFonts w:eastAsia="Aptos" w:cs="Aptos"/>
        </w:rPr>
      </w:pPr>
      <w:r w:rsidRPr="005B05B3">
        <w:rPr>
          <w:rFonts w:eastAsia="Aptos" w:cs="Aptos"/>
        </w:rPr>
        <w:t>many residents have an intellectual disability</w:t>
      </w:r>
    </w:p>
    <w:p w14:paraId="4C45B4D5" w14:textId="38400AF3" w:rsidR="00CF649A" w:rsidRPr="005B05B3" w:rsidRDefault="00CF649A" w:rsidP="002D6AB8">
      <w:pPr>
        <w:pStyle w:val="ListParagraph"/>
        <w:numPr>
          <w:ilvl w:val="0"/>
          <w:numId w:val="14"/>
        </w:numPr>
        <w:spacing w:line="278" w:lineRule="auto"/>
        <w:rPr>
          <w:rFonts w:eastAsia="Aptos" w:cs="Aptos"/>
        </w:rPr>
      </w:pPr>
      <w:r w:rsidRPr="005B05B3">
        <w:rPr>
          <w:rFonts w:eastAsia="Aptos" w:cs="Aptos"/>
        </w:rPr>
        <w:t>many residents have high physical support needs, and/or dependence on others for most aspects of their daily living needs</w:t>
      </w:r>
    </w:p>
    <w:p w14:paraId="29372506" w14:textId="31D3146D" w:rsidR="00CF649A" w:rsidRPr="005B05B3" w:rsidRDefault="00CF649A" w:rsidP="002D6AB8">
      <w:pPr>
        <w:pStyle w:val="ListParagraph"/>
        <w:numPr>
          <w:ilvl w:val="0"/>
          <w:numId w:val="14"/>
        </w:numPr>
        <w:spacing w:line="278" w:lineRule="auto"/>
        <w:rPr>
          <w:rFonts w:eastAsia="Aptos" w:cs="Aptos"/>
        </w:rPr>
      </w:pPr>
      <w:r w:rsidRPr="005B05B3">
        <w:rPr>
          <w:rFonts w:eastAsia="Aptos" w:cs="Aptos"/>
        </w:rPr>
        <w:lastRenderedPageBreak/>
        <w:t>participants who display what are termed ‘behaviours of concern’ or ‘challenging behaviours’ commonly reside in supported accommodation</w:t>
      </w:r>
    </w:p>
    <w:p w14:paraId="43942242" w14:textId="09C378E9" w:rsidR="00CF649A" w:rsidRPr="005B05B3" w:rsidRDefault="00CF649A" w:rsidP="002D6AB8">
      <w:pPr>
        <w:pStyle w:val="ListParagraph"/>
        <w:numPr>
          <w:ilvl w:val="0"/>
          <w:numId w:val="14"/>
        </w:numPr>
        <w:spacing w:line="278" w:lineRule="auto"/>
        <w:rPr>
          <w:rFonts w:eastAsia="Aptos" w:cs="Aptos"/>
        </w:rPr>
      </w:pPr>
      <w:r w:rsidRPr="005B05B3">
        <w:rPr>
          <w:rFonts w:eastAsia="Aptos" w:cs="Aptos"/>
        </w:rPr>
        <w:t>residents may have fewer connections to family, community and a range of informal safeguards</w:t>
      </w:r>
    </w:p>
    <w:p w14:paraId="0AF09ACB" w14:textId="78777E35" w:rsidR="004C3559" w:rsidRPr="005B05B3" w:rsidRDefault="0006145F" w:rsidP="00B12412">
      <w:pPr>
        <w:rPr>
          <w:rFonts w:eastAsia="Aptos" w:cs="Aptos"/>
        </w:rPr>
      </w:pPr>
      <w:r>
        <w:rPr>
          <w:rFonts w:eastAsia="Aptos" w:cs="Aptos"/>
        </w:rPr>
        <w:t>Re</w:t>
      </w:r>
      <w:r w:rsidR="00CF649A" w:rsidRPr="005B05B3">
        <w:rPr>
          <w:rFonts w:eastAsia="Aptos" w:cs="Aptos"/>
        </w:rPr>
        <w:t>sidents may have considerable difficulty</w:t>
      </w:r>
      <w:r w:rsidR="006B0FE1" w:rsidRPr="005B05B3">
        <w:rPr>
          <w:rFonts w:eastAsia="Aptos" w:cs="Aptos"/>
        </w:rPr>
        <w:t xml:space="preserve"> and no support</w:t>
      </w:r>
      <w:r w:rsidR="00CF649A" w:rsidRPr="005B05B3">
        <w:rPr>
          <w:rFonts w:eastAsia="Aptos" w:cs="Aptos"/>
        </w:rPr>
        <w:t xml:space="preserve"> in making complaints, including because of a number of the factors listed above.</w:t>
      </w:r>
      <w:r w:rsidR="00CF649A" w:rsidRPr="005B05B3">
        <w:rPr>
          <w:rFonts w:eastAsia="Aptos" w:cs="Aptos"/>
          <w:vertAlign w:val="superscript"/>
        </w:rPr>
        <w:footnoteReference w:id="89"/>
      </w:r>
      <w:r>
        <w:rPr>
          <w:rFonts w:eastAsia="Aptos" w:cs="Aptos"/>
        </w:rPr>
        <w:t xml:space="preserve"> </w:t>
      </w:r>
      <w:r w:rsidR="004C3559" w:rsidRPr="005B05B3">
        <w:rPr>
          <w:rFonts w:eastAsia="Aptos" w:cs="Aptos"/>
        </w:rPr>
        <w:t xml:space="preserve">Specific recommendations are made about Group Homes in </w:t>
      </w:r>
      <w:hyperlink w:anchor="_Inclusion_of_types" w:history="1">
        <w:r w:rsidR="004C3559" w:rsidRPr="001C02F8">
          <w:rPr>
            <w:rStyle w:val="Hyperlink"/>
            <w:rFonts w:ascii="Aptos" w:eastAsia="Aptos" w:hAnsi="Aptos" w:cs="Aptos"/>
          </w:rPr>
          <w:t xml:space="preserve">Chapter </w:t>
        </w:r>
        <w:r w:rsidR="00F97326" w:rsidRPr="001C02F8">
          <w:rPr>
            <w:rStyle w:val="Hyperlink"/>
            <w:rFonts w:ascii="Aptos" w:eastAsia="Aptos" w:hAnsi="Aptos" w:cs="Aptos"/>
          </w:rPr>
          <w:t>6</w:t>
        </w:r>
      </w:hyperlink>
      <w:r w:rsidR="004C3559" w:rsidRPr="005B05B3">
        <w:rPr>
          <w:rFonts w:eastAsia="Aptos" w:cs="Aptos"/>
        </w:rPr>
        <w:t>.</w:t>
      </w:r>
    </w:p>
    <w:p w14:paraId="1CEB3E57" w14:textId="77777777" w:rsidR="00CF649A" w:rsidRPr="005B05B3" w:rsidRDefault="00CF649A" w:rsidP="00CF649A">
      <w:r w:rsidRPr="005B05B3">
        <w:t>It is important in our view that the findings of the Disability Royal Commission and Own Motion Inquiry are considered in all areas of policy-making, acknowledging the significant body of evidence which sits behind those findings.</w:t>
      </w:r>
    </w:p>
    <w:p w14:paraId="47FA2DB2" w14:textId="77777777" w:rsidR="00A34E65" w:rsidRPr="005B05B3" w:rsidRDefault="00A34E65" w:rsidP="009F682D">
      <w:pPr>
        <w:pStyle w:val="TSDAltHeading3"/>
      </w:pPr>
      <w:bookmarkStart w:id="54" w:name="_Toc170128741"/>
      <w:r w:rsidRPr="005B05B3">
        <w:t>General Registration</w:t>
      </w:r>
      <w:bookmarkEnd w:id="54"/>
    </w:p>
    <w:p w14:paraId="63B7EBA4" w14:textId="7216E732" w:rsidR="00A34E65" w:rsidRPr="005B05B3" w:rsidRDefault="00A34E65" w:rsidP="00B12412">
      <w:r w:rsidRPr="005B05B3">
        <w:t xml:space="preserve">General registration is designed to capture high intensity supports (such as high intensity daily personal activities), supports that require additional skill and training (such as complex bowel care or injections), and supports involving significant 1:1 contact with people with disability. These high intensity supports are provided in the community or private settings, distinguishing them from </w:t>
      </w:r>
      <w:r w:rsidRPr="00B12412">
        <w:t>those</w:t>
      </w:r>
      <w:r w:rsidRPr="005B05B3">
        <w:t xml:space="preserve"> that fall within the Advanced Registration category. Further, it is noted that if a Participant self-directs high intensity support, the Self-Directed Support Registration Category applies to those supports.</w:t>
      </w:r>
    </w:p>
    <w:p w14:paraId="21D7D496" w14:textId="3BB05E5F" w:rsidR="00A34E65" w:rsidRPr="005B05B3" w:rsidRDefault="00A34E65" w:rsidP="00B12412">
      <w:r w:rsidRPr="005B05B3">
        <w:t xml:space="preserve">The Taskforce anticipates this category will capture most of the current disability support services that are delivered in-home or in the community. The Provider Obligations (see </w:t>
      </w:r>
      <w:hyperlink w:anchor="_NDIS_Provider_Obligations" w:history="1">
        <w:r w:rsidRPr="001E4A9E">
          <w:rPr>
            <w:rStyle w:val="Hyperlink"/>
            <w:rFonts w:ascii="Aptos" w:hAnsi="Aptos"/>
          </w:rPr>
          <w:t xml:space="preserve">Chapter </w:t>
        </w:r>
        <w:r w:rsidR="001E4A9E" w:rsidRPr="001E4A9E">
          <w:rPr>
            <w:rStyle w:val="Hyperlink"/>
            <w:rFonts w:ascii="Aptos" w:hAnsi="Aptos"/>
          </w:rPr>
          <w:t>8</w:t>
        </w:r>
      </w:hyperlink>
      <w:r w:rsidRPr="005B05B3">
        <w:t xml:space="preserve">) set a benchmark of quality expected in </w:t>
      </w:r>
      <w:r w:rsidRPr="00B12412">
        <w:t>these</w:t>
      </w:r>
      <w:r w:rsidRPr="005B05B3">
        <w:t xml:space="preserve"> services that are in the business of servicing NDIS participants. Examples of these types of services include personal care, community access, disability-specific transport services and therapy.</w:t>
      </w:r>
    </w:p>
    <w:p w14:paraId="70034872" w14:textId="3FCF1975" w:rsidR="00A34E65" w:rsidRPr="000923F2" w:rsidRDefault="00A34E65" w:rsidP="00B12412">
      <w:r w:rsidRPr="005B05B3">
        <w:t xml:space="preserve">We have heard that people with disability have a diverse range of supports and services that they look to </w:t>
      </w:r>
      <w:r w:rsidRPr="000923F2">
        <w:t xml:space="preserve">purchase for their everyday </w:t>
      </w:r>
      <w:r w:rsidRPr="00B12412">
        <w:t>support</w:t>
      </w:r>
      <w:r w:rsidRPr="000923F2">
        <w:t xml:space="preserve"> needs.</w:t>
      </w:r>
    </w:p>
    <w:p w14:paraId="48FF21F8" w14:textId="07108522" w:rsidR="00A34E65" w:rsidRPr="000923F2" w:rsidRDefault="00A34E65" w:rsidP="00B12412">
      <w:pPr>
        <w:pStyle w:val="Quote"/>
      </w:pPr>
      <w:r w:rsidRPr="00B12412">
        <w:t>People with disability have diverse support needs and preferences in who supports them and how they are supported</w:t>
      </w:r>
      <w:r w:rsidRPr="000923F2">
        <w:t>.</w:t>
      </w:r>
      <w:r w:rsidRPr="000923F2">
        <w:rPr>
          <w:rStyle w:val="FootnoteReference"/>
        </w:rPr>
        <w:footnoteReference w:id="90"/>
      </w:r>
    </w:p>
    <w:p w14:paraId="7EC6F7CA" w14:textId="77777777" w:rsidR="00A34E65" w:rsidRPr="00B12412" w:rsidRDefault="00A34E65" w:rsidP="00B12412">
      <w:pPr>
        <w:pStyle w:val="Quote"/>
      </w:pPr>
      <w:r w:rsidRPr="00B12412">
        <w:t>I purchase consumable continence supplies, miscellaneous assistive technology products and utilise community access via wheelchair from non-registered providers regularly. The reason I do this is not only for convenience of purchasing local and being able to save money but also out of necessity where there are no registered providers.</w:t>
      </w:r>
      <w:r w:rsidRPr="000923F2">
        <w:rPr>
          <w:rStyle w:val="FootnoteReference"/>
        </w:rPr>
        <w:footnoteReference w:id="91"/>
      </w:r>
    </w:p>
    <w:p w14:paraId="321CF246" w14:textId="6789F987" w:rsidR="00A34E65" w:rsidRPr="00B12412" w:rsidRDefault="00A34E65" w:rsidP="00B12412">
      <w:pPr>
        <w:pStyle w:val="Quote"/>
      </w:pPr>
      <w:r w:rsidRPr="00B12412">
        <w:lastRenderedPageBreak/>
        <w:t>The NDIS consumables category is designed to facilitate the purchase of ‘everyday items you may need because of your disability support needs.’ This category has facilitated the provision of a vast range of low-cost vision aids and equipment. However, it has also enabled the delivery of more innovative supports in a rapidly developing market. One such example is AIRA, a ‘visual interpreting service’ which connects users with a trained agent via a smartphone or computer.</w:t>
      </w:r>
      <w:r w:rsidRPr="000923F2">
        <w:rPr>
          <w:rStyle w:val="FootnoteReference"/>
        </w:rPr>
        <w:footnoteReference w:id="92"/>
      </w:r>
    </w:p>
    <w:p w14:paraId="1B8744DE" w14:textId="40F901DC" w:rsidR="00A34E65" w:rsidRPr="005B05B3" w:rsidRDefault="00A34E65" w:rsidP="00B12412">
      <w:r w:rsidRPr="005B05B3">
        <w:t>The Taskforce intends th</w:t>
      </w:r>
      <w:r w:rsidR="00FC7A08">
        <w:t>ere</w:t>
      </w:r>
      <w:r w:rsidRPr="005B05B3">
        <w:t xml:space="preserve"> to</w:t>
      </w:r>
      <w:r w:rsidR="00FC7A08">
        <w:t xml:space="preserve"> be</w:t>
      </w:r>
      <w:r w:rsidRPr="005B05B3">
        <w:t xml:space="preserve"> a baseline of quality and safety in services that are offered to NDIS participants. For </w:t>
      </w:r>
      <w:r w:rsidRPr="00B12412">
        <w:t>example</w:t>
      </w:r>
      <w:r w:rsidRPr="005B05B3">
        <w:t>, this category of registration requires worker screening of workers which will lift the checks and balances of workers’ criminal history to a consistent baseline. This is important for people with disability and their families to be able to make informed choices of their disability support services.</w:t>
      </w:r>
    </w:p>
    <w:p w14:paraId="2F69BF88" w14:textId="55084C42" w:rsidR="00A34E65" w:rsidRPr="005B05B3" w:rsidRDefault="00A34E65" w:rsidP="00B12412">
      <w:r w:rsidRPr="005B05B3">
        <w:t>Through registration, the NDIS Commission will have clear visibility of services which, like other categories of registration</w:t>
      </w:r>
      <w:r w:rsidR="000B2926" w:rsidRPr="005B05B3">
        <w:t xml:space="preserve"> will enable </w:t>
      </w:r>
      <w:r w:rsidRPr="005B05B3">
        <w:t xml:space="preserve">a supportive relationship between the NDIS Commission and providers </w:t>
      </w:r>
      <w:r w:rsidR="000B2926" w:rsidRPr="005B05B3">
        <w:t>to</w:t>
      </w:r>
      <w:r w:rsidRPr="005B05B3">
        <w:t xml:space="preserve"> be formed to develop </w:t>
      </w:r>
      <w:r w:rsidR="000B2926" w:rsidRPr="005B05B3">
        <w:t xml:space="preserve">a model of </w:t>
      </w:r>
      <w:r w:rsidRPr="005B05B3">
        <w:t xml:space="preserve">continuous improvement </w:t>
      </w:r>
      <w:r w:rsidR="000B2926" w:rsidRPr="005B05B3">
        <w:t xml:space="preserve">and innovation </w:t>
      </w:r>
      <w:r w:rsidRPr="005B05B3">
        <w:t>in service delivery</w:t>
      </w:r>
      <w:r w:rsidR="000B2926" w:rsidRPr="005B05B3">
        <w:t xml:space="preserve"> and build trust.</w:t>
      </w:r>
    </w:p>
    <w:p w14:paraId="06E597CE" w14:textId="275F26D2" w:rsidR="00A34E65" w:rsidRPr="005B05B3" w:rsidRDefault="00BF598B" w:rsidP="009F682D">
      <w:pPr>
        <w:pStyle w:val="TSDAltHeading3"/>
      </w:pPr>
      <w:r>
        <w:t xml:space="preserve"> </w:t>
      </w:r>
      <w:r w:rsidR="00A34E65" w:rsidRPr="005B05B3">
        <w:t>Self-Directed Support Registration</w:t>
      </w:r>
    </w:p>
    <w:p w14:paraId="30FD73AF" w14:textId="583C7653" w:rsidR="00A34E65" w:rsidRPr="005B05B3" w:rsidRDefault="00A34E65" w:rsidP="00A34E65">
      <w:r w:rsidRPr="005B05B3">
        <w:t xml:space="preserve">As discussed in </w:t>
      </w:r>
      <w:hyperlink w:anchor="_Registration_categories" w:history="1">
        <w:r w:rsidRPr="001E4A9E">
          <w:rPr>
            <w:rStyle w:val="Hyperlink"/>
            <w:rFonts w:ascii="Aptos" w:hAnsi="Aptos"/>
          </w:rPr>
          <w:t xml:space="preserve">Chapter </w:t>
        </w:r>
        <w:r w:rsidR="00CE7247" w:rsidRPr="001E4A9E">
          <w:rPr>
            <w:rStyle w:val="Hyperlink"/>
            <w:rFonts w:ascii="Aptos" w:hAnsi="Aptos"/>
          </w:rPr>
          <w:t>7</w:t>
        </w:r>
      </w:hyperlink>
      <w:r w:rsidRPr="001E4A9E">
        <w:t>,</w:t>
      </w:r>
      <w:r w:rsidRPr="005B05B3">
        <w:t xml:space="preserve"> self-directed supports are a critical and valued approach to managing support services under the NDIS. This registration category will apply to the participant or guardian or other person with legal authority for the direct contracting of all supports. This includes for family members of children under 18 years with legal responsibility for the child. The central characteristic of the arrangement is that the participant (or their representative) directly employ </w:t>
      </w:r>
      <w:r w:rsidR="00FC7A08">
        <w:t>or</w:t>
      </w:r>
      <w:r w:rsidRPr="005B05B3">
        <w:t xml:space="preserve"> contract their own supports, including through independent contractors.</w:t>
      </w:r>
    </w:p>
    <w:p w14:paraId="064BBCBF" w14:textId="2BBAF631" w:rsidR="00A34E65" w:rsidRPr="005B05B3" w:rsidRDefault="00A34E65" w:rsidP="00A34E65">
      <w:r w:rsidRPr="005B05B3">
        <w:t>The types of supports managed through self-direction vary, but the safeguards in place often mean that the risk to the participant is lowered, including a high level of natural safeguards, understanding of rights and control to stop and start the services as needed. It is also recognised that while it is important for self-directed supports to be recognised within the regulatory framework, the treatment of participants who self-direct their supports is different to providers in terms of the Provider Obligations and Processes (</w:t>
      </w:r>
      <w:r w:rsidR="004D5CA8">
        <w:t>see</w:t>
      </w:r>
      <w:r w:rsidR="004D5CA8" w:rsidRPr="005B05B3">
        <w:t xml:space="preserve"> </w:t>
      </w:r>
      <w:hyperlink w:anchor="_NDIS_Provider_Obligations" w:history="1">
        <w:r w:rsidRPr="001E4A9E">
          <w:rPr>
            <w:rStyle w:val="Hyperlink"/>
            <w:rFonts w:ascii="Aptos" w:hAnsi="Aptos"/>
          </w:rPr>
          <w:t xml:space="preserve">Chapter </w:t>
        </w:r>
        <w:r w:rsidR="000D3E22" w:rsidRPr="001E4A9E">
          <w:rPr>
            <w:rStyle w:val="Hyperlink"/>
            <w:rFonts w:ascii="Aptos" w:hAnsi="Aptos"/>
          </w:rPr>
          <w:t>8</w:t>
        </w:r>
      </w:hyperlink>
      <w:r w:rsidRPr="005B05B3">
        <w:t>) that ensure that registration adds value and drives quality and safety in the arrangements.</w:t>
      </w:r>
    </w:p>
    <w:p w14:paraId="22949965" w14:textId="40F92F5D" w:rsidR="00A34E65" w:rsidRPr="005B05B3" w:rsidRDefault="00A34E65" w:rsidP="00A34E65">
      <w:r w:rsidRPr="005B05B3">
        <w:t xml:space="preserve">A participant (or their representative) can register to self-direct any supports, unless they fall within the Advanced Registration category and so include, for example, behaviour support, restrictive practices or are a Group Home. These supports will be subject to Advanced Registration regardless of self-direction. The reasons for this are to avoid a loophole of a provider exploiting participants by using their self-direction to propagate </w:t>
      </w:r>
      <w:r w:rsidRPr="005B05B3">
        <w:lastRenderedPageBreak/>
        <w:t xml:space="preserve">these arrangements without undergoing significant registration requirements. </w:t>
      </w:r>
      <w:r w:rsidR="009B5EDA">
        <w:t xml:space="preserve">We recognise that this approach would benefit from co-design with people with disability who would fall within this category to ensure that it is implemented in a way that does not limit their choice and control. It is not the Taskforce’s intention to arbitrarily curtail participant choice and control but we are mindful that extreme care would need to be taken in exempting services from the Advanced Registration category. </w:t>
      </w:r>
      <w:r w:rsidRPr="005B05B3">
        <w:t>It is important to note that we have heard that few participants self-direct supports that fall within Advanced Registration. Those that do use restrictive practices told us that undergoing Advanced Registration was agreeable given the risk involved in those supports</w:t>
      </w:r>
      <w:r w:rsidRPr="005B05B3">
        <w:rPr>
          <w:rStyle w:val="FootnoteReference"/>
        </w:rPr>
        <w:footnoteReference w:id="93"/>
      </w:r>
      <w:r w:rsidR="009B5EDA">
        <w:t xml:space="preserve"> however, further exploration of this would be beneficial. </w:t>
      </w:r>
    </w:p>
    <w:p w14:paraId="39CD7F66" w14:textId="6C3ADDBF" w:rsidR="00A34E65" w:rsidRPr="005B05B3" w:rsidRDefault="00A34E65" w:rsidP="00A34E65">
      <w:r w:rsidRPr="005B05B3">
        <w:t xml:space="preserve">We hope that by creating visibility to the NDIS Commission an opportunity arises to develop a relationship between the participant and the NDIS Commission which supports people with disability to self-direct their supports. To aid in this, we propose the establishment of a Self-Directed Support branch within the NDIS Commission, which is discussed in more detail in </w:t>
      </w:r>
      <w:hyperlink w:anchor="_Implementation" w:history="1">
        <w:r w:rsidRPr="00101A9E">
          <w:rPr>
            <w:rStyle w:val="Hyperlink"/>
            <w:rFonts w:ascii="Aptos" w:hAnsi="Aptos"/>
          </w:rPr>
          <w:t xml:space="preserve">Chapter </w:t>
        </w:r>
        <w:r w:rsidR="00101A9E" w:rsidRPr="00101A9E">
          <w:rPr>
            <w:rStyle w:val="Hyperlink"/>
            <w:rFonts w:ascii="Aptos" w:hAnsi="Aptos"/>
          </w:rPr>
          <w:t>10</w:t>
        </w:r>
      </w:hyperlink>
      <w:r w:rsidRPr="005B05B3">
        <w:t>.</w:t>
      </w:r>
    </w:p>
    <w:p w14:paraId="1B9D3F61" w14:textId="76D4C879" w:rsidR="00A34E65" w:rsidRPr="005B05B3" w:rsidRDefault="00A34E65" w:rsidP="009F682D">
      <w:pPr>
        <w:pStyle w:val="TSDAltHeading3"/>
      </w:pPr>
      <w:bookmarkStart w:id="55" w:name="_Toc170128742"/>
      <w:r w:rsidRPr="005B05B3">
        <w:t xml:space="preserve"> Basic Registration</w:t>
      </w:r>
    </w:p>
    <w:p w14:paraId="2B3E0E6F" w14:textId="4B8C041E" w:rsidR="009D071E" w:rsidRPr="004B03C4" w:rsidRDefault="00A34E65" w:rsidP="009D071E">
      <w:r w:rsidRPr="005B05B3">
        <w:t xml:space="preserve">Basic registration offers a light touch registration for lower-risk supports. These include sole traders and supports such as social and community participation and supports involving more limited 1:1 contact with </w:t>
      </w:r>
      <w:r w:rsidRPr="004B03C4">
        <w:t>people with disability.</w:t>
      </w:r>
      <w:r w:rsidR="009D071E" w:rsidRPr="004B03C4">
        <w:t xml:space="preserve"> The Taskforce heard from a </w:t>
      </w:r>
      <w:r w:rsidR="004B03C4" w:rsidRPr="004B03C4">
        <w:t>Participant</w:t>
      </w:r>
      <w:r w:rsidR="009D071E" w:rsidRPr="004B03C4">
        <w:t xml:space="preserve"> who highly valued mainstream local services for low-risk support as it provided greater connection with their community and supported their goals.</w:t>
      </w:r>
      <w:r w:rsidR="009D071E" w:rsidRPr="004B03C4">
        <w:rPr>
          <w:rStyle w:val="FootnoteReference"/>
        </w:rPr>
        <w:footnoteReference w:id="94"/>
      </w:r>
    </w:p>
    <w:p w14:paraId="3D112D70" w14:textId="77777777" w:rsidR="008F7168" w:rsidRPr="005B05B3" w:rsidRDefault="00A34E65" w:rsidP="008F7168">
      <w:r w:rsidRPr="004B03C4">
        <w:t xml:space="preserve">We have heard that there is a need for Providers to be able to register in a light touch category when delivering lower-risk supports so that they are visible to the NDIS </w:t>
      </w:r>
      <w:r w:rsidR="00C965F0" w:rsidRPr="004B03C4">
        <w:t>Commission,</w:t>
      </w:r>
      <w:r w:rsidRPr="004B03C4">
        <w:t xml:space="preserve"> but it is not feasible or a value-add to undergo the same Provider Obligations and Processes as other Registration Categories.</w:t>
      </w:r>
      <w:r w:rsidR="008F7168" w:rsidRPr="004B03C4">
        <w:t xml:space="preserve"> The Taskforce also heard that mainstream services that didn’t require entry into the home, such as gardening, should not require registration as this may act as a disincentive to the services being provided and also impact connection to informal supports.</w:t>
      </w:r>
      <w:r w:rsidR="008F7168" w:rsidRPr="004B03C4">
        <w:rPr>
          <w:rStyle w:val="FootnoteReference"/>
        </w:rPr>
        <w:footnoteReference w:id="95"/>
      </w:r>
      <w:r w:rsidR="008F7168" w:rsidRPr="005B05B3">
        <w:t xml:space="preserve"> </w:t>
      </w:r>
    </w:p>
    <w:p w14:paraId="77AA3F6E" w14:textId="676CD3B3" w:rsidR="00A34E65" w:rsidRPr="005B05B3" w:rsidRDefault="00A34E65" w:rsidP="00D87BAC">
      <w:r w:rsidRPr="005B05B3">
        <w:t>This category continues, like other categories of registration, to strike an important balance between visibility and bringing providers into the regulatory framework while also ensuring that it is workable for providers to meet the Obligations and Processes.</w:t>
      </w:r>
    </w:p>
    <w:p w14:paraId="5950508D" w14:textId="00FFA318" w:rsidR="00A34E65" w:rsidRPr="005B05B3" w:rsidRDefault="00A34E65" w:rsidP="00A34E65">
      <w:pPr>
        <w:pStyle w:val="Quote"/>
      </w:pPr>
      <w:r w:rsidRPr="001E5ECC">
        <w:t xml:space="preserve">Think about which providers need to be </w:t>
      </w:r>
      <w:r w:rsidR="00C965F0" w:rsidRPr="001E5ECC">
        <w:t>registered but</w:t>
      </w:r>
      <w:r w:rsidRPr="001E5ECC">
        <w:t xml:space="preserve"> give flexibility to other providers who are lower risk. Choice and control is fundamental and has to work</w:t>
      </w:r>
      <w:r w:rsidRPr="005B05B3">
        <w:t>.</w:t>
      </w:r>
      <w:r w:rsidRPr="005B05B3">
        <w:rPr>
          <w:rStyle w:val="FootnoteReference"/>
        </w:rPr>
        <w:footnoteReference w:id="96"/>
      </w:r>
    </w:p>
    <w:bookmarkEnd w:id="55"/>
    <w:p w14:paraId="4394CFE2" w14:textId="77777777" w:rsidR="00A34E65" w:rsidRPr="005B05B3" w:rsidRDefault="00A34E65" w:rsidP="009F682D">
      <w:pPr>
        <w:pStyle w:val="TSDAltHeading3"/>
      </w:pPr>
      <w:r w:rsidRPr="005B05B3">
        <w:lastRenderedPageBreak/>
        <w:t>Purchase visibility only</w:t>
      </w:r>
    </w:p>
    <w:p w14:paraId="3EF7D908" w14:textId="787B4491" w:rsidR="00A34E65" w:rsidRPr="005B05B3" w:rsidRDefault="00A34E65" w:rsidP="00A34E65">
      <w:r w:rsidRPr="005B05B3">
        <w:t xml:space="preserve">The Taskforce agrees with the NDIS Review that visibility of goods and services is important to the overall effective regulation of the NDIS market. However, the Taskforce does not want this to be confused with monitoring of participants’ decision-making when deciding what goods and services meet their disability-related needs. We have explained this important distinction in </w:t>
      </w:r>
      <w:hyperlink w:anchor="_Provider_Risk_Framework" w:history="1">
        <w:r w:rsidRPr="00D701E0">
          <w:rPr>
            <w:rStyle w:val="Hyperlink"/>
            <w:rFonts w:ascii="Aptos" w:hAnsi="Aptos"/>
          </w:rPr>
          <w:t xml:space="preserve">Chapter </w:t>
        </w:r>
        <w:r w:rsidR="00D701E0" w:rsidRPr="00D701E0">
          <w:rPr>
            <w:rStyle w:val="Hyperlink"/>
            <w:rFonts w:ascii="Aptos" w:hAnsi="Aptos"/>
          </w:rPr>
          <w:t>4</w:t>
        </w:r>
      </w:hyperlink>
      <w:r w:rsidRPr="005B05B3">
        <w:t xml:space="preserve">. </w:t>
      </w:r>
    </w:p>
    <w:p w14:paraId="454DF022" w14:textId="1FE44B7B" w:rsidR="00A34E65" w:rsidRPr="005B05B3" w:rsidRDefault="00A34E65" w:rsidP="00A34E65">
      <w:r w:rsidRPr="005B05B3">
        <w:t>The Taskforce acknowledges that legislative Rules apply to what participants can and cannot spend their funds on. If this comes into issue, the NDIA are best placed to respond through the planning process. It is not the role of the</w:t>
      </w:r>
      <w:r w:rsidR="009B5EDA">
        <w:t xml:space="preserve"> NDIS Commission as the</w:t>
      </w:r>
      <w:r w:rsidRPr="005B05B3">
        <w:t xml:space="preserve"> Regulator to do so.</w:t>
      </w:r>
    </w:p>
    <w:p w14:paraId="5A02153A" w14:textId="652A8BA9" w:rsidR="00A34E65" w:rsidRPr="005B05B3" w:rsidRDefault="00A34E65" w:rsidP="00A34E65">
      <w:r w:rsidRPr="005B05B3">
        <w:t>Purchase visibility is not created through registration but where goods are purchased from ‘mainstream’ retailers</w:t>
      </w:r>
      <w:r w:rsidR="00F13BB7">
        <w:t>.</w:t>
      </w:r>
      <w:r w:rsidRPr="005B05B3">
        <w:t xml:space="preserve"> </w:t>
      </w:r>
      <w:r w:rsidR="00F13BB7">
        <w:t>W</w:t>
      </w:r>
      <w:r w:rsidRPr="005B05B3">
        <w:t xml:space="preserve">here there is no support provided to the participant, visibility is provided to the NDIA via </w:t>
      </w:r>
      <w:r w:rsidR="000B2926" w:rsidRPr="005B05B3">
        <w:t xml:space="preserve">agreed </w:t>
      </w:r>
      <w:r w:rsidRPr="005B05B3">
        <w:t>purchasing arrangements</w:t>
      </w:r>
      <w:r w:rsidR="00620B6F">
        <w:t>,</w:t>
      </w:r>
      <w:r w:rsidRPr="005B05B3">
        <w:t xml:space="preserve"> including invoices or receipts. Examples include a ramp purchased from a hardware store, headphones from an electronics store or dog food for a Guide Dog from a pet store.</w:t>
      </w:r>
      <w:r w:rsidR="00F470D8">
        <w:t xml:space="preserve"> A Participant submitted that mainstream suppliers of supports were often cheaper and that requiring </w:t>
      </w:r>
      <w:r w:rsidR="004B03C4">
        <w:t>Participants</w:t>
      </w:r>
      <w:r w:rsidR="00F470D8">
        <w:t xml:space="preserve"> to only use registered providers would add to the costs of the Scheme.</w:t>
      </w:r>
      <w:r w:rsidR="00F470D8">
        <w:rPr>
          <w:rStyle w:val="FootnoteReference"/>
        </w:rPr>
        <w:footnoteReference w:id="97"/>
      </w:r>
    </w:p>
    <w:p w14:paraId="06B90344" w14:textId="0E5A971D" w:rsidR="00A34E65" w:rsidRPr="005B05B3" w:rsidRDefault="00A34E65" w:rsidP="00720C9B">
      <w:pPr>
        <w:pStyle w:val="Quote"/>
      </w:pPr>
      <w:r w:rsidRPr="00720C9B">
        <w:t xml:space="preserve">For example, what risk does </w:t>
      </w:r>
      <w:r w:rsidR="008F7168" w:rsidRPr="00720C9B">
        <w:t>[Supermarket]</w:t>
      </w:r>
      <w:r w:rsidRPr="00720C9B">
        <w:t xml:space="preserve"> pose when people go in to buy incontinence products? It’s interesting reading the legislation and thinking about it. If we’re talking about risk-proportionate, and that provider isn’t a risk at all, why would they have to do anything in relation to this?’</w:t>
      </w:r>
      <w:r w:rsidRPr="008E635E">
        <w:rPr>
          <w:rStyle w:val="FootnoteReference"/>
        </w:rPr>
        <w:footnoteReference w:id="98"/>
      </w:r>
      <w:r w:rsidRPr="005B05B3">
        <w:t xml:space="preserve"> </w:t>
      </w:r>
    </w:p>
    <w:p w14:paraId="73C264DD" w14:textId="77777777" w:rsidR="00A34E65" w:rsidRPr="005B05B3" w:rsidRDefault="00A34E65" w:rsidP="00A34E65">
      <w:r w:rsidRPr="005B05B3">
        <w:t>As this is not a specific registration category, there are no Provider Obligations or Provider Processes that apply.</w:t>
      </w:r>
    </w:p>
    <w:p w14:paraId="50F56202" w14:textId="2FDDABCB" w:rsidR="004C3559" w:rsidRPr="005B05B3" w:rsidRDefault="004C3559" w:rsidP="00BB1B69">
      <w:pPr>
        <w:spacing w:line="278" w:lineRule="auto"/>
        <w:rPr>
          <w:rFonts w:eastAsia="Aptos" w:cs="Aptos"/>
        </w:rPr>
      </w:pPr>
      <w:r w:rsidRPr="005B05B3">
        <w:rPr>
          <w:rFonts w:eastAsia="Aptos" w:cs="Aptos"/>
        </w:rPr>
        <w:br w:type="page"/>
      </w:r>
    </w:p>
    <w:bookmarkStart w:id="56" w:name="_Inclusion_of_types"/>
    <w:bookmarkStart w:id="57" w:name="_Toc170128737"/>
    <w:bookmarkStart w:id="58" w:name="_Toc173318060"/>
    <w:bookmarkEnd w:id="56"/>
    <w:p w14:paraId="4F853E02" w14:textId="7639D221" w:rsidR="00BB1B69" w:rsidRPr="00697ECC" w:rsidRDefault="00726A26" w:rsidP="00426684">
      <w:pPr>
        <w:pStyle w:val="Heading1"/>
        <w:rPr>
          <w:rFonts w:eastAsia="Aptos Display"/>
        </w:rPr>
      </w:pPr>
      <w:r w:rsidRPr="005B05B3">
        <w:rPr>
          <w:noProof/>
        </w:rPr>
        <w:lastRenderedPageBreak/>
        <mc:AlternateContent>
          <mc:Choice Requires="wps">
            <w:drawing>
              <wp:anchor distT="0" distB="0" distL="114300" distR="114300" simplePos="0" relativeHeight="251655175" behindDoc="1" locked="0" layoutInCell="1" allowOverlap="1" wp14:anchorId="7CF98827" wp14:editId="03CC9654">
                <wp:simplePos x="0" y="0"/>
                <wp:positionH relativeFrom="column">
                  <wp:posOffset>-123986</wp:posOffset>
                </wp:positionH>
                <wp:positionV relativeFrom="paragraph">
                  <wp:posOffset>643492</wp:posOffset>
                </wp:positionV>
                <wp:extent cx="6143625" cy="4432515"/>
                <wp:effectExtent l="0" t="0" r="3175" b="0"/>
                <wp:wrapNone/>
                <wp:docPr id="670005865"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3625" cy="443251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443C8" id="Rectangle 11" o:spid="_x0000_s1026" alt="&quot;&quot;" style="position:absolute;margin-left:-9.75pt;margin-top:50.65pt;width:483.75pt;height:349pt;z-index:-251661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" fillcolor="#e8e8e8 [3214]" stroked="f" strokeweight="1pt"/>
            </w:pict>
          </mc:Fallback>
        </mc:AlternateContent>
      </w:r>
      <w:r w:rsidR="33C3FD72" w:rsidRPr="00697ECC">
        <w:rPr>
          <w:rFonts w:eastAsia="Aptos Display"/>
        </w:rPr>
        <w:t xml:space="preserve">Inclusion of types of </w:t>
      </w:r>
      <w:r w:rsidR="00E63CE1" w:rsidRPr="00697ECC">
        <w:rPr>
          <w:rFonts w:eastAsia="Aptos Display"/>
        </w:rPr>
        <w:t>p</w:t>
      </w:r>
      <w:r w:rsidR="33C3FD72" w:rsidRPr="00697ECC">
        <w:rPr>
          <w:rFonts w:eastAsia="Aptos Display"/>
        </w:rPr>
        <w:t>roviders</w:t>
      </w:r>
      <w:bookmarkEnd w:id="57"/>
      <w:bookmarkEnd w:id="58"/>
    </w:p>
    <w:p w14:paraId="4838FD01" w14:textId="4955A8CE" w:rsidR="00D5037C" w:rsidRPr="005B05B3" w:rsidRDefault="00D5037C" w:rsidP="00720C9B">
      <w:pPr>
        <w:spacing w:before="360" w:after="0" w:line="278" w:lineRule="auto"/>
        <w:rPr>
          <w:b/>
          <w:bCs/>
        </w:rPr>
      </w:pPr>
      <w:r w:rsidRPr="005B05B3">
        <w:rPr>
          <w:b/>
          <w:bCs/>
        </w:rPr>
        <w:t>Recommendation 4</w:t>
      </w:r>
    </w:p>
    <w:p w14:paraId="4D4EDBCA" w14:textId="347A097C" w:rsidR="00D5037C" w:rsidRPr="005B05B3" w:rsidRDefault="00D5037C" w:rsidP="00D5037C">
      <w:pPr>
        <w:spacing w:after="160" w:line="278" w:lineRule="auto"/>
        <w:rPr>
          <w:color w:val="auto"/>
        </w:rPr>
      </w:pPr>
      <w:r w:rsidRPr="005B05B3">
        <w:t>As registration is required of all NDIS providers, there is no distinction between those operating in different environments such as in-person or online, in an organisation or alone. Platform providers should be required to be registere</w:t>
      </w:r>
      <w:r w:rsidRPr="005B05B3">
        <w:rPr>
          <w:color w:val="auto"/>
        </w:rPr>
        <w:t>d. The registration category depends on the services provided through the platform.</w:t>
      </w:r>
    </w:p>
    <w:p w14:paraId="6552B8B6" w14:textId="50DB0FFF" w:rsidR="00D5037C" w:rsidRPr="00720C9B" w:rsidRDefault="00D5037C" w:rsidP="00720C9B">
      <w:pPr>
        <w:spacing w:after="0"/>
        <w:rPr>
          <w:b/>
          <w:bCs/>
        </w:rPr>
      </w:pPr>
      <w:r w:rsidRPr="00720C9B">
        <w:rPr>
          <w:b/>
          <w:bCs/>
        </w:rPr>
        <w:t>Recommendation 5</w:t>
      </w:r>
    </w:p>
    <w:p w14:paraId="31850046" w14:textId="77777777" w:rsidR="00D5037C" w:rsidRPr="005B05B3" w:rsidRDefault="00D5037C" w:rsidP="00D5037C">
      <w:pPr>
        <w:rPr>
          <w:color w:val="auto"/>
        </w:rPr>
      </w:pPr>
      <w:r w:rsidRPr="005B05B3">
        <w:rPr>
          <w:color w:val="auto"/>
        </w:rPr>
        <w:t>Group Homes should be subject to unannounced visits and the NDIS Commission should have a statutory right to enter the premises.</w:t>
      </w:r>
    </w:p>
    <w:p w14:paraId="56685552" w14:textId="0EF35BED" w:rsidR="00D5037C" w:rsidRPr="005B05B3" w:rsidRDefault="00D5037C" w:rsidP="002D6AB8">
      <w:pPr>
        <w:pStyle w:val="ListParagraph"/>
        <w:numPr>
          <w:ilvl w:val="1"/>
          <w:numId w:val="47"/>
        </w:numPr>
        <w:spacing w:after="0" w:line="276" w:lineRule="auto"/>
        <w:ind w:left="851"/>
        <w:rPr>
          <w:rFonts w:eastAsia="Aptos"/>
          <w:color w:val="auto"/>
        </w:rPr>
      </w:pPr>
      <w:r w:rsidRPr="005B05B3">
        <w:rPr>
          <w:rFonts w:eastAsia="Aptos"/>
          <w:color w:val="auto"/>
        </w:rPr>
        <w:t xml:space="preserve">All providers of Supported Independent Living (SIL) and Home and Living supports should be seen as requiring registration as a matter of urgency (within 12 months). This should be implemented immediately, noting the significant risk to participants of violence, abuse, neglect and exploitation in these services and the importance of </w:t>
      </w:r>
      <w:r w:rsidR="00A46F8B">
        <w:rPr>
          <w:rFonts w:eastAsia="Aptos"/>
          <w:color w:val="auto"/>
        </w:rPr>
        <w:t>S</w:t>
      </w:r>
      <w:r w:rsidRPr="005B05B3">
        <w:rPr>
          <w:rFonts w:eastAsia="Aptos"/>
          <w:color w:val="auto"/>
        </w:rPr>
        <w:t>cheme integrity.</w:t>
      </w:r>
    </w:p>
    <w:p w14:paraId="7B9E0719" w14:textId="77777777" w:rsidR="00D5037C" w:rsidRPr="005B05B3" w:rsidRDefault="00D5037C" w:rsidP="002D6AB8">
      <w:pPr>
        <w:pStyle w:val="ListParagraph"/>
        <w:numPr>
          <w:ilvl w:val="1"/>
          <w:numId w:val="47"/>
        </w:numPr>
        <w:spacing w:after="0" w:line="276" w:lineRule="auto"/>
        <w:ind w:left="851"/>
        <w:rPr>
          <w:rFonts w:eastAsia="Aptos"/>
          <w:color w:val="auto"/>
        </w:rPr>
      </w:pPr>
      <w:r w:rsidRPr="005B05B3">
        <w:rPr>
          <w:rFonts w:eastAsia="Aptos"/>
          <w:color w:val="auto"/>
        </w:rPr>
        <w:t>Registration of SIL and Home and Living supports should be done under the existing registration framework and should not wait for new arrangements to be developed.</w:t>
      </w:r>
    </w:p>
    <w:p w14:paraId="788341E4" w14:textId="77777777" w:rsidR="00D5037C" w:rsidRPr="005B05B3" w:rsidRDefault="00D5037C" w:rsidP="00720C9B">
      <w:pPr>
        <w:pStyle w:val="ListParagraph"/>
        <w:numPr>
          <w:ilvl w:val="1"/>
          <w:numId w:val="47"/>
        </w:numPr>
        <w:spacing w:line="276" w:lineRule="auto"/>
        <w:ind w:left="851"/>
        <w:rPr>
          <w:rFonts w:eastAsia="Aptos"/>
          <w:color w:val="auto"/>
        </w:rPr>
      </w:pPr>
      <w:r w:rsidRPr="005B05B3">
        <w:rPr>
          <w:rFonts w:eastAsia="Aptos"/>
          <w:color w:val="auto"/>
        </w:rPr>
        <w:t>In the future registration scheme providers of SIL and Home and Living should be required to have ‘Advanced Registration’ under the proposed registration framework.</w:t>
      </w:r>
    </w:p>
    <w:p w14:paraId="45A8C584" w14:textId="61F80372" w:rsidR="00BB1B69" w:rsidRPr="005B05B3" w:rsidRDefault="00BB1B69" w:rsidP="00BB1B69">
      <w:pPr>
        <w:spacing w:line="278" w:lineRule="auto"/>
        <w:rPr>
          <w:rFonts w:eastAsia="Aptos" w:cs="Aptos"/>
        </w:rPr>
      </w:pPr>
      <w:r w:rsidRPr="005B05B3">
        <w:rPr>
          <w:rFonts w:eastAsia="Aptos" w:cs="Aptos"/>
        </w:rPr>
        <w:t xml:space="preserve">The Taskforce do not distinguish between the different modes of service providers, for example, those with a physical presence, operating on an online platform or sole traders. In our view, consistency is important, and categories of registration should be determined on a risk-proportionate basis. Our view on how risk is used proportionally is discussed in </w:t>
      </w:r>
      <w:hyperlink w:anchor="_Provider_Risk_Framework" w:history="1">
        <w:r w:rsidRPr="00567E80">
          <w:rPr>
            <w:rStyle w:val="Hyperlink"/>
            <w:rFonts w:ascii="Aptos" w:eastAsia="Aptos" w:hAnsi="Aptos" w:cs="Aptos"/>
          </w:rPr>
          <w:t xml:space="preserve">Chapter </w:t>
        </w:r>
        <w:r w:rsidR="00514922" w:rsidRPr="00567E80">
          <w:rPr>
            <w:rStyle w:val="Hyperlink"/>
            <w:rFonts w:ascii="Aptos" w:eastAsia="Aptos" w:hAnsi="Aptos" w:cs="Aptos"/>
          </w:rPr>
          <w:t>4</w:t>
        </w:r>
      </w:hyperlink>
      <w:r w:rsidRPr="005B05B3">
        <w:rPr>
          <w:rFonts w:eastAsia="Aptos" w:cs="Aptos"/>
        </w:rPr>
        <w:t>.</w:t>
      </w:r>
    </w:p>
    <w:p w14:paraId="39177114" w14:textId="75BCAE68" w:rsidR="008364B1" w:rsidRDefault="008364B1" w:rsidP="003D35AB">
      <w:pPr>
        <w:pStyle w:val="TSDAltHeading2"/>
        <w:spacing w:before="360" w:after="0"/>
      </w:pPr>
      <w:bookmarkStart w:id="59" w:name="_Toc173318061"/>
      <w:bookmarkStart w:id="60" w:name="_Toc170128738"/>
      <w:r>
        <w:t>Application to different types of providers</w:t>
      </w:r>
      <w:bookmarkEnd w:id="59"/>
    </w:p>
    <w:p w14:paraId="53F40FB1" w14:textId="129D56CB" w:rsidR="00BB1B69" w:rsidRPr="00DC1BCE" w:rsidRDefault="00BB1B69" w:rsidP="001879E5">
      <w:pPr>
        <w:pStyle w:val="Heading3"/>
        <w:spacing w:before="120" w:after="120"/>
      </w:pPr>
      <w:bookmarkStart w:id="61" w:name="_Toc170919680"/>
      <w:r w:rsidRPr="00DC1BCE">
        <w:t>Platform providers</w:t>
      </w:r>
      <w:bookmarkEnd w:id="60"/>
      <w:bookmarkEnd w:id="61"/>
    </w:p>
    <w:p w14:paraId="4B1135F4" w14:textId="6BD96352" w:rsidR="00BB1B69" w:rsidRPr="005B05B3" w:rsidRDefault="00BB1B69" w:rsidP="000A3089">
      <w:pPr>
        <w:rPr>
          <w:rFonts w:cs="Aptos"/>
        </w:rPr>
      </w:pPr>
      <w:r w:rsidRPr="005B05B3">
        <w:t>The Taskforce acknowledges the important innovation that platform providers have introduced to the provision of disability support services. The Minister has sought specific advice on the arrangements for platform providers.</w:t>
      </w:r>
    </w:p>
    <w:p w14:paraId="01D13B18" w14:textId="3B0A0F74" w:rsidR="00BB1B69" w:rsidRPr="005B05B3" w:rsidRDefault="00BB1B69" w:rsidP="00BB1B69">
      <w:pPr>
        <w:spacing w:line="278" w:lineRule="auto"/>
        <w:rPr>
          <w:rStyle w:val="FootnoteReference"/>
        </w:rPr>
      </w:pPr>
      <w:r w:rsidRPr="005B05B3">
        <w:rPr>
          <w:rFonts w:eastAsia="Aptos" w:cs="Aptos"/>
        </w:rPr>
        <w:t>We acknowledge that the difference between a traditional provider and a platform provider goes beyond the physical presence</w:t>
      </w:r>
      <w:r w:rsidR="3BAD44A7" w:rsidRPr="005B05B3">
        <w:rPr>
          <w:rFonts w:eastAsia="Aptos" w:cs="Aptos"/>
        </w:rPr>
        <w:t>,</w:t>
      </w:r>
      <w:r w:rsidRPr="005B05B3">
        <w:rPr>
          <w:rFonts w:eastAsia="Aptos" w:cs="Aptos"/>
        </w:rPr>
        <w:t xml:space="preserve"> and </w:t>
      </w:r>
      <w:r w:rsidR="64DFA1EF" w:rsidRPr="005B05B3">
        <w:rPr>
          <w:rFonts w:eastAsia="Aptos" w:cs="Aptos"/>
        </w:rPr>
        <w:t xml:space="preserve">we have observed that </w:t>
      </w:r>
      <w:r w:rsidRPr="005B05B3">
        <w:rPr>
          <w:rFonts w:eastAsia="Aptos" w:cs="Aptos"/>
        </w:rPr>
        <w:t xml:space="preserve">platform providers have offered a way for </w:t>
      </w:r>
      <w:r w:rsidR="008A12AB" w:rsidRPr="005B05B3">
        <w:rPr>
          <w:rFonts w:eastAsia="Aptos" w:cs="Aptos"/>
        </w:rPr>
        <w:t>p</w:t>
      </w:r>
      <w:r w:rsidRPr="005B05B3">
        <w:rPr>
          <w:rFonts w:eastAsia="Aptos" w:cs="Aptos"/>
        </w:rPr>
        <w:t xml:space="preserve">articipants to be more directly involved in finding </w:t>
      </w:r>
      <w:r w:rsidRPr="005B05B3">
        <w:rPr>
          <w:rFonts w:eastAsia="Aptos" w:cs="Aptos"/>
        </w:rPr>
        <w:lastRenderedPageBreak/>
        <w:t>support workers and deciding what works well for them. We have heard how the use of platform providers has brought new options to the flexibility of choice and control to people with disabilities wanting to have more say in whom their supports are provided by, without the administrative complexity of self-directing supports.</w:t>
      </w:r>
    </w:p>
    <w:p w14:paraId="52D4A5EA" w14:textId="70AE9C77" w:rsidR="00BB1B69" w:rsidRPr="00720C9B" w:rsidRDefault="00BB1B69" w:rsidP="00720C9B">
      <w:pPr>
        <w:pStyle w:val="Quote"/>
      </w:pPr>
      <w:r w:rsidRPr="00720C9B">
        <w:t>The majority of [</w:t>
      </w:r>
      <w:r w:rsidR="00DF7F96" w:rsidRPr="00720C9B">
        <w:t>p</w:t>
      </w:r>
      <w:r w:rsidRPr="00720C9B">
        <w:t>articipant’s</w:t>
      </w:r>
      <w:r w:rsidR="7C32642B" w:rsidRPr="00720C9B">
        <w:t xml:space="preserve"> </w:t>
      </w:r>
      <w:r w:rsidR="002F5FC1" w:rsidRPr="00720C9B">
        <w:t>n</w:t>
      </w:r>
      <w:r w:rsidR="7C32642B" w:rsidRPr="00720C9B">
        <w:t>ame</w:t>
      </w:r>
      <w:r w:rsidRPr="00720C9B">
        <w:t xml:space="preserve">] Support Workers are from through the online platform, </w:t>
      </w:r>
      <w:r w:rsidR="62D34931" w:rsidRPr="00720C9B">
        <w:t>[</w:t>
      </w:r>
      <w:r w:rsidR="002F5FC1" w:rsidRPr="00720C9B">
        <w:t>p</w:t>
      </w:r>
      <w:r w:rsidR="62D34931" w:rsidRPr="00720C9B">
        <w:t xml:space="preserve">latform </w:t>
      </w:r>
      <w:r w:rsidR="002F5FC1" w:rsidRPr="00720C9B">
        <w:t>p</w:t>
      </w:r>
      <w:r w:rsidR="62D34931" w:rsidRPr="00720C9B">
        <w:t>rovider]</w:t>
      </w:r>
      <w:r w:rsidRPr="00720C9B">
        <w:t xml:space="preserve"> which allows for advertising, recruitment, screening, shift bookings and approvals. This platform enables me to work with [</w:t>
      </w:r>
      <w:r w:rsidR="00511514" w:rsidRPr="00720C9B">
        <w:t>p</w:t>
      </w:r>
      <w:r w:rsidRPr="00720C9B">
        <w:t>articipant] to build and coordinate [</w:t>
      </w:r>
      <w:r w:rsidR="00511514" w:rsidRPr="00720C9B">
        <w:t>p</w:t>
      </w:r>
      <w:r w:rsidRPr="00720C9B">
        <w:t>articipant’s] support Team. Outside of this we employ 1 support worker directly for Saturday activities. This staff member has voluntarily enrolled as a Support Worker.</w:t>
      </w:r>
      <w:r w:rsidRPr="00292ECA">
        <w:rPr>
          <w:rStyle w:val="FootnoteReference"/>
        </w:rPr>
        <w:footnoteReference w:id="99"/>
      </w:r>
    </w:p>
    <w:p w14:paraId="109DB754" w14:textId="75B562A2" w:rsidR="7EF2B77D" w:rsidRPr="00720C9B" w:rsidRDefault="69230957" w:rsidP="00720C9B">
      <w:pPr>
        <w:pStyle w:val="Quote"/>
      </w:pPr>
      <w:r w:rsidRPr="00720C9B">
        <w:t xml:space="preserve">People with intellectual disability and families want different things for their lives than what they’ve been getting for a very long time, i.e. group homes and group activities. </w:t>
      </w:r>
      <w:r w:rsidR="7EF2B77D" w:rsidRPr="00720C9B">
        <w:t>Using platform providers helps them to gain that extra choice and control. Large providers don’t always provide the range of services they are seeking.</w:t>
      </w:r>
      <w:r w:rsidR="7EF2B77D" w:rsidRPr="00292ECA">
        <w:rPr>
          <w:rStyle w:val="FootnoteReference"/>
        </w:rPr>
        <w:footnoteReference w:id="100"/>
      </w:r>
    </w:p>
    <w:p w14:paraId="42EDE391" w14:textId="7C0A3509" w:rsidR="00BB1B69" w:rsidRPr="005B05B3" w:rsidRDefault="00BB1B69" w:rsidP="00720C9B">
      <w:pPr>
        <w:rPr>
          <w:rFonts w:eastAsia="Aptos" w:cs="Aptos"/>
        </w:rPr>
      </w:pPr>
      <w:r w:rsidRPr="005B05B3">
        <w:t>We have learned from several participants that using a platform provider can make them feel empowered to manage their own supports on their terms and that the peer support from some providers helps you to get started on your journey to a flexible and independent way of life</w:t>
      </w:r>
      <w:r w:rsidRPr="004B03C4">
        <w:t>.</w:t>
      </w:r>
      <w:r w:rsidR="002E70B5" w:rsidRPr="004B03C4">
        <w:t xml:space="preserve"> </w:t>
      </w:r>
      <w:r w:rsidR="00EF70EC" w:rsidRPr="004B03C4">
        <w:t>A parent of a Participant submitted their son was able to advertise, screen and select his support worker through a platform.</w:t>
      </w:r>
      <w:r w:rsidR="00EF70EC" w:rsidRPr="004B03C4">
        <w:rPr>
          <w:rStyle w:val="FootnoteReference"/>
        </w:rPr>
        <w:footnoteReference w:id="101"/>
      </w:r>
    </w:p>
    <w:p w14:paraId="02871E00" w14:textId="6FD84AC6" w:rsidR="1DC39DA8" w:rsidRPr="005B05B3" w:rsidRDefault="2ADA3C8C" w:rsidP="00720C9B">
      <w:pPr>
        <w:pStyle w:val="Quote"/>
      </w:pPr>
      <w:r w:rsidRPr="00F352CC">
        <w:t xml:space="preserve">There is a lot more flexibility with platform providers over traditional providers. More availability and access to </w:t>
      </w:r>
      <w:r w:rsidRPr="00720C9B">
        <w:t>suitable</w:t>
      </w:r>
      <w:r w:rsidRPr="00F352CC">
        <w:t xml:space="preserve"> workers who don’t need to be qualified in support areas.</w:t>
      </w:r>
      <w:r w:rsidR="1DC39DA8" w:rsidRPr="00F352CC">
        <w:rPr>
          <w:rStyle w:val="FootnoteReference"/>
        </w:rPr>
        <w:footnoteReference w:id="102"/>
      </w:r>
    </w:p>
    <w:p w14:paraId="51607965" w14:textId="40EA99D8" w:rsidR="00BE7E55" w:rsidRPr="005B05B3" w:rsidRDefault="00BB1B69" w:rsidP="00BB1B69">
      <w:pPr>
        <w:spacing w:line="278" w:lineRule="auto"/>
      </w:pPr>
      <w:r w:rsidRPr="005B05B3">
        <w:t xml:space="preserve">Platform providers have also </w:t>
      </w:r>
      <w:r w:rsidRPr="005B05B3">
        <w:rPr>
          <w:rFonts w:eastAsia="Aptos" w:cs="Aptos"/>
        </w:rPr>
        <w:t>introduced</w:t>
      </w:r>
      <w:r w:rsidRPr="005B05B3">
        <w:t xml:space="preserve"> new ways of working for disability support workers.</w:t>
      </w:r>
    </w:p>
    <w:p w14:paraId="55999B3B" w14:textId="5963270E" w:rsidR="002112AB" w:rsidRPr="005B05B3" w:rsidRDefault="00BE7E55" w:rsidP="005B2CBD">
      <w:pPr>
        <w:spacing w:line="278" w:lineRule="auto"/>
      </w:pPr>
      <w:r w:rsidRPr="005B05B3">
        <w:rPr>
          <w:rFonts w:eastAsia="Aptos" w:cs="Aptos"/>
        </w:rPr>
        <w:t xml:space="preserve">The recent Own </w:t>
      </w:r>
      <w:r w:rsidR="00AF20BC" w:rsidRPr="005B05B3">
        <w:rPr>
          <w:rFonts w:eastAsia="Aptos" w:cs="Aptos"/>
        </w:rPr>
        <w:t xml:space="preserve">Motion Inquiry </w:t>
      </w:r>
      <w:r w:rsidR="009C1EFB" w:rsidRPr="005B05B3">
        <w:rPr>
          <w:rFonts w:eastAsia="Aptos" w:cs="Aptos"/>
        </w:rPr>
        <w:t>into</w:t>
      </w:r>
      <w:r w:rsidR="009673C0" w:rsidRPr="005B05B3">
        <w:rPr>
          <w:rFonts w:eastAsia="Aptos" w:cs="Aptos"/>
        </w:rPr>
        <w:t xml:space="preserve"> NDIS Platform Pr</w:t>
      </w:r>
      <w:r w:rsidR="00906ADE" w:rsidRPr="005B05B3">
        <w:rPr>
          <w:rFonts w:eastAsia="Aptos" w:cs="Aptos"/>
        </w:rPr>
        <w:t xml:space="preserve">oviders </w:t>
      </w:r>
      <w:r w:rsidR="00AF20BC" w:rsidRPr="005B05B3">
        <w:rPr>
          <w:rFonts w:eastAsia="Aptos" w:cs="Aptos"/>
        </w:rPr>
        <w:t>by the NDIS Commission</w:t>
      </w:r>
      <w:r w:rsidR="008E74BE" w:rsidRPr="005B05B3">
        <w:rPr>
          <w:rFonts w:eastAsia="Aptos" w:cs="Aptos"/>
        </w:rPr>
        <w:t xml:space="preserve"> </w:t>
      </w:r>
      <w:r w:rsidR="002B612D" w:rsidRPr="005B05B3">
        <w:rPr>
          <w:rFonts w:eastAsia="Aptos" w:cs="Aptos"/>
        </w:rPr>
        <w:t xml:space="preserve">reported that </w:t>
      </w:r>
      <w:r w:rsidR="008A12AB" w:rsidRPr="005B05B3">
        <w:rPr>
          <w:rFonts w:eastAsia="Aptos" w:cs="Aptos"/>
        </w:rPr>
        <w:t>p</w:t>
      </w:r>
      <w:r w:rsidR="002B612D" w:rsidRPr="005B05B3">
        <w:rPr>
          <w:rFonts w:eastAsia="Aptos" w:cs="Aptos"/>
        </w:rPr>
        <w:t xml:space="preserve">articipants </w:t>
      </w:r>
      <w:r w:rsidR="008E74BE" w:rsidRPr="005B05B3">
        <w:rPr>
          <w:rFonts w:eastAsia="Aptos" w:cs="Aptos"/>
        </w:rPr>
        <w:t>identified a number of benefits from the platform model of service provide</w:t>
      </w:r>
      <w:r w:rsidR="00842F36" w:rsidRPr="005B05B3">
        <w:rPr>
          <w:rFonts w:eastAsia="Aptos" w:cs="Aptos"/>
        </w:rPr>
        <w:t>r.</w:t>
      </w:r>
      <w:r w:rsidR="002B612D" w:rsidRPr="005B05B3">
        <w:rPr>
          <w:rFonts w:eastAsia="Aptos" w:cs="Aptos"/>
        </w:rPr>
        <w:t xml:space="preserve"> These included</w:t>
      </w:r>
      <w:r w:rsidR="00A21918" w:rsidRPr="005B05B3">
        <w:rPr>
          <w:rFonts w:eastAsia="Aptos" w:cs="Aptos"/>
        </w:rPr>
        <w:t xml:space="preserve"> </w:t>
      </w:r>
      <w:r w:rsidR="00820856" w:rsidRPr="005B05B3">
        <w:rPr>
          <w:rFonts w:eastAsia="Aptos" w:cs="Aptos"/>
        </w:rPr>
        <w:t xml:space="preserve">the ability of </w:t>
      </w:r>
      <w:r w:rsidR="00E84007">
        <w:rPr>
          <w:rFonts w:eastAsia="Aptos" w:cs="Aptos"/>
        </w:rPr>
        <w:t>P</w:t>
      </w:r>
      <w:r w:rsidR="00262A6E" w:rsidRPr="005B05B3">
        <w:rPr>
          <w:rFonts w:eastAsia="Aptos" w:cs="Aptos"/>
        </w:rPr>
        <w:t xml:space="preserve">articipants to more effectively </w:t>
      </w:r>
      <w:r w:rsidR="002112AB" w:rsidRPr="005B05B3">
        <w:rPr>
          <w:rFonts w:eastAsia="Aptos" w:cs="Aptos"/>
        </w:rPr>
        <w:t xml:space="preserve">choose how their supports and </w:t>
      </w:r>
      <w:r w:rsidR="008C7C6C" w:rsidRPr="005B05B3">
        <w:rPr>
          <w:rFonts w:eastAsia="Aptos" w:cs="Aptos"/>
        </w:rPr>
        <w:t>s</w:t>
      </w:r>
      <w:r w:rsidR="002112AB" w:rsidRPr="005B05B3">
        <w:rPr>
          <w:rFonts w:eastAsia="Aptos" w:cs="Aptos"/>
        </w:rPr>
        <w:t>ervices are delivered and by who</w:t>
      </w:r>
      <w:r w:rsidR="00820856" w:rsidRPr="005B05B3">
        <w:rPr>
          <w:rFonts w:eastAsia="Aptos" w:cs="Aptos"/>
        </w:rPr>
        <w:t xml:space="preserve">m, which </w:t>
      </w:r>
      <w:r w:rsidR="002F0D1D" w:rsidRPr="005B05B3">
        <w:rPr>
          <w:rFonts w:eastAsia="Aptos" w:cs="Aptos"/>
        </w:rPr>
        <w:t xml:space="preserve">led to </w:t>
      </w:r>
      <w:r w:rsidR="008A12AB" w:rsidRPr="005B05B3">
        <w:rPr>
          <w:rFonts w:eastAsia="Aptos" w:cs="Aptos"/>
        </w:rPr>
        <w:t>p</w:t>
      </w:r>
      <w:r w:rsidR="002F0D1D" w:rsidRPr="005B05B3">
        <w:rPr>
          <w:rFonts w:eastAsia="Aptos" w:cs="Aptos"/>
        </w:rPr>
        <w:t>arti</w:t>
      </w:r>
      <w:r w:rsidR="00D86451" w:rsidRPr="005B05B3">
        <w:rPr>
          <w:rFonts w:eastAsia="Aptos" w:cs="Aptos"/>
        </w:rPr>
        <w:t>ci</w:t>
      </w:r>
      <w:r w:rsidR="002F0D1D" w:rsidRPr="005B05B3">
        <w:rPr>
          <w:rFonts w:eastAsia="Aptos" w:cs="Aptos"/>
        </w:rPr>
        <w:t xml:space="preserve">pants feeling </w:t>
      </w:r>
      <w:r w:rsidR="00AE18BE" w:rsidRPr="005B05B3">
        <w:rPr>
          <w:rFonts w:eastAsia="Aptos" w:cs="Aptos"/>
        </w:rPr>
        <w:t>‘</w:t>
      </w:r>
      <w:r w:rsidR="00F57182" w:rsidRPr="005B05B3">
        <w:rPr>
          <w:rFonts w:eastAsia="Aptos" w:cs="Aptos"/>
        </w:rPr>
        <w:t xml:space="preserve">safe and comfortable in the </w:t>
      </w:r>
      <w:r w:rsidR="00402EA4" w:rsidRPr="005B05B3">
        <w:rPr>
          <w:rFonts w:eastAsia="Aptos" w:cs="Aptos"/>
        </w:rPr>
        <w:t>company of the people delivering their services</w:t>
      </w:r>
      <w:r w:rsidR="00820856" w:rsidRPr="005B05B3">
        <w:rPr>
          <w:rFonts w:eastAsia="Aptos" w:cs="Aptos"/>
        </w:rPr>
        <w:t>.</w:t>
      </w:r>
      <w:r w:rsidR="00CD3690" w:rsidRPr="005B05B3">
        <w:rPr>
          <w:rFonts w:eastAsia="Aptos" w:cstheme="minorHAnsi"/>
          <w:vertAlign w:val="superscript"/>
        </w:rPr>
        <w:footnoteReference w:id="103"/>
      </w:r>
      <w:r w:rsidR="00C1275C" w:rsidRPr="005B05B3">
        <w:rPr>
          <w:rFonts w:eastAsia="Aptos" w:cstheme="minorHAnsi"/>
          <w:vertAlign w:val="superscript"/>
        </w:rPr>
        <w:t xml:space="preserve"> </w:t>
      </w:r>
      <w:r w:rsidR="00BB78F6" w:rsidRPr="005B05B3">
        <w:rPr>
          <w:rFonts w:eastAsia="Aptos" w:cs="Aptos"/>
        </w:rPr>
        <w:t xml:space="preserve">The Inquiry also reported Participants </w:t>
      </w:r>
      <w:r w:rsidR="00235272" w:rsidRPr="005B05B3">
        <w:rPr>
          <w:rFonts w:eastAsia="Aptos" w:cs="Aptos"/>
        </w:rPr>
        <w:t xml:space="preserve">found </w:t>
      </w:r>
      <w:r w:rsidR="00121F82" w:rsidRPr="005B05B3">
        <w:rPr>
          <w:rFonts w:eastAsia="Aptos" w:cs="Aptos"/>
        </w:rPr>
        <w:t>that arrangements with platform provi</w:t>
      </w:r>
      <w:r w:rsidR="00940B5A" w:rsidRPr="005B05B3">
        <w:rPr>
          <w:rFonts w:eastAsia="Aptos" w:cs="Aptos"/>
        </w:rPr>
        <w:t>d</w:t>
      </w:r>
      <w:r w:rsidR="00121F82" w:rsidRPr="005B05B3">
        <w:rPr>
          <w:rFonts w:eastAsia="Aptos" w:cs="Aptos"/>
        </w:rPr>
        <w:t>ers also p</w:t>
      </w:r>
      <w:r w:rsidR="00940B5A" w:rsidRPr="005B05B3">
        <w:rPr>
          <w:rFonts w:eastAsia="Aptos" w:cs="Aptos"/>
        </w:rPr>
        <w:t xml:space="preserve">rovided </w:t>
      </w:r>
      <w:r w:rsidR="002112AB" w:rsidRPr="005B05B3">
        <w:rPr>
          <w:rFonts w:eastAsia="Aptos" w:cs="Aptos"/>
        </w:rPr>
        <w:t xml:space="preserve">greater </w:t>
      </w:r>
      <w:r w:rsidR="00074367" w:rsidRPr="005B05B3">
        <w:rPr>
          <w:rFonts w:eastAsia="Aptos" w:cs="Aptos"/>
        </w:rPr>
        <w:t xml:space="preserve">flexibility </w:t>
      </w:r>
      <w:r w:rsidR="00940B5A" w:rsidRPr="005B05B3">
        <w:rPr>
          <w:rFonts w:eastAsia="Aptos" w:cs="Aptos"/>
        </w:rPr>
        <w:t xml:space="preserve">than traditional providers </w:t>
      </w:r>
      <w:r w:rsidR="00074367" w:rsidRPr="005B05B3">
        <w:rPr>
          <w:rFonts w:eastAsia="Aptos" w:cs="Aptos"/>
        </w:rPr>
        <w:t xml:space="preserve">in </w:t>
      </w:r>
      <w:r w:rsidR="000B3F0C" w:rsidRPr="005B05B3">
        <w:rPr>
          <w:rFonts w:eastAsia="Aptos" w:cs="Aptos"/>
        </w:rPr>
        <w:t>scheduling</w:t>
      </w:r>
      <w:r w:rsidR="00074367" w:rsidRPr="005B05B3">
        <w:rPr>
          <w:rFonts w:eastAsia="Aptos" w:cs="Aptos"/>
        </w:rPr>
        <w:t xml:space="preserve"> and cancelling </w:t>
      </w:r>
      <w:r w:rsidR="00074367" w:rsidRPr="005B05B3">
        <w:rPr>
          <w:rFonts w:eastAsia="Aptos" w:cs="Aptos"/>
        </w:rPr>
        <w:lastRenderedPageBreak/>
        <w:t>shifts</w:t>
      </w:r>
      <w:r w:rsidR="00940B5A" w:rsidRPr="005B05B3">
        <w:rPr>
          <w:rFonts w:eastAsia="Aptos" w:cs="Aptos"/>
        </w:rPr>
        <w:t>. T</w:t>
      </w:r>
      <w:r w:rsidR="00074367" w:rsidRPr="005B05B3">
        <w:rPr>
          <w:rFonts w:eastAsia="Aptos" w:cs="Aptos"/>
        </w:rPr>
        <w:t xml:space="preserve">his flexibility </w:t>
      </w:r>
      <w:r w:rsidR="00940B5A" w:rsidRPr="005B05B3">
        <w:rPr>
          <w:rFonts w:eastAsia="Aptos" w:cs="Aptos"/>
        </w:rPr>
        <w:t>was partic</w:t>
      </w:r>
      <w:r w:rsidR="00B82C1C" w:rsidRPr="005B05B3">
        <w:rPr>
          <w:rFonts w:eastAsia="Aptos" w:cs="Aptos"/>
        </w:rPr>
        <w:t>ular</w:t>
      </w:r>
      <w:r w:rsidR="00A733F6" w:rsidRPr="005B05B3">
        <w:rPr>
          <w:rFonts w:eastAsia="Aptos" w:cs="Aptos"/>
        </w:rPr>
        <w:t>l</w:t>
      </w:r>
      <w:r w:rsidR="00B82C1C" w:rsidRPr="005B05B3">
        <w:rPr>
          <w:rFonts w:eastAsia="Aptos" w:cs="Aptos"/>
        </w:rPr>
        <w:t xml:space="preserve">y </w:t>
      </w:r>
      <w:r w:rsidR="00776B7C" w:rsidRPr="005B05B3">
        <w:rPr>
          <w:rFonts w:eastAsia="Aptos" w:cs="Aptos"/>
        </w:rPr>
        <w:t xml:space="preserve">valued </w:t>
      </w:r>
      <w:r w:rsidR="00B82C1C" w:rsidRPr="005B05B3">
        <w:rPr>
          <w:rFonts w:eastAsia="Aptos" w:cs="Aptos"/>
        </w:rPr>
        <w:t xml:space="preserve">by </w:t>
      </w:r>
      <w:r w:rsidR="00265E86" w:rsidRPr="005B05B3">
        <w:rPr>
          <w:rFonts w:eastAsia="Aptos" w:cs="Aptos"/>
        </w:rPr>
        <w:t>Part</w:t>
      </w:r>
      <w:r w:rsidR="008C7C6C" w:rsidRPr="005B05B3">
        <w:rPr>
          <w:rFonts w:eastAsia="Aptos" w:cs="Aptos"/>
        </w:rPr>
        <w:t>i</w:t>
      </w:r>
      <w:r w:rsidR="00265E86" w:rsidRPr="005B05B3">
        <w:rPr>
          <w:rFonts w:eastAsia="Aptos" w:cs="Aptos"/>
        </w:rPr>
        <w:t>cipants who travel</w:t>
      </w:r>
      <w:r w:rsidR="00B82C1C" w:rsidRPr="005B05B3">
        <w:rPr>
          <w:rFonts w:eastAsia="Aptos" w:cs="Aptos"/>
        </w:rPr>
        <w:t xml:space="preserve">, as they did </w:t>
      </w:r>
      <w:r w:rsidR="008938A6" w:rsidRPr="005B05B3">
        <w:rPr>
          <w:rFonts w:eastAsia="Aptos" w:cs="Aptos"/>
        </w:rPr>
        <w:t xml:space="preserve">not need to complete </w:t>
      </w:r>
      <w:r w:rsidR="00851450" w:rsidRPr="005B05B3">
        <w:rPr>
          <w:rFonts w:eastAsia="Aptos" w:cs="Aptos"/>
        </w:rPr>
        <w:t xml:space="preserve">additional </w:t>
      </w:r>
      <w:r w:rsidR="00A05265" w:rsidRPr="005B05B3">
        <w:rPr>
          <w:rFonts w:eastAsia="Aptos" w:cs="Aptos"/>
        </w:rPr>
        <w:t>onbo</w:t>
      </w:r>
      <w:r w:rsidR="00F86491" w:rsidRPr="005B05B3">
        <w:rPr>
          <w:rFonts w:eastAsia="Aptos" w:cs="Aptos"/>
        </w:rPr>
        <w:t xml:space="preserve">arding </w:t>
      </w:r>
      <w:r w:rsidR="000C4119" w:rsidRPr="005B05B3">
        <w:rPr>
          <w:rFonts w:eastAsia="Aptos" w:cs="Aptos"/>
        </w:rPr>
        <w:t>and intake processes</w:t>
      </w:r>
      <w:r w:rsidR="000C4119" w:rsidRPr="005B05B3">
        <w:t>.</w:t>
      </w:r>
      <w:r w:rsidR="003F17F4" w:rsidRPr="005B05B3">
        <w:rPr>
          <w:rStyle w:val="FootnoteReference"/>
        </w:rPr>
        <w:footnoteReference w:id="104"/>
      </w:r>
    </w:p>
    <w:p w14:paraId="12DFA3A2" w14:textId="0F8C2B04" w:rsidR="008F7D69" w:rsidRDefault="49844751" w:rsidP="008F7D69">
      <w:r w:rsidRPr="005B05B3">
        <w:t xml:space="preserve">The Own Motion Inquiry also identified challenges that were experienced by </w:t>
      </w:r>
      <w:r w:rsidR="48347E3A" w:rsidRPr="005B05B3">
        <w:t>p</w:t>
      </w:r>
      <w:r w:rsidRPr="005B05B3">
        <w:t xml:space="preserve">articipants </w:t>
      </w:r>
      <w:r w:rsidR="2A6E14E0" w:rsidRPr="005B05B3">
        <w:t>using platform providers</w:t>
      </w:r>
      <w:r w:rsidR="4C513CAF" w:rsidRPr="005B05B3">
        <w:t xml:space="preserve">. </w:t>
      </w:r>
      <w:r w:rsidR="0F2AF7EE" w:rsidRPr="005B05B3">
        <w:t>Parti</w:t>
      </w:r>
      <w:r w:rsidR="149542B8" w:rsidRPr="005B05B3">
        <w:t>ci</w:t>
      </w:r>
      <w:r w:rsidR="0F2AF7EE" w:rsidRPr="005B05B3">
        <w:t xml:space="preserve">pants that contributed to the Inquiry </w:t>
      </w:r>
      <w:r w:rsidR="149542B8" w:rsidRPr="005B05B3">
        <w:t>commented on the</w:t>
      </w:r>
      <w:r w:rsidR="2A6E14E0" w:rsidRPr="005B05B3">
        <w:t xml:space="preserve"> </w:t>
      </w:r>
      <w:r w:rsidRPr="005B05B3">
        <w:t>additional</w:t>
      </w:r>
      <w:r w:rsidR="149542B8" w:rsidRPr="005B05B3">
        <w:t xml:space="preserve"> safeguarding</w:t>
      </w:r>
      <w:r w:rsidRPr="005B05B3">
        <w:t xml:space="preserve"> burden</w:t>
      </w:r>
      <w:r w:rsidR="01C43112" w:rsidRPr="005B05B3">
        <w:t xml:space="preserve"> </w:t>
      </w:r>
      <w:r w:rsidR="149542B8" w:rsidRPr="005B05B3">
        <w:t>placed on them</w:t>
      </w:r>
      <w:r w:rsidR="07248BAA" w:rsidRPr="005B05B3">
        <w:t xml:space="preserve"> </w:t>
      </w:r>
      <w:r w:rsidR="7B877DE2" w:rsidRPr="005B05B3">
        <w:t>‘</w:t>
      </w:r>
      <w:r w:rsidR="07248BAA" w:rsidRPr="005B05B3">
        <w:t>no manager is keeping an eye on them, a lot of responsibility on us</w:t>
      </w:r>
      <w:r w:rsidR="7B877DE2" w:rsidRPr="005B05B3">
        <w:t>’</w:t>
      </w:r>
      <w:r w:rsidR="4B3769CC" w:rsidRPr="005B05B3">
        <w:t xml:space="preserve"> and </w:t>
      </w:r>
      <w:r w:rsidR="7B877DE2" w:rsidRPr="005B05B3">
        <w:t>‘</w:t>
      </w:r>
      <w:r w:rsidR="5D136724" w:rsidRPr="005B05B3">
        <w:t>Most workers on them significantly lack training, experience and basic skills</w:t>
      </w:r>
      <w:r w:rsidR="149542B8" w:rsidRPr="005B05B3">
        <w:t>.</w:t>
      </w:r>
      <w:r w:rsidR="7B877DE2" w:rsidRPr="005B05B3">
        <w:t>’</w:t>
      </w:r>
      <w:r w:rsidR="007764F6" w:rsidRPr="005B05B3">
        <w:rPr>
          <w:vertAlign w:val="superscript"/>
        </w:rPr>
        <w:footnoteReference w:id="105"/>
      </w:r>
      <w:r w:rsidR="1D9B0425" w:rsidRPr="005B05B3">
        <w:rPr>
          <w:vertAlign w:val="superscript"/>
        </w:rPr>
        <w:t xml:space="preserve"> </w:t>
      </w:r>
      <w:r w:rsidR="04380A79" w:rsidRPr="005B05B3">
        <w:t>E</w:t>
      </w:r>
      <w:r w:rsidRPr="005B05B3">
        <w:t>xample</w:t>
      </w:r>
      <w:r w:rsidR="04380A79" w:rsidRPr="005B05B3">
        <w:t xml:space="preserve">s of </w:t>
      </w:r>
      <w:r w:rsidR="48347E3A" w:rsidRPr="005B05B3">
        <w:t>p</w:t>
      </w:r>
      <w:r w:rsidR="04380A79" w:rsidRPr="005B05B3">
        <w:t>articipants managing these risks included</w:t>
      </w:r>
      <w:r w:rsidRPr="005B05B3">
        <w:t xml:space="preserve"> building profiles</w:t>
      </w:r>
      <w:r w:rsidR="559F48A1" w:rsidRPr="005B05B3">
        <w:t>, interviewing and trialling workers</w:t>
      </w:r>
      <w:r w:rsidR="28D6EE2E" w:rsidRPr="005B05B3">
        <w:t xml:space="preserve">. NDIS participants expressed that they should be able to expect any person they engage across all </w:t>
      </w:r>
      <w:r w:rsidR="694904DF" w:rsidRPr="005B05B3">
        <w:t>p</w:t>
      </w:r>
      <w:r w:rsidR="28D6EE2E" w:rsidRPr="005B05B3">
        <w:t xml:space="preserve">latform </w:t>
      </w:r>
      <w:r w:rsidR="694904DF" w:rsidRPr="005B05B3">
        <w:t>p</w:t>
      </w:r>
      <w:r w:rsidR="28D6EE2E" w:rsidRPr="005B05B3">
        <w:t>roviders to have had the same background and probity checks</w:t>
      </w:r>
      <w:r w:rsidR="04380A79" w:rsidRPr="005B05B3">
        <w:t xml:space="preserve"> and </w:t>
      </w:r>
      <w:r w:rsidR="001D5880" w:rsidRPr="005B05B3">
        <w:rPr>
          <w:vertAlign w:val="superscript"/>
        </w:rPr>
        <w:footnoteReference w:id="106"/>
      </w:r>
      <w:r w:rsidR="009B5EDA">
        <w:rPr>
          <w:rFonts w:ascii="Arial" w:hAnsi="Arial" w:cs="Arial"/>
        </w:rPr>
        <w:t xml:space="preserve"> </w:t>
      </w:r>
      <w:r w:rsidRPr="005B05B3">
        <w:t xml:space="preserve">Participants </w:t>
      </w:r>
      <w:r w:rsidR="286B83B9" w:rsidRPr="005B05B3">
        <w:t xml:space="preserve">also </w:t>
      </w:r>
      <w:r w:rsidR="62A21805" w:rsidRPr="005B05B3">
        <w:t xml:space="preserve">reported that they </w:t>
      </w:r>
      <w:r w:rsidRPr="005B05B3">
        <w:t xml:space="preserve">did not feel supported when it came to engaging with </w:t>
      </w:r>
      <w:r w:rsidR="12F621B8" w:rsidRPr="005B05B3">
        <w:t>p</w:t>
      </w:r>
      <w:r w:rsidRPr="005B05B3">
        <w:t xml:space="preserve">latform </w:t>
      </w:r>
      <w:r w:rsidR="12F621B8" w:rsidRPr="005B05B3">
        <w:t>p</w:t>
      </w:r>
      <w:r w:rsidR="009B5EDA">
        <w:t>roviders.</w:t>
      </w:r>
    </w:p>
    <w:p w14:paraId="1447AB65" w14:textId="329ED860" w:rsidR="00BB1B69" w:rsidRPr="008F7D69" w:rsidRDefault="00BB1B69" w:rsidP="008F7D69">
      <w:r w:rsidRPr="005B05B3">
        <w:t>Currently, two platform provider</w:t>
      </w:r>
      <w:r w:rsidR="00B93CAA" w:rsidRPr="005B05B3">
        <w:t xml:space="preserve">s are </w:t>
      </w:r>
      <w:r w:rsidRPr="005B05B3">
        <w:t>registered.</w:t>
      </w:r>
      <w:r w:rsidRPr="005B05B3">
        <w:rPr>
          <w:rStyle w:val="FootnoteReference"/>
          <w:rFonts w:eastAsia="Aptos" w:cs="Aptos"/>
        </w:rPr>
        <w:footnoteReference w:id="107"/>
      </w:r>
      <w:r w:rsidRPr="005B05B3">
        <w:t xml:space="preserve"> It is reported that registration under the current system is workable for a platform provider, as it is for other types of providers. However, it suffers from the same issues that all providers do in the current registration system, including cost</w:t>
      </w:r>
      <w:r w:rsidR="20A9DAF2" w:rsidRPr="005B05B3">
        <w:t>, time</w:t>
      </w:r>
      <w:r w:rsidR="4E9FD9ED" w:rsidRPr="005B05B3">
        <w:t xml:space="preserve">, compliance </w:t>
      </w:r>
      <w:r w:rsidR="20A9DAF2" w:rsidRPr="005B05B3">
        <w:t>and administrative burden</w:t>
      </w:r>
      <w:r w:rsidRPr="005B05B3">
        <w:t>.</w:t>
      </w:r>
      <w:r w:rsidRPr="005B05B3">
        <w:rPr>
          <w:rStyle w:val="FootnoteReference"/>
          <w:rFonts w:eastAsia="Aptos" w:cs="Aptos"/>
        </w:rPr>
        <w:footnoteReference w:id="108"/>
      </w:r>
      <w:r w:rsidRPr="005B05B3">
        <w:t xml:space="preserve"> It has not been clear to the Taskforce as to why more platform providers do not register, other than the fact they do not have to, and it is</w:t>
      </w:r>
      <w:r w:rsidR="00B93CAA" w:rsidRPr="005B05B3">
        <w:t xml:space="preserve"> an </w:t>
      </w:r>
      <w:r w:rsidRPr="005B05B3">
        <w:t>additional</w:t>
      </w:r>
      <w:r w:rsidR="00B93CAA" w:rsidRPr="005B05B3">
        <w:t xml:space="preserve"> cost when trying to keep overhead costs </w:t>
      </w:r>
      <w:r w:rsidR="00D75149" w:rsidRPr="005B05B3">
        <w:t>low</w:t>
      </w:r>
      <w:r w:rsidRPr="005B05B3">
        <w:t>.</w:t>
      </w:r>
    </w:p>
    <w:p w14:paraId="72484BD4" w14:textId="27A8CDD9" w:rsidR="00BB1B69" w:rsidRPr="005B05B3" w:rsidRDefault="00D75149" w:rsidP="1174C7DD">
      <w:pPr>
        <w:spacing w:line="278" w:lineRule="auto"/>
        <w:rPr>
          <w:rFonts w:eastAsia="Aptos" w:cs="Aptos"/>
        </w:rPr>
      </w:pPr>
      <w:r w:rsidRPr="005B05B3">
        <w:rPr>
          <w:rFonts w:eastAsia="Aptos" w:cs="Aptos"/>
        </w:rPr>
        <w:t>The</w:t>
      </w:r>
      <w:r w:rsidR="00FA1932" w:rsidRPr="005B05B3">
        <w:rPr>
          <w:rFonts w:eastAsia="Aptos" w:cs="Aptos"/>
        </w:rPr>
        <w:t xml:space="preserve"> </w:t>
      </w:r>
      <w:r w:rsidR="00BB1B69" w:rsidRPr="005B05B3">
        <w:rPr>
          <w:rFonts w:eastAsia="Aptos" w:cs="Aptos"/>
        </w:rPr>
        <w:t>Taskforce recommends that registration applies to</w:t>
      </w:r>
      <w:r w:rsidR="00FA1932" w:rsidRPr="005B05B3">
        <w:rPr>
          <w:rFonts w:eastAsia="Aptos" w:cs="Aptos"/>
        </w:rPr>
        <w:t xml:space="preserve"> all </w:t>
      </w:r>
      <w:r w:rsidR="00BB1B69" w:rsidRPr="005B05B3">
        <w:rPr>
          <w:rFonts w:eastAsia="Aptos" w:cs="Aptos"/>
        </w:rPr>
        <w:t>platform providers</w:t>
      </w:r>
      <w:r w:rsidR="217670CF" w:rsidRPr="005B05B3">
        <w:rPr>
          <w:rFonts w:eastAsia="Aptos" w:cs="Aptos"/>
        </w:rPr>
        <w:t>, the registration category will depend on the services provided through the platform.</w:t>
      </w:r>
      <w:r w:rsidR="50F62D86" w:rsidRPr="005B05B3">
        <w:rPr>
          <w:rFonts w:eastAsia="Aptos" w:cs="Aptos"/>
        </w:rPr>
        <w:t xml:space="preserve"> </w:t>
      </w:r>
      <w:r w:rsidR="00BB1B69" w:rsidRPr="005B05B3">
        <w:rPr>
          <w:rFonts w:eastAsia="Aptos" w:cs="Aptos"/>
        </w:rPr>
        <w:t>The Taskforce has heard that some platform providers would like a specific category of registration to cater to their offerings rather than be considered with providers offering their business with a physical presence.</w:t>
      </w:r>
      <w:r w:rsidR="00BB1B69" w:rsidRPr="005B05B3">
        <w:rPr>
          <w:rStyle w:val="FootnoteReference"/>
          <w:rFonts w:eastAsia="Aptos" w:cs="Aptos"/>
        </w:rPr>
        <w:footnoteReference w:id="109"/>
      </w:r>
      <w:r w:rsidR="00752B76" w:rsidRPr="005B05B3">
        <w:rPr>
          <w:rFonts w:eastAsia="Aptos" w:cs="Aptos"/>
        </w:rPr>
        <w:t xml:space="preserve"> </w:t>
      </w:r>
      <w:r w:rsidR="00BB1B69" w:rsidRPr="005B05B3">
        <w:rPr>
          <w:rFonts w:eastAsia="Aptos" w:cs="Aptos"/>
        </w:rPr>
        <w:t>On balance, we have not been satisfied that platform providers are any different to providers that have a physical presence. Discussion around the influence of differing employment relationships or scope of services put forward by some platform providers as reasons to not be registered in the same way as others has not been persuasive.</w:t>
      </w:r>
    </w:p>
    <w:p w14:paraId="6A945028" w14:textId="15E9BD07" w:rsidR="00BB1B69" w:rsidRPr="005B05B3" w:rsidRDefault="7A9E9BD6" w:rsidP="00BB1B69">
      <w:pPr>
        <w:spacing w:line="278" w:lineRule="auto"/>
        <w:rPr>
          <w:rFonts w:eastAsia="Aptos" w:cs="Aptos"/>
        </w:rPr>
      </w:pPr>
      <w:r w:rsidRPr="005B05B3">
        <w:rPr>
          <w:rFonts w:eastAsia="Aptos" w:cs="Aptos"/>
        </w:rPr>
        <w:lastRenderedPageBreak/>
        <w:t>Under the proposed model, registration is designed to, as far as possible, uplift quality and safeguarding in service delivery, improving the market overall.</w:t>
      </w:r>
    </w:p>
    <w:p w14:paraId="56D3EF1D" w14:textId="77777777" w:rsidR="00BB1B69" w:rsidRPr="00DC1BCE" w:rsidRDefault="00BB1B69" w:rsidP="003D35AB">
      <w:pPr>
        <w:pStyle w:val="Heading3"/>
        <w:spacing w:before="360" w:after="120"/>
      </w:pPr>
      <w:bookmarkStart w:id="62" w:name="_Toc170128739"/>
      <w:bookmarkStart w:id="63" w:name="_Toc170919681"/>
      <w:r w:rsidRPr="00DC1BCE">
        <w:t>Sole traders</w:t>
      </w:r>
      <w:bookmarkEnd w:id="62"/>
      <w:bookmarkEnd w:id="63"/>
    </w:p>
    <w:p w14:paraId="1CB5A3BF" w14:textId="1E8939D1" w:rsidR="00BB1B69" w:rsidRPr="005B05B3" w:rsidRDefault="00BB1B69" w:rsidP="112CE13D">
      <w:pPr>
        <w:spacing w:line="278" w:lineRule="auto"/>
        <w:rPr>
          <w:rFonts w:eastAsia="Aptos" w:cs="Aptos"/>
        </w:rPr>
      </w:pPr>
      <w:r w:rsidRPr="005B05B3">
        <w:rPr>
          <w:rFonts w:eastAsia="Aptos" w:cs="Aptos"/>
        </w:rPr>
        <w:t>We have heard that sole traders have a unique and specific role to play in the provision of NDIS services.</w:t>
      </w:r>
    </w:p>
    <w:p w14:paraId="127F3676" w14:textId="5878B733" w:rsidR="00BB1B69" w:rsidRPr="005B05B3" w:rsidRDefault="1D29CC3A" w:rsidP="00FA0B19">
      <w:pPr>
        <w:pStyle w:val="Quote"/>
      </w:pPr>
      <w:r w:rsidRPr="00F352CC">
        <w:t>My support workers are sole traders with their own ABNs. They all have substantial experience in disability (yet none of them have a disability certificate qualification). But of course that did not matter to me, as I was more interested in their skills and work ethic. I interviewed, hired and trained them myself.</w:t>
      </w:r>
      <w:r w:rsidR="00BB1B69" w:rsidRPr="00F352CC">
        <w:rPr>
          <w:rStyle w:val="FootnoteReference"/>
        </w:rPr>
        <w:footnoteReference w:id="110"/>
      </w:r>
    </w:p>
    <w:p w14:paraId="58DE226D" w14:textId="1E371C1D" w:rsidR="000E320B" w:rsidRPr="005B05B3" w:rsidRDefault="00BB1B69" w:rsidP="00BB1B69">
      <w:pPr>
        <w:spacing w:line="278" w:lineRule="auto"/>
        <w:rPr>
          <w:rFonts w:eastAsia="Aptos" w:cs="Aptos"/>
        </w:rPr>
      </w:pPr>
      <w:r w:rsidRPr="005B05B3">
        <w:rPr>
          <w:rFonts w:eastAsia="Aptos" w:cs="Aptos"/>
        </w:rPr>
        <w:t>Sole traders are a common type of provider delivering in-home care, community access and allied health</w:t>
      </w:r>
      <w:r w:rsidR="009B5EDA">
        <w:rPr>
          <w:rFonts w:eastAsia="Aptos" w:cs="Aptos"/>
        </w:rPr>
        <w:t xml:space="preserve"> services</w:t>
      </w:r>
      <w:r w:rsidRPr="005B05B3">
        <w:rPr>
          <w:rFonts w:eastAsia="Aptos" w:cs="Aptos"/>
        </w:rPr>
        <w:t>.</w:t>
      </w:r>
      <w:r w:rsidR="002D46EE" w:rsidRPr="005B05B3">
        <w:rPr>
          <w:rFonts w:eastAsia="Aptos" w:cs="Aptos"/>
        </w:rPr>
        <w:t xml:space="preserve"> </w:t>
      </w:r>
      <w:r w:rsidRPr="005B05B3">
        <w:rPr>
          <w:rFonts w:eastAsia="Aptos" w:cs="Aptos"/>
        </w:rPr>
        <w:t>While the Taskforce have recommended a Worker Registration Scheme (</w:t>
      </w:r>
      <w:r w:rsidR="00FD65F9" w:rsidRPr="005B05B3">
        <w:rPr>
          <w:rFonts w:eastAsia="Aptos" w:cs="Aptos"/>
        </w:rPr>
        <w:t>refer</w:t>
      </w:r>
      <w:r w:rsidRPr="005B05B3">
        <w:rPr>
          <w:rFonts w:eastAsia="Aptos" w:cs="Aptos"/>
        </w:rPr>
        <w:t xml:space="preserve"> </w:t>
      </w:r>
      <w:hyperlink w:anchor="_Regulation_of_the" w:history="1">
        <w:r w:rsidRPr="008024AF">
          <w:rPr>
            <w:rStyle w:val="Hyperlink"/>
            <w:rFonts w:ascii="Aptos" w:eastAsia="Aptos" w:hAnsi="Aptos" w:cs="Aptos"/>
          </w:rPr>
          <w:t xml:space="preserve">Chapter </w:t>
        </w:r>
        <w:r w:rsidR="008024AF" w:rsidRPr="008024AF">
          <w:rPr>
            <w:rStyle w:val="Hyperlink"/>
            <w:rFonts w:ascii="Aptos" w:eastAsia="Aptos" w:hAnsi="Aptos" w:cs="Aptos"/>
          </w:rPr>
          <w:t>9</w:t>
        </w:r>
      </w:hyperlink>
      <w:r w:rsidRPr="005B05B3">
        <w:rPr>
          <w:rFonts w:eastAsia="Aptos" w:cs="Aptos"/>
        </w:rPr>
        <w:t xml:space="preserve">), sole traders who operate a business </w:t>
      </w:r>
      <w:r w:rsidR="43933A81" w:rsidRPr="005B05B3">
        <w:rPr>
          <w:rFonts w:eastAsia="Aptos" w:cs="Aptos"/>
        </w:rPr>
        <w:t xml:space="preserve">that falls within the definition of a </w:t>
      </w:r>
      <w:r w:rsidR="000E320B" w:rsidRPr="005B05B3">
        <w:rPr>
          <w:rFonts w:eastAsia="Aptos" w:cs="Aptos"/>
        </w:rPr>
        <w:t>p</w:t>
      </w:r>
      <w:r w:rsidR="43933A81" w:rsidRPr="005B05B3">
        <w:rPr>
          <w:rFonts w:eastAsia="Aptos" w:cs="Aptos"/>
        </w:rPr>
        <w:t>rovider,</w:t>
      </w:r>
      <w:r w:rsidRPr="005B05B3">
        <w:rPr>
          <w:rFonts w:eastAsia="Aptos" w:cs="Aptos"/>
        </w:rPr>
        <w:t xml:space="preserve"> will require provider and worker registration, depending on the scope of their work. </w:t>
      </w:r>
      <w:r w:rsidR="41CB8099" w:rsidRPr="005B05B3">
        <w:rPr>
          <w:rFonts w:eastAsia="Aptos" w:cs="Aptos"/>
        </w:rPr>
        <w:t>It is anticipated that m</w:t>
      </w:r>
      <w:r w:rsidR="000B2926" w:rsidRPr="005B05B3">
        <w:rPr>
          <w:rFonts w:eastAsia="Aptos" w:cs="Aptos"/>
        </w:rPr>
        <w:t xml:space="preserve">any </w:t>
      </w:r>
      <w:r w:rsidR="41CB8099" w:rsidRPr="005B05B3">
        <w:rPr>
          <w:rFonts w:eastAsia="Aptos" w:cs="Aptos"/>
        </w:rPr>
        <w:t xml:space="preserve">sole traders will fall within the Basic Registration category. </w:t>
      </w:r>
    </w:p>
    <w:p w14:paraId="1B890A8C" w14:textId="0ECEA50D" w:rsidR="00BB1B69" w:rsidRPr="005B05B3" w:rsidRDefault="41CB8099" w:rsidP="00BB1B69">
      <w:pPr>
        <w:spacing w:line="278" w:lineRule="auto"/>
        <w:rPr>
          <w:rFonts w:eastAsia="Aptos" w:cs="Aptos"/>
        </w:rPr>
      </w:pPr>
      <w:r w:rsidRPr="005B05B3">
        <w:rPr>
          <w:rFonts w:eastAsia="Aptos" w:cs="Aptos"/>
        </w:rPr>
        <w:t xml:space="preserve">However, those delivering support that falls within the Advanced Registration category and General Registration category </w:t>
      </w:r>
      <w:r w:rsidR="000B2926" w:rsidRPr="005B05B3">
        <w:rPr>
          <w:rFonts w:eastAsia="Aptos" w:cs="Aptos"/>
        </w:rPr>
        <w:t>must</w:t>
      </w:r>
      <w:r w:rsidRPr="005B05B3">
        <w:rPr>
          <w:rFonts w:eastAsia="Aptos" w:cs="Aptos"/>
        </w:rPr>
        <w:t xml:space="preserve"> be registered </w:t>
      </w:r>
      <w:r w:rsidR="368500DC" w:rsidRPr="005B05B3">
        <w:rPr>
          <w:rFonts w:eastAsia="Aptos" w:cs="Aptos"/>
        </w:rPr>
        <w:t>accordingly. The Taskforce suspects that the d</w:t>
      </w:r>
      <w:r w:rsidR="00BB1B69" w:rsidRPr="005B05B3">
        <w:rPr>
          <w:rFonts w:eastAsia="Aptos" w:cs="Aptos"/>
        </w:rPr>
        <w:t>elivery of behaviour support may be most impacted by this approach</w:t>
      </w:r>
      <w:r w:rsidR="710C60E7" w:rsidRPr="005B05B3">
        <w:rPr>
          <w:rFonts w:eastAsia="Aptos" w:cs="Aptos"/>
        </w:rPr>
        <w:t xml:space="preserve"> where Behaviour Support Practitioners may commonly operate as sole </w:t>
      </w:r>
      <w:r w:rsidR="00C965F0" w:rsidRPr="005B05B3">
        <w:rPr>
          <w:rFonts w:eastAsia="Aptos" w:cs="Aptos"/>
        </w:rPr>
        <w:t>traders but</w:t>
      </w:r>
      <w:r w:rsidR="710C60E7" w:rsidRPr="005B05B3">
        <w:rPr>
          <w:rFonts w:eastAsia="Aptos" w:cs="Aptos"/>
        </w:rPr>
        <w:t xml:space="preserve"> will always be required to undergo Advanced Registration</w:t>
      </w:r>
      <w:r w:rsidR="00BB1B69" w:rsidRPr="005B05B3">
        <w:rPr>
          <w:rFonts w:eastAsia="Aptos" w:cs="Aptos"/>
        </w:rPr>
        <w:t xml:space="preserve">. However, the Taskforce emphasises that the provision of behaviour support is complex and can curtail the rights and freedoms of the individual, especially where restrictive practices are in use. As such, while sole traders may be challenged by strict registration requirements, the risk to </w:t>
      </w:r>
      <w:r w:rsidR="00B17C45">
        <w:rPr>
          <w:rFonts w:eastAsia="Aptos" w:cs="Aptos"/>
        </w:rPr>
        <w:t>P</w:t>
      </w:r>
      <w:r w:rsidR="00BB1B69" w:rsidRPr="005B05B3">
        <w:rPr>
          <w:rFonts w:eastAsia="Aptos" w:cs="Aptos"/>
        </w:rPr>
        <w:t>articipants in these services is too great to reduce or graduate the registration requirements for them on this basis. Similarly, if a sole trader was to set up a SIL service, they too would need to be registered in the high-risk</w:t>
      </w:r>
      <w:r w:rsidR="009B1E9B" w:rsidRPr="005B05B3">
        <w:rPr>
          <w:rFonts w:eastAsia="Aptos" w:cs="Aptos"/>
        </w:rPr>
        <w:t xml:space="preserve">, Advanced Registration </w:t>
      </w:r>
      <w:r w:rsidR="00BB1B69" w:rsidRPr="005B05B3">
        <w:rPr>
          <w:rFonts w:eastAsia="Aptos" w:cs="Aptos"/>
        </w:rPr>
        <w:t>category</w:t>
      </w:r>
      <w:r w:rsidR="73247D4D" w:rsidRPr="005B05B3">
        <w:rPr>
          <w:rFonts w:eastAsia="Aptos" w:cs="Aptos"/>
        </w:rPr>
        <w:t xml:space="preserve"> which is an extremely important safeguard.</w:t>
      </w:r>
    </w:p>
    <w:p w14:paraId="3ECF6A3A" w14:textId="1EBEE0EF" w:rsidR="008364B1" w:rsidRDefault="00FD30D1" w:rsidP="003D35AB">
      <w:pPr>
        <w:pStyle w:val="TSDAltHeading2"/>
        <w:spacing w:before="360" w:after="0"/>
      </w:pPr>
      <w:bookmarkStart w:id="64" w:name="_Toc173318062"/>
      <w:r>
        <w:t>Group homes</w:t>
      </w:r>
      <w:bookmarkEnd w:id="64"/>
    </w:p>
    <w:p w14:paraId="300FD9FA" w14:textId="627BB4AE" w:rsidR="00BB1B69" w:rsidRPr="005B05B3" w:rsidRDefault="00BB1B69" w:rsidP="003D35AB">
      <w:pPr>
        <w:pStyle w:val="Heading3"/>
        <w:spacing w:before="120" w:after="120"/>
      </w:pPr>
      <w:bookmarkStart w:id="65" w:name="_Toc170919683"/>
      <w:r w:rsidRPr="005B05B3">
        <w:t xml:space="preserve">Group Homes </w:t>
      </w:r>
      <w:r w:rsidR="736EFC1C" w:rsidRPr="005B05B3">
        <w:t xml:space="preserve">(including SIL) </w:t>
      </w:r>
      <w:r w:rsidRPr="005B05B3">
        <w:t>and large accommodation settings</w:t>
      </w:r>
      <w:bookmarkEnd w:id="65"/>
    </w:p>
    <w:p w14:paraId="09864EDA" w14:textId="7FFD1284" w:rsidR="00BB1B69" w:rsidRPr="005B05B3" w:rsidRDefault="00BB1B69" w:rsidP="112CE13D">
      <w:pPr>
        <w:spacing w:line="278" w:lineRule="auto"/>
        <w:rPr>
          <w:rFonts w:eastAsia="Aptos" w:cs="Aptos"/>
        </w:rPr>
      </w:pPr>
      <w:r w:rsidRPr="005B05B3">
        <w:rPr>
          <w:rFonts w:eastAsia="Aptos" w:cs="Aptos"/>
        </w:rPr>
        <w:t xml:space="preserve">The provision of supports provided in group accommodation or congregate environments has caused the Taskforce significant concerns. Disproportionately, participants in these </w:t>
      </w:r>
      <w:r w:rsidRPr="005B05B3">
        <w:rPr>
          <w:rFonts w:eastAsia="Aptos" w:cs="Aptos"/>
        </w:rPr>
        <w:lastRenderedPageBreak/>
        <w:t>settings are funded with SIL funding</w:t>
      </w:r>
      <w:r w:rsidRPr="005B05B3">
        <w:rPr>
          <w:rStyle w:val="FootnoteReference"/>
          <w:rFonts w:eastAsia="Aptos" w:cs="Aptos"/>
        </w:rPr>
        <w:footnoteReference w:id="111"/>
      </w:r>
      <w:r w:rsidRPr="005B05B3">
        <w:rPr>
          <w:rFonts w:eastAsia="Aptos" w:cs="Aptos"/>
        </w:rPr>
        <w:t xml:space="preserve">, which has led to the colloquial name </w:t>
      </w:r>
      <w:r w:rsidR="001B3304" w:rsidRPr="005B05B3">
        <w:rPr>
          <w:rFonts w:eastAsia="Aptos" w:cs="Aptos"/>
        </w:rPr>
        <w:t>‘</w:t>
      </w:r>
      <w:r w:rsidRPr="005B05B3">
        <w:rPr>
          <w:rFonts w:eastAsia="Aptos" w:cs="Aptos"/>
        </w:rPr>
        <w:t>SIL Group Homes</w:t>
      </w:r>
      <w:r w:rsidR="001B3304" w:rsidRPr="005B05B3">
        <w:rPr>
          <w:rFonts w:eastAsia="Aptos" w:cs="Aptos"/>
        </w:rPr>
        <w:t>’</w:t>
      </w:r>
      <w:r w:rsidRPr="005B05B3">
        <w:rPr>
          <w:rFonts w:eastAsia="Aptos" w:cs="Aptos"/>
        </w:rPr>
        <w:t>.</w:t>
      </w:r>
    </w:p>
    <w:p w14:paraId="1AA49507" w14:textId="08292C64" w:rsidR="003C10A3" w:rsidRPr="005B05B3" w:rsidRDefault="0037086A" w:rsidP="112CE13D">
      <w:pPr>
        <w:spacing w:line="278" w:lineRule="auto"/>
      </w:pPr>
      <w:r w:rsidRPr="005B05B3">
        <w:rPr>
          <w:rFonts w:eastAsia="Aptos" w:cs="Aptos"/>
        </w:rPr>
        <w:t>The Disability Royal Commission</w:t>
      </w:r>
      <w:r w:rsidR="00AC2461" w:rsidRPr="005B05B3">
        <w:rPr>
          <w:rFonts w:eastAsia="Aptos" w:cs="Aptos"/>
        </w:rPr>
        <w:t xml:space="preserve"> noted that SIL funding </w:t>
      </w:r>
      <w:r w:rsidR="00442F50" w:rsidRPr="005B05B3">
        <w:rPr>
          <w:rFonts w:eastAsia="Aptos" w:cs="Aptos"/>
        </w:rPr>
        <w:t xml:space="preserve">for home and living supports </w:t>
      </w:r>
      <w:r w:rsidR="008A234E" w:rsidRPr="005B05B3">
        <w:rPr>
          <w:rFonts w:eastAsia="Aptos" w:cs="Aptos"/>
        </w:rPr>
        <w:t xml:space="preserve">in the NDIS is </w:t>
      </w:r>
      <w:r w:rsidR="00AE18BE" w:rsidRPr="005B05B3">
        <w:rPr>
          <w:rFonts w:eastAsia="Aptos" w:cs="Aptos"/>
        </w:rPr>
        <w:t>‘</w:t>
      </w:r>
      <w:r w:rsidR="003C10A3" w:rsidRPr="005B05B3">
        <w:rPr>
          <w:rFonts w:eastAsia="Aptos" w:cs="Aptos"/>
        </w:rPr>
        <w:t>for people with higher support needs who need some level of help at home all the time</w:t>
      </w:r>
      <w:r w:rsidR="00AE18BE" w:rsidRPr="005B05B3">
        <w:rPr>
          <w:rFonts w:eastAsia="Aptos" w:cs="Aptos"/>
        </w:rPr>
        <w:t>’</w:t>
      </w:r>
      <w:r w:rsidR="008A234E" w:rsidRPr="005B05B3">
        <w:rPr>
          <w:rFonts w:eastAsia="Aptos" w:cs="Aptos"/>
        </w:rPr>
        <w:t>.</w:t>
      </w:r>
      <w:r w:rsidR="008A234E" w:rsidRPr="005B05B3">
        <w:rPr>
          <w:rFonts w:eastAsia="Aptos" w:cs="Aptos"/>
          <w:vertAlign w:val="superscript"/>
        </w:rPr>
        <w:footnoteReference w:id="112"/>
      </w:r>
      <w:r w:rsidR="00A61D80" w:rsidRPr="005B05B3">
        <w:t xml:space="preserve"> </w:t>
      </w:r>
      <w:r w:rsidR="00A61D80" w:rsidRPr="005B05B3">
        <w:rPr>
          <w:rFonts w:eastAsia="Aptos" w:cs="Aptos"/>
        </w:rPr>
        <w:t>As at December 2022, 29,812 participants were accessing SIL supports.</w:t>
      </w:r>
      <w:r w:rsidR="008E367E" w:rsidRPr="005B05B3">
        <w:rPr>
          <w:rStyle w:val="FootnoteReference"/>
        </w:rPr>
        <w:footnoteReference w:id="113"/>
      </w:r>
      <w:r w:rsidR="005A650C" w:rsidRPr="005B05B3">
        <w:rPr>
          <w:rFonts w:eastAsia="Aptos" w:cs="Aptos"/>
        </w:rPr>
        <w:t xml:space="preserve"> </w:t>
      </w:r>
      <w:r w:rsidR="009706EC" w:rsidRPr="005B05B3">
        <w:rPr>
          <w:rFonts w:eastAsia="Aptos" w:cs="Aptos"/>
        </w:rPr>
        <w:t xml:space="preserve">The Disability Royal Commission also noted </w:t>
      </w:r>
      <w:r w:rsidR="007D2C44" w:rsidRPr="005B05B3">
        <w:rPr>
          <w:rFonts w:eastAsia="Aptos" w:cs="Aptos"/>
        </w:rPr>
        <w:t>that a</w:t>
      </w:r>
      <w:r w:rsidR="009706EC" w:rsidRPr="005B05B3">
        <w:rPr>
          <w:rFonts w:eastAsia="Aptos" w:cs="Aptos"/>
        </w:rPr>
        <w:t xml:space="preserve">s of September 2022, there were around 21,000 people with SDA supports in their NDIS </w:t>
      </w:r>
      <w:r w:rsidR="00C420D5" w:rsidRPr="005B05B3">
        <w:rPr>
          <w:rFonts w:eastAsia="Aptos" w:cs="Aptos"/>
        </w:rPr>
        <w:t>P</w:t>
      </w:r>
      <w:r w:rsidR="009706EC" w:rsidRPr="005B05B3">
        <w:rPr>
          <w:rFonts w:eastAsia="Aptos" w:cs="Aptos"/>
        </w:rPr>
        <w:t>lan.</w:t>
      </w:r>
      <w:r w:rsidR="00BF3BD2" w:rsidRPr="005B05B3">
        <w:rPr>
          <w:rFonts w:eastAsia="Aptos" w:cs="Aptos"/>
        </w:rPr>
        <w:t xml:space="preserve"> </w:t>
      </w:r>
      <w:r w:rsidR="009706EC" w:rsidRPr="005B05B3">
        <w:rPr>
          <w:rFonts w:eastAsia="Aptos" w:cs="Aptos"/>
        </w:rPr>
        <w:t>Of those receiving SDA, there are at least around 7,000 people residing in group home</w:t>
      </w:r>
      <w:r w:rsidR="007E3558" w:rsidRPr="005B05B3">
        <w:rPr>
          <w:rFonts w:eastAsia="Aptos" w:cs="Aptos"/>
        </w:rPr>
        <w:t>s</w:t>
      </w:r>
      <w:r w:rsidR="00BF3BD2" w:rsidRPr="005B05B3">
        <w:rPr>
          <w:i/>
          <w:iCs/>
        </w:rPr>
        <w:t>.</w:t>
      </w:r>
      <w:r w:rsidR="00BF3BD2" w:rsidRPr="005B05B3">
        <w:rPr>
          <w:rStyle w:val="FootnoteReference"/>
          <w:i/>
        </w:rPr>
        <w:footnoteReference w:id="114"/>
      </w:r>
    </w:p>
    <w:p w14:paraId="144C0763" w14:textId="33CCDAF2" w:rsidR="000848C5" w:rsidRPr="005B05B3" w:rsidRDefault="00BB1B69" w:rsidP="112CE13D">
      <w:pPr>
        <w:spacing w:line="278" w:lineRule="auto"/>
        <w:rPr>
          <w:rFonts w:eastAsia="Aptos" w:cs="Aptos"/>
        </w:rPr>
      </w:pPr>
      <w:r w:rsidRPr="005B05B3">
        <w:rPr>
          <w:rFonts w:eastAsia="Aptos" w:cs="Aptos"/>
        </w:rPr>
        <w:t xml:space="preserve">However, we recognise that </w:t>
      </w:r>
      <w:r w:rsidR="008A12AB" w:rsidRPr="005B05B3">
        <w:rPr>
          <w:rFonts w:eastAsia="Aptos" w:cs="Aptos"/>
        </w:rPr>
        <w:t>p</w:t>
      </w:r>
      <w:r w:rsidRPr="005B05B3">
        <w:rPr>
          <w:rFonts w:eastAsia="Aptos" w:cs="Aptos"/>
        </w:rPr>
        <w:t xml:space="preserve">articipants may use other funding categories such as flexible </w:t>
      </w:r>
      <w:r w:rsidR="002232F7" w:rsidRPr="005B05B3">
        <w:rPr>
          <w:rFonts w:eastAsia="Aptos" w:cs="Aptos"/>
        </w:rPr>
        <w:t>c</w:t>
      </w:r>
      <w:r w:rsidRPr="005B05B3">
        <w:rPr>
          <w:rFonts w:eastAsia="Aptos" w:cs="Aptos"/>
        </w:rPr>
        <w:t xml:space="preserve">ore funding to pay for group or congregate services. Centrally, these are services where people have not chosen where they live, who they live </w:t>
      </w:r>
      <w:r w:rsidR="009B1E9B" w:rsidRPr="005B05B3">
        <w:rPr>
          <w:rFonts w:eastAsia="Aptos" w:cs="Aptos"/>
        </w:rPr>
        <w:t xml:space="preserve">with </w:t>
      </w:r>
      <w:r w:rsidRPr="005B05B3">
        <w:rPr>
          <w:rFonts w:eastAsia="Aptos" w:cs="Aptos"/>
        </w:rPr>
        <w:t xml:space="preserve">and have minimal control over their daily personal activities. </w:t>
      </w:r>
      <w:r w:rsidR="5318FD81" w:rsidRPr="005B05B3">
        <w:rPr>
          <w:rFonts w:eastAsia="Aptos" w:cs="Aptos"/>
        </w:rPr>
        <w:t>Group homes are a form of accommodation that is ‘distinguished from other houses by having four or five long</w:t>
      </w:r>
      <w:r w:rsidR="008A6678" w:rsidRPr="005B05B3">
        <w:rPr>
          <w:rFonts w:eastAsia="Aptos" w:cs="Aptos"/>
        </w:rPr>
        <w:t xml:space="preserve"> </w:t>
      </w:r>
      <w:r w:rsidR="5318FD81" w:rsidRPr="005B05B3">
        <w:rPr>
          <w:rFonts w:eastAsia="Aptos" w:cs="Aptos"/>
        </w:rPr>
        <w:t>term residents’ and where services and supports are provided to residents with disability.</w:t>
      </w:r>
      <w:r w:rsidR="00384ABB" w:rsidRPr="005B05B3">
        <w:rPr>
          <w:rStyle w:val="FootnoteReference"/>
          <w:rFonts w:eastAsia="Aptos" w:cs="Aptos"/>
        </w:rPr>
        <w:footnoteReference w:id="115"/>
      </w:r>
      <w:r w:rsidRPr="005B05B3">
        <w:rPr>
          <w:rFonts w:eastAsia="Aptos" w:cs="Aptos"/>
        </w:rPr>
        <w:t xml:space="preserve"> </w:t>
      </w:r>
    </w:p>
    <w:p w14:paraId="763768E1" w14:textId="66BE378C" w:rsidR="00BB1B69" w:rsidRPr="005B05B3" w:rsidRDefault="005A650C" w:rsidP="112CE13D">
      <w:pPr>
        <w:spacing w:line="278" w:lineRule="auto"/>
        <w:rPr>
          <w:rFonts w:eastAsia="Aptos" w:cs="Aptos"/>
        </w:rPr>
      </w:pPr>
      <w:r w:rsidRPr="005B05B3">
        <w:t xml:space="preserve">NDIS </w:t>
      </w:r>
      <w:r w:rsidR="008A12AB" w:rsidRPr="005B05B3">
        <w:t>p</w:t>
      </w:r>
      <w:r w:rsidRPr="005B05B3">
        <w:t>articipants living in supported accommodation are mainly adults with a primary disability of intellectual disability</w:t>
      </w:r>
      <w:r w:rsidRPr="005B05B3">
        <w:rPr>
          <w:rFonts w:eastAsia="Aptos" w:cs="Aptos"/>
        </w:rPr>
        <w:t xml:space="preserve">, </w:t>
      </w:r>
      <w:r w:rsidRPr="005B05B3">
        <w:t>indeed, more than 50% of NDIS Participants with SIL in their plans have intellectual disability as their primary disability, compared to 18% of the total NDIS participant population.</w:t>
      </w:r>
      <w:r w:rsidRPr="005B05B3">
        <w:rPr>
          <w:rStyle w:val="FootnoteReference"/>
        </w:rPr>
        <w:footnoteReference w:id="116"/>
      </w:r>
      <w:r w:rsidRPr="005B05B3">
        <w:rPr>
          <w:rFonts w:eastAsia="Aptos" w:cs="Aptos"/>
        </w:rPr>
        <w:t xml:space="preserve"> </w:t>
      </w:r>
      <w:r w:rsidR="00BB1B69" w:rsidRPr="005B05B3">
        <w:rPr>
          <w:rFonts w:eastAsia="Aptos" w:cs="Aptos"/>
        </w:rPr>
        <w:t xml:space="preserve">The risk inherent in these types of services due to the isolation of people with disability is unacceptable. It is also expensive for, what we have seen to be, </w:t>
      </w:r>
      <w:r w:rsidR="009B1E9B" w:rsidRPr="005B05B3">
        <w:rPr>
          <w:rFonts w:eastAsia="Aptos" w:cs="Aptos"/>
        </w:rPr>
        <w:t xml:space="preserve">too regularly </w:t>
      </w:r>
      <w:r w:rsidR="00BB1B69" w:rsidRPr="005B05B3">
        <w:rPr>
          <w:rFonts w:eastAsia="Aptos" w:cs="Aptos"/>
        </w:rPr>
        <w:t>very poor outcomes compared to other models of care and support where a person has more choice and control, and investment is made in their overall social and economic participation. The opportunity for violence, abuse, neglect and exploitation in Group Homes is significant. Often that opportunity, the Taskforce has learnt, is seized. Group Homes funded by the NDIS, including through SIL, are too often unregistered and so subject to little regulation and are not visible to the NDIS Commission.</w:t>
      </w:r>
    </w:p>
    <w:p w14:paraId="22EAD1C3" w14:textId="0A510B3C" w:rsidR="00BB1B69" w:rsidRPr="005B05B3" w:rsidRDefault="60A38B55" w:rsidP="005B05B3">
      <w:pPr>
        <w:spacing w:line="278" w:lineRule="auto"/>
        <w:rPr>
          <w:rFonts w:eastAsia="Aptos" w:cs="Aptos"/>
        </w:rPr>
      </w:pPr>
      <w:r w:rsidRPr="005B05B3">
        <w:rPr>
          <w:rStyle w:val="QuoteChar"/>
          <w:rFonts w:ascii="Aptos" w:hAnsi="Aptos"/>
          <w:i w:val="0"/>
        </w:rPr>
        <w:t xml:space="preserve">Many advocates were concerned service providers were using NDIS funding to create a new generation of group homes that were little more than privatised institutions. Often </w:t>
      </w:r>
      <w:r w:rsidRPr="005B05B3">
        <w:rPr>
          <w:rStyle w:val="QuoteChar"/>
          <w:rFonts w:ascii="Aptos" w:hAnsi="Aptos"/>
          <w:i w:val="0"/>
        </w:rPr>
        <w:lastRenderedPageBreak/>
        <w:t>these group homes are one- stop-shops for residents, meaning they are seldom visited by anyone other than the employees of the service provider running the group home</w:t>
      </w:r>
      <w:r w:rsidRPr="005B05B3">
        <w:rPr>
          <w:rStyle w:val="QuoteChar"/>
          <w:rFonts w:ascii="Aptos" w:hAnsi="Aptos"/>
        </w:rPr>
        <w:t>.</w:t>
      </w:r>
      <w:r w:rsidR="00BB1B69" w:rsidRPr="005B05B3">
        <w:rPr>
          <w:rStyle w:val="FootnoteReference"/>
          <w:rFonts w:eastAsia="Aptos" w:cs="Aptos"/>
        </w:rPr>
        <w:footnoteReference w:id="117"/>
      </w:r>
    </w:p>
    <w:p w14:paraId="4895115B" w14:textId="4D373E14" w:rsidR="00BB1B69" w:rsidRPr="005B05B3" w:rsidRDefault="00BB1B69" w:rsidP="00BB1B69">
      <w:pPr>
        <w:spacing w:line="278" w:lineRule="auto"/>
        <w:rPr>
          <w:rFonts w:eastAsia="Aptos" w:cs="Aptos"/>
        </w:rPr>
      </w:pPr>
      <w:r w:rsidRPr="005B05B3">
        <w:rPr>
          <w:rFonts w:eastAsia="Aptos" w:cs="Aptos"/>
        </w:rPr>
        <w:t xml:space="preserve">The lack of visibility in particular has challenged the accuracy of our understanding of this situation. We have heard concerning stories that unregistered </w:t>
      </w:r>
      <w:r w:rsidR="009E7FDE" w:rsidRPr="005B05B3">
        <w:rPr>
          <w:rFonts w:eastAsia="Aptos" w:cs="Aptos"/>
        </w:rPr>
        <w:t>p</w:t>
      </w:r>
      <w:r w:rsidRPr="005B05B3">
        <w:rPr>
          <w:rFonts w:eastAsia="Aptos" w:cs="Aptos"/>
        </w:rPr>
        <w:t xml:space="preserve">roviders target people with disability and entice them to live in a </w:t>
      </w:r>
      <w:r w:rsidR="00441FCA" w:rsidRPr="005B05B3">
        <w:rPr>
          <w:rFonts w:eastAsia="Aptos" w:cs="Aptos"/>
        </w:rPr>
        <w:t>SIL accommodation</w:t>
      </w:r>
      <w:r w:rsidRPr="005B05B3">
        <w:rPr>
          <w:rFonts w:eastAsia="Aptos" w:cs="Aptos"/>
        </w:rPr>
        <w:t>, away from their families and communities.</w:t>
      </w:r>
      <w:r w:rsidRPr="005B05B3">
        <w:rPr>
          <w:rStyle w:val="FootnoteReference"/>
          <w:rFonts w:eastAsia="Aptos" w:cs="Aptos"/>
        </w:rPr>
        <w:footnoteReference w:id="118"/>
      </w:r>
      <w:r w:rsidRPr="005B05B3">
        <w:rPr>
          <w:rFonts w:eastAsia="Aptos" w:cs="Aptos"/>
        </w:rPr>
        <w:t xml:space="preserve"> These stories were especially present in Central Australia</w:t>
      </w:r>
      <w:r w:rsidR="003E07BE" w:rsidRPr="005B05B3">
        <w:rPr>
          <w:rFonts w:eastAsia="Aptos" w:cs="Aptos"/>
        </w:rPr>
        <w:t>.</w:t>
      </w:r>
    </w:p>
    <w:p w14:paraId="175C8D24" w14:textId="5B555AD5" w:rsidR="00BB1B69" w:rsidRPr="005B05B3" w:rsidRDefault="00BB1B69" w:rsidP="112CE13D">
      <w:pPr>
        <w:spacing w:line="278" w:lineRule="auto"/>
        <w:rPr>
          <w:rFonts w:eastAsia="Aptos" w:cs="Aptos"/>
        </w:rPr>
      </w:pPr>
      <w:r w:rsidRPr="005B05B3">
        <w:rPr>
          <w:rFonts w:eastAsia="Aptos" w:cs="Aptos"/>
        </w:rPr>
        <w:t>Group Homes can be worth significant money to those who run them.</w:t>
      </w:r>
    </w:p>
    <w:p w14:paraId="632FF668" w14:textId="7DD1FACB" w:rsidR="00BB1B69" w:rsidRPr="005B05B3" w:rsidRDefault="005A1848" w:rsidP="00FA0B19">
      <w:pPr>
        <w:pStyle w:val="Quote"/>
      </w:pPr>
      <w:r w:rsidRPr="00F352CC">
        <w:t xml:space="preserve">[NDIS </w:t>
      </w:r>
      <w:r w:rsidR="00867909" w:rsidRPr="00F352CC">
        <w:t>p</w:t>
      </w:r>
      <w:r w:rsidRPr="00F352CC">
        <w:t xml:space="preserve">rovider] </w:t>
      </w:r>
      <w:r w:rsidR="2E395ECB" w:rsidRPr="00F352CC">
        <w:t xml:space="preserve">receives hundreds of enquiries from </w:t>
      </w:r>
      <w:r w:rsidR="00AE18BE" w:rsidRPr="00F352CC">
        <w:t>‘</w:t>
      </w:r>
      <w:r w:rsidR="2E395ECB" w:rsidRPr="00F352CC">
        <w:t>SIL Providers</w:t>
      </w:r>
      <w:r w:rsidR="00AE18BE" w:rsidRPr="00F352CC">
        <w:t>’</w:t>
      </w:r>
      <w:r w:rsidR="2E395ECB" w:rsidRPr="00F352CC">
        <w:t xml:space="preserve"> on a monthly basis, wanting to join our platform and connect with customers who are NDIS Participants with SIL funding in their plans. When screened and questioned extensively by </w:t>
      </w:r>
      <w:r w:rsidR="223A0D59" w:rsidRPr="00F352CC">
        <w:t xml:space="preserve">[NDIS </w:t>
      </w:r>
      <w:r w:rsidR="00436D35" w:rsidRPr="00F352CC">
        <w:t>p</w:t>
      </w:r>
      <w:r w:rsidR="223A0D59" w:rsidRPr="00F352CC">
        <w:t>rovider]</w:t>
      </w:r>
      <w:r w:rsidR="2E395ECB" w:rsidRPr="00F352CC">
        <w:t xml:space="preserve">, we find that many have no prior experience in delivering this high-risk support yet despite this they believe they are well equipped to sign on their first </w:t>
      </w:r>
      <w:r w:rsidR="008A12AB" w:rsidRPr="00F352CC">
        <w:t>p</w:t>
      </w:r>
      <w:r w:rsidR="2E395ECB" w:rsidRPr="00F352CC">
        <w:t>articipants. It would appear many are simply driven by the potential economic value of SIL.</w:t>
      </w:r>
      <w:r w:rsidR="00BB1B69" w:rsidRPr="00F352CC">
        <w:rPr>
          <w:rStyle w:val="FootnoteReference"/>
        </w:rPr>
        <w:footnoteReference w:id="119"/>
      </w:r>
    </w:p>
    <w:p w14:paraId="19C79CB7" w14:textId="0F953E85" w:rsidR="00BB1B69" w:rsidRPr="005B05B3" w:rsidRDefault="00BB1B69" w:rsidP="00BB1B69">
      <w:pPr>
        <w:spacing w:line="278" w:lineRule="auto"/>
        <w:rPr>
          <w:rFonts w:eastAsia="Aptos" w:cs="Aptos"/>
        </w:rPr>
      </w:pPr>
      <w:r w:rsidRPr="005B05B3">
        <w:rPr>
          <w:rFonts w:eastAsia="Aptos" w:cs="Aptos"/>
        </w:rPr>
        <w:t xml:space="preserve">Often residents </w:t>
      </w:r>
      <w:r w:rsidR="009B1E9B" w:rsidRPr="005B05B3">
        <w:rPr>
          <w:rFonts w:eastAsia="Aptos" w:cs="Aptos"/>
        </w:rPr>
        <w:t>that are</w:t>
      </w:r>
      <w:r w:rsidRPr="005B05B3">
        <w:rPr>
          <w:rFonts w:eastAsia="Aptos" w:cs="Aptos"/>
        </w:rPr>
        <w:t xml:space="preserve"> targeted have significant NDIS Plans</w:t>
      </w:r>
      <w:r w:rsidR="00A82371" w:rsidRPr="005B05B3">
        <w:rPr>
          <w:rFonts w:eastAsia="Aptos" w:cs="Aptos"/>
        </w:rPr>
        <w:t>.</w:t>
      </w:r>
      <w:r w:rsidR="00D1151F" w:rsidRPr="005B05B3">
        <w:rPr>
          <w:rFonts w:eastAsia="Aptos" w:cs="Aptos"/>
        </w:rPr>
        <w:t xml:space="preserve"> The NDIS Commission Own Motion Inquiry into Aspects of Supported Accommodation noted that the average NDIS </w:t>
      </w:r>
      <w:r w:rsidR="00C420D5" w:rsidRPr="005B05B3">
        <w:rPr>
          <w:rFonts w:eastAsia="Aptos" w:cs="Aptos"/>
        </w:rPr>
        <w:t>P</w:t>
      </w:r>
      <w:r w:rsidR="00D1151F" w:rsidRPr="005B05B3">
        <w:rPr>
          <w:rFonts w:eastAsia="Aptos" w:cs="Aptos"/>
        </w:rPr>
        <w:t xml:space="preserve">lan budgets </w:t>
      </w:r>
      <w:r w:rsidR="008E6C9E" w:rsidRPr="005B05B3">
        <w:rPr>
          <w:rFonts w:eastAsia="Aptos" w:cs="Aptos"/>
        </w:rPr>
        <w:t xml:space="preserve">for SIL funded </w:t>
      </w:r>
      <w:r w:rsidR="008A12AB" w:rsidRPr="005B05B3">
        <w:rPr>
          <w:rFonts w:eastAsia="Aptos" w:cs="Aptos"/>
        </w:rPr>
        <w:t>p</w:t>
      </w:r>
      <w:r w:rsidR="008E6C9E" w:rsidRPr="005B05B3">
        <w:rPr>
          <w:rFonts w:eastAsia="Aptos" w:cs="Aptos"/>
        </w:rPr>
        <w:t>articipants</w:t>
      </w:r>
      <w:r w:rsidR="0096225B" w:rsidRPr="005B05B3">
        <w:rPr>
          <w:rFonts w:eastAsia="Aptos" w:cs="Aptos"/>
        </w:rPr>
        <w:t xml:space="preserve"> was $358,000</w:t>
      </w:r>
      <w:r w:rsidR="008E6C9E" w:rsidRPr="005B05B3">
        <w:rPr>
          <w:rFonts w:eastAsia="Aptos" w:cs="Aptos"/>
        </w:rPr>
        <w:t xml:space="preserve"> </w:t>
      </w:r>
      <w:r w:rsidR="0096225B" w:rsidRPr="005B05B3">
        <w:rPr>
          <w:rFonts w:eastAsia="Aptos" w:cs="Aptos"/>
        </w:rPr>
        <w:t xml:space="preserve">and </w:t>
      </w:r>
      <w:r w:rsidR="00D1151F" w:rsidRPr="005B05B3">
        <w:rPr>
          <w:rFonts w:eastAsia="Aptos" w:cs="Aptos"/>
        </w:rPr>
        <w:t xml:space="preserve">significantly higher in value than those NDIS </w:t>
      </w:r>
      <w:r w:rsidR="00F3255B" w:rsidRPr="005B05B3">
        <w:rPr>
          <w:rFonts w:eastAsia="Aptos" w:cs="Aptos"/>
        </w:rPr>
        <w:t>p</w:t>
      </w:r>
      <w:r w:rsidR="00D1151F" w:rsidRPr="005B05B3">
        <w:rPr>
          <w:rFonts w:eastAsia="Aptos" w:cs="Aptos"/>
        </w:rPr>
        <w:t>articipants who are not funded for SIL</w:t>
      </w:r>
      <w:r w:rsidR="008418CD" w:rsidRPr="005B05B3">
        <w:rPr>
          <w:rFonts w:eastAsia="Aptos" w:cs="Aptos"/>
        </w:rPr>
        <w:t xml:space="preserve"> </w:t>
      </w:r>
      <w:r w:rsidR="00952955" w:rsidRPr="005B05B3">
        <w:rPr>
          <w:rFonts w:eastAsia="Aptos" w:cs="Aptos"/>
        </w:rPr>
        <w:t>(</w:t>
      </w:r>
      <w:r w:rsidR="008418CD" w:rsidRPr="005B05B3">
        <w:rPr>
          <w:rFonts w:eastAsia="Aptos" w:cs="Aptos"/>
        </w:rPr>
        <w:t xml:space="preserve">these plans were </w:t>
      </w:r>
      <w:r w:rsidR="00A775C9" w:rsidRPr="005B05B3">
        <w:rPr>
          <w:rFonts w:eastAsia="Aptos" w:cs="Aptos"/>
        </w:rPr>
        <w:t>on average $5</w:t>
      </w:r>
      <w:r w:rsidR="008418CD" w:rsidRPr="005B05B3">
        <w:rPr>
          <w:rFonts w:eastAsia="Aptos" w:cs="Aptos"/>
        </w:rPr>
        <w:t>3,500</w:t>
      </w:r>
      <w:r w:rsidR="00952955" w:rsidRPr="005B05B3">
        <w:rPr>
          <w:rFonts w:eastAsia="Aptos" w:cs="Aptos"/>
        </w:rPr>
        <w:t>)</w:t>
      </w:r>
      <w:r w:rsidR="00D1151F" w:rsidRPr="005B05B3">
        <w:t>.</w:t>
      </w:r>
      <w:r w:rsidR="005B09A2" w:rsidRPr="005B05B3">
        <w:rPr>
          <w:rStyle w:val="FootnoteReference"/>
        </w:rPr>
        <w:footnoteReference w:id="120"/>
      </w:r>
      <w:r w:rsidR="00D1151F" w:rsidRPr="005B05B3">
        <w:t xml:space="preserve"> </w:t>
      </w:r>
      <w:r w:rsidRPr="005B05B3">
        <w:rPr>
          <w:rFonts w:eastAsia="Aptos" w:cs="Aptos"/>
        </w:rPr>
        <w:t xml:space="preserve">With very few requirements to achieve baseline quality, safety or outcomes, the level of exploitation to </w:t>
      </w:r>
      <w:r w:rsidR="00AE18BE" w:rsidRPr="005B05B3">
        <w:rPr>
          <w:rFonts w:eastAsia="Aptos" w:cs="Aptos"/>
        </w:rPr>
        <w:t>‘</w:t>
      </w:r>
      <w:r w:rsidRPr="005B05B3">
        <w:rPr>
          <w:rFonts w:eastAsia="Aptos" w:cs="Aptos"/>
        </w:rPr>
        <w:t>drain</w:t>
      </w:r>
      <w:r w:rsidR="00AE18BE" w:rsidRPr="005B05B3">
        <w:rPr>
          <w:rFonts w:eastAsia="Aptos" w:cs="Aptos"/>
        </w:rPr>
        <w:t>’</w:t>
      </w:r>
      <w:r w:rsidRPr="005B05B3">
        <w:rPr>
          <w:rFonts w:eastAsia="Aptos" w:cs="Aptos"/>
        </w:rPr>
        <w:t xml:space="preserve"> those </w:t>
      </w:r>
      <w:r w:rsidR="005C698D" w:rsidRPr="005B05B3">
        <w:rPr>
          <w:rFonts w:eastAsia="Aptos" w:cs="Aptos"/>
        </w:rPr>
        <w:t>p</w:t>
      </w:r>
      <w:r w:rsidRPr="005B05B3">
        <w:rPr>
          <w:rFonts w:eastAsia="Aptos" w:cs="Aptos"/>
        </w:rPr>
        <w:t xml:space="preserve">lans is significant. We have heard of multiple NDIS </w:t>
      </w:r>
      <w:r w:rsidR="00F3255B" w:rsidRPr="005B05B3">
        <w:rPr>
          <w:rFonts w:eastAsia="Aptos" w:cs="Aptos"/>
        </w:rPr>
        <w:t>p</w:t>
      </w:r>
      <w:r w:rsidRPr="005B05B3">
        <w:rPr>
          <w:rFonts w:eastAsia="Aptos" w:cs="Aptos"/>
        </w:rPr>
        <w:t xml:space="preserve">articipants, with large NDIS Plans being housed together and when the money runs out, the </w:t>
      </w:r>
      <w:r w:rsidR="00511514" w:rsidRPr="005B05B3">
        <w:rPr>
          <w:rFonts w:eastAsia="Aptos" w:cs="Aptos"/>
        </w:rPr>
        <w:t>p</w:t>
      </w:r>
      <w:r w:rsidRPr="005B05B3">
        <w:rPr>
          <w:rFonts w:eastAsia="Aptos" w:cs="Aptos"/>
        </w:rPr>
        <w:t>articipant is evicted, left homeless and removed from their community.</w:t>
      </w:r>
    </w:p>
    <w:p w14:paraId="42C502A8" w14:textId="6B8C2DEF" w:rsidR="70BFE1C4" w:rsidRPr="005B05B3" w:rsidRDefault="70BFE1C4" w:rsidP="62928BDE">
      <w:pPr>
        <w:spacing w:line="278" w:lineRule="auto"/>
        <w:ind w:left="720"/>
        <w:rPr>
          <w:rFonts w:eastAsia="Aptos" w:cs="Aptos"/>
        </w:rPr>
      </w:pPr>
      <w:r w:rsidRPr="00F352CC">
        <w:rPr>
          <w:rStyle w:val="QuoteChar"/>
          <w:rFonts w:ascii="Aptos" w:hAnsi="Aptos"/>
        </w:rPr>
        <w:t xml:space="preserve">A participant with a significant NDIS </w:t>
      </w:r>
      <w:r w:rsidR="004F338B" w:rsidRPr="00F352CC">
        <w:rPr>
          <w:rStyle w:val="QuoteChar"/>
          <w:rFonts w:ascii="Aptos" w:hAnsi="Aptos"/>
        </w:rPr>
        <w:t>p</w:t>
      </w:r>
      <w:r w:rsidRPr="00F352CC">
        <w:rPr>
          <w:rStyle w:val="QuoteChar"/>
          <w:rFonts w:ascii="Aptos" w:hAnsi="Aptos"/>
        </w:rPr>
        <w:t>lan (generally over $100,000) is approached by a business and offered a set-up that sounds terrific... The participant takes up the offer, and the resultant arrangements are not at all what they were promised. But now they are reliant on the provider, they generally have no access to a phone, and no idea who they could call anyway. They are moved to a house with many other people and the 1:1 supports don’t eventuate. Their NDIS funding is drained and they are evicted from the home because they no longer have funding to pay.</w:t>
      </w:r>
      <w:r w:rsidRPr="00F352CC">
        <w:rPr>
          <w:rStyle w:val="FootnoteReference"/>
        </w:rPr>
        <w:footnoteReference w:id="121"/>
      </w:r>
    </w:p>
    <w:p w14:paraId="62B4EC0E" w14:textId="5D67C3EC" w:rsidR="00BB1B69" w:rsidRPr="004B03C4" w:rsidRDefault="00BB1B69" w:rsidP="112CE13D">
      <w:pPr>
        <w:spacing w:line="278" w:lineRule="auto"/>
        <w:rPr>
          <w:rFonts w:eastAsia="Aptos" w:cs="Aptos"/>
        </w:rPr>
      </w:pPr>
      <w:r w:rsidRPr="005B05B3">
        <w:rPr>
          <w:rFonts w:eastAsia="Aptos" w:cs="Aptos"/>
        </w:rPr>
        <w:t>Group Homes and large accommodation settings are a modern tool for institutionalisation and segregation. The Taskforce has heard</w:t>
      </w:r>
      <w:r w:rsidR="002D5A07">
        <w:rPr>
          <w:rFonts w:eastAsia="Aptos" w:cs="Aptos"/>
        </w:rPr>
        <w:t>,</w:t>
      </w:r>
      <w:r w:rsidRPr="005B05B3">
        <w:rPr>
          <w:rFonts w:eastAsia="Aptos" w:cs="Aptos"/>
        </w:rPr>
        <w:t xml:space="preserve"> and learnt through </w:t>
      </w:r>
      <w:r w:rsidRPr="005B05B3">
        <w:rPr>
          <w:rFonts w:eastAsia="Aptos" w:cs="Aptos"/>
        </w:rPr>
        <w:lastRenderedPageBreak/>
        <w:t>inquiries before us, including the Disability Royal Commission</w:t>
      </w:r>
      <w:r w:rsidR="00397DB3" w:rsidRPr="005B05B3">
        <w:rPr>
          <w:rStyle w:val="FootnoteReference"/>
          <w:rFonts w:eastAsia="Aptos" w:cs="Aptos"/>
        </w:rPr>
        <w:footnoteReference w:id="122"/>
      </w:r>
      <w:r w:rsidR="002D5A07">
        <w:rPr>
          <w:rFonts w:eastAsia="Aptos" w:cs="Aptos"/>
        </w:rPr>
        <w:t>,</w:t>
      </w:r>
      <w:r w:rsidRPr="005B05B3">
        <w:rPr>
          <w:rFonts w:eastAsia="Aptos" w:cs="Aptos"/>
        </w:rPr>
        <w:t xml:space="preserve"> that people with disability living in </w:t>
      </w:r>
      <w:r w:rsidR="009B1E9B" w:rsidRPr="005B05B3">
        <w:rPr>
          <w:rFonts w:eastAsia="Aptos" w:cs="Aptos"/>
        </w:rPr>
        <w:t xml:space="preserve">many </w:t>
      </w:r>
      <w:r w:rsidR="004B7183" w:rsidRPr="005B05B3">
        <w:rPr>
          <w:rFonts w:eastAsia="Aptos" w:cs="Aptos"/>
        </w:rPr>
        <w:t>g</w:t>
      </w:r>
      <w:r w:rsidRPr="005B05B3">
        <w:rPr>
          <w:rFonts w:eastAsia="Aptos" w:cs="Aptos"/>
        </w:rPr>
        <w:t xml:space="preserve">roup </w:t>
      </w:r>
      <w:r w:rsidR="004B7183" w:rsidRPr="005B05B3">
        <w:rPr>
          <w:rFonts w:eastAsia="Aptos" w:cs="Aptos"/>
        </w:rPr>
        <w:t>h</w:t>
      </w:r>
      <w:r w:rsidRPr="005B05B3">
        <w:rPr>
          <w:rFonts w:eastAsia="Aptos" w:cs="Aptos"/>
        </w:rPr>
        <w:t xml:space="preserve">omes </w:t>
      </w:r>
      <w:r w:rsidR="009B1E9B" w:rsidRPr="005B05B3">
        <w:rPr>
          <w:rFonts w:eastAsia="Aptos" w:cs="Aptos"/>
        </w:rPr>
        <w:t>can</w:t>
      </w:r>
      <w:r w:rsidRPr="005B05B3">
        <w:rPr>
          <w:rFonts w:eastAsia="Aptos" w:cs="Aptos"/>
        </w:rPr>
        <w:t xml:space="preserve"> have little connection to community, are bereft of choice in their everyday lives including what they eat, where they go and what they do, </w:t>
      </w:r>
      <w:r w:rsidRPr="004B03C4">
        <w:rPr>
          <w:rFonts w:eastAsia="Aptos" w:cs="Aptos"/>
        </w:rPr>
        <w:t>and are often socialised together.</w:t>
      </w:r>
    </w:p>
    <w:p w14:paraId="7F73B5E9" w14:textId="4A9904C1" w:rsidR="00BB1B69" w:rsidRPr="005B05B3" w:rsidRDefault="004B03C4" w:rsidP="005B05B3">
      <w:pPr>
        <w:spacing w:line="278" w:lineRule="auto"/>
        <w:rPr>
          <w:rFonts w:eastAsia="Aptos" w:cs="Aptos"/>
        </w:rPr>
      </w:pPr>
      <w:r w:rsidRPr="004B03C4">
        <w:rPr>
          <w:rFonts w:eastAsia="Aptos" w:cs="Aptos"/>
        </w:rPr>
        <w:t>We heard from a</w:t>
      </w:r>
      <w:r w:rsidR="009B40E0" w:rsidRPr="004B03C4">
        <w:rPr>
          <w:rFonts w:eastAsia="Aptos" w:cs="Aptos"/>
        </w:rPr>
        <w:t xml:space="preserve"> NDIS P</w:t>
      </w:r>
      <w:r w:rsidR="004E6B1C" w:rsidRPr="004B03C4">
        <w:rPr>
          <w:rFonts w:eastAsia="Aptos" w:cs="Aptos"/>
        </w:rPr>
        <w:t>articipant</w:t>
      </w:r>
      <w:r w:rsidR="00E53DBD">
        <w:rPr>
          <w:rFonts w:eastAsia="Aptos" w:cs="Aptos"/>
        </w:rPr>
        <w:t xml:space="preserve"> who</w:t>
      </w:r>
      <w:r w:rsidR="004E6B1C" w:rsidRPr="004B03C4">
        <w:rPr>
          <w:rFonts w:eastAsia="Aptos" w:cs="Aptos"/>
        </w:rPr>
        <w:t xml:space="preserve"> </w:t>
      </w:r>
      <w:r w:rsidR="003757FC" w:rsidRPr="004B03C4">
        <w:rPr>
          <w:rFonts w:eastAsia="Aptos" w:cs="Aptos"/>
        </w:rPr>
        <w:t>stated that in the many years they</w:t>
      </w:r>
      <w:r w:rsidR="003757FC" w:rsidRPr="004B03C4">
        <w:t xml:space="preserve"> lived in </w:t>
      </w:r>
      <w:r w:rsidR="003757FC" w:rsidRPr="004B03C4">
        <w:rPr>
          <w:rFonts w:eastAsia="Aptos" w:cs="Aptos"/>
        </w:rPr>
        <w:t xml:space="preserve">a </w:t>
      </w:r>
      <w:r w:rsidR="007A111D" w:rsidRPr="004B03C4">
        <w:t>G</w:t>
      </w:r>
      <w:r w:rsidR="003757FC" w:rsidRPr="004B03C4">
        <w:t xml:space="preserve">roup </w:t>
      </w:r>
      <w:r w:rsidR="007A111D" w:rsidRPr="004B03C4">
        <w:rPr>
          <w:rFonts w:eastAsia="Aptos" w:cs="Aptos"/>
        </w:rPr>
        <w:t>H</w:t>
      </w:r>
      <w:r w:rsidR="003757FC" w:rsidRPr="004B03C4">
        <w:rPr>
          <w:rFonts w:eastAsia="Aptos" w:cs="Aptos"/>
        </w:rPr>
        <w:t xml:space="preserve">ome, they </w:t>
      </w:r>
      <w:r w:rsidR="008F1A75" w:rsidRPr="004B03C4">
        <w:t xml:space="preserve">were </w:t>
      </w:r>
      <w:r w:rsidR="008F1A75" w:rsidRPr="004B03C4">
        <w:rPr>
          <w:rFonts w:eastAsia="Aptos" w:cs="Aptos"/>
        </w:rPr>
        <w:t>subject to being yelled at</w:t>
      </w:r>
      <w:r w:rsidR="008F1A75" w:rsidRPr="004B03C4">
        <w:t xml:space="preserve">, hit and </w:t>
      </w:r>
      <w:r w:rsidR="008F1A75" w:rsidRPr="004B03C4">
        <w:rPr>
          <w:rFonts w:eastAsia="Aptos" w:cs="Aptos"/>
        </w:rPr>
        <w:t xml:space="preserve">pushed. </w:t>
      </w:r>
      <w:r w:rsidR="00C46AC7" w:rsidRPr="004B03C4">
        <w:rPr>
          <w:rFonts w:eastAsia="Aptos" w:cs="Aptos"/>
        </w:rPr>
        <w:t>They contrast</w:t>
      </w:r>
      <w:r w:rsidR="005E213F" w:rsidRPr="004B03C4">
        <w:rPr>
          <w:rFonts w:eastAsia="Aptos" w:cs="Aptos"/>
        </w:rPr>
        <w:t xml:space="preserve"> this </w:t>
      </w:r>
      <w:r w:rsidR="00733059" w:rsidRPr="004B03C4">
        <w:rPr>
          <w:rFonts w:eastAsia="Aptos" w:cs="Aptos"/>
        </w:rPr>
        <w:t>previous experience with their current</w:t>
      </w:r>
      <w:r w:rsidR="00733059" w:rsidRPr="004B03C4">
        <w:t xml:space="preserve"> support workers who </w:t>
      </w:r>
      <w:r w:rsidR="00B52A3F" w:rsidRPr="004B03C4">
        <w:t xml:space="preserve">are </w:t>
      </w:r>
      <w:r w:rsidR="00B52A3F" w:rsidRPr="004B03C4">
        <w:rPr>
          <w:rFonts w:eastAsia="Aptos" w:cs="Aptos"/>
        </w:rPr>
        <w:t xml:space="preserve">described as </w:t>
      </w:r>
      <w:r w:rsidR="00B52A3F" w:rsidRPr="004B03C4">
        <w:t>kind and considerate</w:t>
      </w:r>
      <w:r w:rsidR="00B52A3F" w:rsidRPr="004B03C4">
        <w:rPr>
          <w:rFonts w:eastAsia="Aptos" w:cs="Aptos"/>
        </w:rPr>
        <w:t xml:space="preserve">. The Participant </w:t>
      </w:r>
      <w:r w:rsidR="004E6B1C" w:rsidRPr="004B03C4">
        <w:rPr>
          <w:rFonts w:eastAsia="Aptos" w:cs="Aptos"/>
        </w:rPr>
        <w:t>stated the</w:t>
      </w:r>
      <w:r w:rsidR="00B52A3F" w:rsidRPr="004B03C4">
        <w:rPr>
          <w:rFonts w:eastAsia="Aptos" w:cs="Aptos"/>
        </w:rPr>
        <w:t>y now</w:t>
      </w:r>
      <w:r w:rsidR="00B52A3F" w:rsidRPr="004B03C4">
        <w:t xml:space="preserve"> have </w:t>
      </w:r>
      <w:r w:rsidR="00B52A3F" w:rsidRPr="004B03C4">
        <w:rPr>
          <w:rFonts w:eastAsia="Aptos" w:cs="Aptos"/>
        </w:rPr>
        <w:t xml:space="preserve">more </w:t>
      </w:r>
      <w:r w:rsidR="00B52A3F" w:rsidRPr="004B03C4">
        <w:t xml:space="preserve">control over </w:t>
      </w:r>
      <w:r w:rsidR="00B52A3F" w:rsidRPr="004B03C4">
        <w:rPr>
          <w:rFonts w:eastAsia="Aptos" w:cs="Aptos"/>
        </w:rPr>
        <w:t>their</w:t>
      </w:r>
      <w:r w:rsidR="00B52A3F" w:rsidRPr="004B03C4">
        <w:t xml:space="preserve"> life </w:t>
      </w:r>
      <w:r w:rsidR="00E07005" w:rsidRPr="004B03C4">
        <w:rPr>
          <w:rFonts w:eastAsia="Aptos" w:cs="Aptos"/>
        </w:rPr>
        <w:t>because their support workers are directly employed.</w:t>
      </w:r>
      <w:r w:rsidR="00BB1B69" w:rsidRPr="004B03C4">
        <w:rPr>
          <w:rStyle w:val="FootnoteReference"/>
          <w:rFonts w:eastAsia="Aptos" w:cs="Aptos"/>
        </w:rPr>
        <w:footnoteReference w:id="123"/>
      </w:r>
    </w:p>
    <w:p w14:paraId="5FEA1967" w14:textId="48FF6DA2" w:rsidR="00BB1B69" w:rsidRPr="005B05B3" w:rsidRDefault="00FA1932" w:rsidP="00BB1B69">
      <w:pPr>
        <w:spacing w:line="278" w:lineRule="auto"/>
        <w:rPr>
          <w:rFonts w:eastAsia="Aptos" w:cs="Aptos"/>
        </w:rPr>
      </w:pPr>
      <w:r w:rsidRPr="005B05B3">
        <w:rPr>
          <w:rFonts w:eastAsia="Aptos" w:cs="Aptos"/>
        </w:rPr>
        <w:t>The Disability Royal Commission heard evidence that these settings present unique barriers to self</w:t>
      </w:r>
      <w:r w:rsidR="002B7B1F" w:rsidRPr="005B05B3">
        <w:rPr>
          <w:rFonts w:eastAsia="Aptos" w:cs="Aptos"/>
        </w:rPr>
        <w:t>-advocacy</w:t>
      </w:r>
      <w:r w:rsidR="00B90265" w:rsidRPr="005B05B3">
        <w:rPr>
          <w:rStyle w:val="FootnoteReference"/>
          <w:rFonts w:eastAsia="Aptos" w:cs="Aptos"/>
        </w:rPr>
        <w:footnoteReference w:id="124"/>
      </w:r>
      <w:r w:rsidR="001842BF" w:rsidRPr="005B05B3">
        <w:rPr>
          <w:rFonts w:eastAsia="Aptos" w:cs="Aptos"/>
        </w:rPr>
        <w:t>, informal support networks</w:t>
      </w:r>
      <w:r w:rsidR="00E046D1" w:rsidRPr="005B05B3">
        <w:rPr>
          <w:rStyle w:val="FootnoteReference"/>
          <w:rFonts w:eastAsia="Aptos" w:cs="Aptos"/>
        </w:rPr>
        <w:footnoteReference w:id="125"/>
      </w:r>
      <w:r w:rsidR="00504644" w:rsidRPr="005B05B3">
        <w:rPr>
          <w:rFonts w:eastAsia="Aptos" w:cs="Aptos"/>
        </w:rPr>
        <w:t>, and independent advocacy services.</w:t>
      </w:r>
      <w:r w:rsidR="0000107F" w:rsidRPr="005B05B3">
        <w:rPr>
          <w:rStyle w:val="FootnoteReference"/>
          <w:rFonts w:eastAsia="Aptos" w:cs="Aptos"/>
        </w:rPr>
        <w:footnoteReference w:id="126"/>
      </w:r>
      <w:r w:rsidR="00012EC8" w:rsidRPr="005B05B3">
        <w:rPr>
          <w:rFonts w:eastAsia="Aptos" w:cs="Aptos"/>
        </w:rPr>
        <w:t xml:space="preserve"> T</w:t>
      </w:r>
      <w:r w:rsidR="00BB1B69" w:rsidRPr="005B05B3">
        <w:rPr>
          <w:rFonts w:eastAsia="Aptos" w:cs="Aptos"/>
        </w:rPr>
        <w:t>his extreme level of isolation is risk of the highest order and has no place in modern service delivery. The Taskforce acknowledges that some people with disability require significant care and support. However, this care and support must be provided in accordance with that person’s wishes, preferences and needs and take a human rights approach.</w:t>
      </w:r>
    </w:p>
    <w:p w14:paraId="65FECAC3" w14:textId="224C41E8" w:rsidR="00BB1B69" w:rsidRPr="005B05B3" w:rsidRDefault="00BB1B69">
      <w:pPr>
        <w:spacing w:line="278" w:lineRule="auto"/>
        <w:rPr>
          <w:rFonts w:eastAsia="Aptos" w:cs="Aptos"/>
        </w:rPr>
      </w:pPr>
      <w:r w:rsidRPr="005B05B3">
        <w:rPr>
          <w:rFonts w:eastAsia="Aptos" w:cs="Aptos"/>
        </w:rPr>
        <w:t xml:space="preserve"> </w:t>
      </w:r>
      <w:r w:rsidR="42A76EE3" w:rsidRPr="005B05B3">
        <w:rPr>
          <w:rFonts w:eastAsia="Aptos" w:cs="Aptos"/>
        </w:rPr>
        <w:t xml:space="preserve">Given these concerns, the Taskforce recommends that all </w:t>
      </w:r>
      <w:r w:rsidR="3B7A92A1" w:rsidRPr="005B05B3">
        <w:rPr>
          <w:rFonts w:eastAsia="Aptos" w:cs="Aptos"/>
        </w:rPr>
        <w:t xml:space="preserve">SIL and home and living supports should be seen as requiring registration as a matter of urgency (within 12 months). This can be done under the existing framework and </w:t>
      </w:r>
      <w:r w:rsidR="009B1E9B" w:rsidRPr="005B05B3">
        <w:rPr>
          <w:rFonts w:eastAsia="Aptos" w:cs="Aptos"/>
        </w:rPr>
        <w:t>must</w:t>
      </w:r>
      <w:r w:rsidR="3B7A92A1" w:rsidRPr="005B05B3">
        <w:rPr>
          <w:rFonts w:eastAsia="Aptos" w:cs="Aptos"/>
        </w:rPr>
        <w:t xml:space="preserve"> not wait for new arrangements to be developed.</w:t>
      </w:r>
    </w:p>
    <w:p w14:paraId="47119187" w14:textId="4F398F9A" w:rsidR="00BB1B69" w:rsidRPr="005B05B3" w:rsidRDefault="455253DB" w:rsidP="00BB1B69">
      <w:pPr>
        <w:spacing w:line="278" w:lineRule="auto"/>
        <w:rPr>
          <w:rFonts w:eastAsia="Aptos" w:cs="Aptos"/>
        </w:rPr>
      </w:pPr>
      <w:r w:rsidRPr="005B05B3">
        <w:rPr>
          <w:rFonts w:eastAsia="Aptos" w:cs="Aptos"/>
        </w:rPr>
        <w:t xml:space="preserve">Further, </w:t>
      </w:r>
      <w:r w:rsidR="7F1347EF" w:rsidRPr="005B05B3">
        <w:rPr>
          <w:rFonts w:eastAsia="Aptos" w:cs="Aptos"/>
        </w:rPr>
        <w:t xml:space="preserve">under the proposed model, </w:t>
      </w:r>
      <w:r w:rsidR="7B4D9AB7" w:rsidRPr="005B05B3">
        <w:rPr>
          <w:rFonts w:eastAsia="Aptos" w:cs="Aptos"/>
        </w:rPr>
        <w:t>in</w:t>
      </w:r>
      <w:r w:rsidR="00BB1B69" w:rsidRPr="005B05B3">
        <w:rPr>
          <w:rFonts w:eastAsia="Aptos" w:cs="Aptos"/>
        </w:rPr>
        <w:t xml:space="preserve"> addition to the Provider Obligations which will apply to all Group Home </w:t>
      </w:r>
      <w:r w:rsidR="009E7FDE" w:rsidRPr="005B05B3">
        <w:rPr>
          <w:rFonts w:eastAsia="Aptos" w:cs="Aptos"/>
        </w:rPr>
        <w:t>p</w:t>
      </w:r>
      <w:r w:rsidR="00BB1B69" w:rsidRPr="005B05B3">
        <w:rPr>
          <w:rFonts w:eastAsia="Aptos" w:cs="Aptos"/>
        </w:rPr>
        <w:t xml:space="preserve">roviders, </w:t>
      </w:r>
      <w:r w:rsidR="001B5AC5" w:rsidRPr="005B05B3">
        <w:rPr>
          <w:rFonts w:eastAsia="Aptos" w:cs="Aptos"/>
        </w:rPr>
        <w:t>SIL P</w:t>
      </w:r>
      <w:r w:rsidR="00BB1B69" w:rsidRPr="005B05B3">
        <w:rPr>
          <w:rFonts w:eastAsia="Aptos" w:cs="Aptos"/>
        </w:rPr>
        <w:t>roviders will be subject to unannounced visits and the NDIS Commission will have a statutory right to entry</w:t>
      </w:r>
      <w:r w:rsidR="218761FE" w:rsidRPr="005B05B3">
        <w:rPr>
          <w:rFonts w:eastAsia="Aptos" w:cs="Aptos"/>
        </w:rPr>
        <w:t xml:space="preserve"> to </w:t>
      </w:r>
      <w:r w:rsidR="003F0D40" w:rsidRPr="005B05B3">
        <w:rPr>
          <w:rFonts w:eastAsia="Aptos" w:cs="Aptos"/>
        </w:rPr>
        <w:t>G</w:t>
      </w:r>
      <w:r w:rsidR="218761FE" w:rsidRPr="005B05B3">
        <w:rPr>
          <w:rFonts w:eastAsia="Aptos" w:cs="Aptos"/>
        </w:rPr>
        <w:t xml:space="preserve">roup </w:t>
      </w:r>
      <w:r w:rsidR="003F0D40" w:rsidRPr="005B05B3">
        <w:rPr>
          <w:rFonts w:eastAsia="Aptos" w:cs="Aptos"/>
        </w:rPr>
        <w:t>H</w:t>
      </w:r>
      <w:r w:rsidR="218761FE" w:rsidRPr="005B05B3">
        <w:rPr>
          <w:rFonts w:eastAsia="Aptos" w:cs="Aptos"/>
        </w:rPr>
        <w:t>omes</w:t>
      </w:r>
      <w:r w:rsidR="00BB1B69" w:rsidRPr="005B05B3">
        <w:rPr>
          <w:rFonts w:eastAsia="Aptos" w:cs="Aptos"/>
        </w:rPr>
        <w:t xml:space="preserve">. Increasing the external supervision of these providers is important to endeavour to counteract some of the isolation </w:t>
      </w:r>
      <w:r w:rsidR="009B1E9B" w:rsidRPr="005B05B3">
        <w:rPr>
          <w:rFonts w:eastAsia="Aptos" w:cs="Aptos"/>
        </w:rPr>
        <w:t xml:space="preserve">that can be </w:t>
      </w:r>
      <w:r w:rsidR="00BB1B69" w:rsidRPr="005B05B3">
        <w:rPr>
          <w:rFonts w:eastAsia="Aptos" w:cs="Aptos"/>
        </w:rPr>
        <w:t>built into the service model.</w:t>
      </w:r>
    </w:p>
    <w:p w14:paraId="0477A0D8" w14:textId="77777777" w:rsidR="00D44C32" w:rsidRPr="005B05B3" w:rsidRDefault="00D44C32"/>
    <w:p w14:paraId="6D6321BB" w14:textId="393CEBF9" w:rsidR="00D44C32" w:rsidRPr="005B05B3" w:rsidRDefault="00D44C32">
      <w:pPr>
        <w:sectPr w:rsidR="00D44C32" w:rsidRPr="005B05B3" w:rsidSect="009922F4">
          <w:headerReference w:type="default" r:id="rId28"/>
          <w:headerReference w:type="first" r:id="rId29"/>
          <w:pgSz w:w="11906" w:h="16838"/>
          <w:pgMar w:top="1769" w:right="1252" w:bottom="1177" w:left="1440" w:header="907" w:footer="709" w:gutter="0"/>
          <w:cols w:space="708"/>
          <w:titlePg/>
          <w:docGrid w:linePitch="360"/>
        </w:sectPr>
      </w:pPr>
    </w:p>
    <w:bookmarkStart w:id="66" w:name="_Toc170128743"/>
    <w:bookmarkStart w:id="67" w:name="_Toc173318063"/>
    <w:p w14:paraId="451BFD4B" w14:textId="18E14D94" w:rsidR="007C5663" w:rsidRPr="005B05B3" w:rsidRDefault="00EF5EFC" w:rsidP="00426684">
      <w:pPr>
        <w:pStyle w:val="Heading1"/>
      </w:pPr>
      <w:r w:rsidRPr="005B05B3">
        <w:rPr>
          <w:noProof/>
        </w:rPr>
        <w:lastRenderedPageBreak/>
        <mc:AlternateContent>
          <mc:Choice Requires="wps">
            <w:drawing>
              <wp:anchor distT="0" distB="0" distL="114300" distR="114300" simplePos="0" relativeHeight="251655174" behindDoc="1" locked="0" layoutInCell="1" allowOverlap="1" wp14:anchorId="3DC2BF99" wp14:editId="4C95EE4E">
                <wp:simplePos x="0" y="0"/>
                <wp:positionH relativeFrom="column">
                  <wp:posOffset>-115747</wp:posOffset>
                </wp:positionH>
                <wp:positionV relativeFrom="paragraph">
                  <wp:posOffset>612888</wp:posOffset>
                </wp:positionV>
                <wp:extent cx="6143625" cy="3854369"/>
                <wp:effectExtent l="0" t="0" r="3175" b="0"/>
                <wp:wrapNone/>
                <wp:docPr id="1072926443"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3625" cy="3854369"/>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24C88" id="Rectangle 10" o:spid="_x0000_s1026" alt="&quot;&quot;" style="position:absolute;margin-left:-9.1pt;margin-top:48.25pt;width:483.75pt;height:303.5pt;z-index:-251661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" fillcolor="#e8e8e8 [3214]" stroked="f" strokeweight="1pt"/>
            </w:pict>
          </mc:Fallback>
        </mc:AlternateContent>
      </w:r>
      <w:r w:rsidR="47224623" w:rsidRPr="005B05B3">
        <w:t xml:space="preserve">Scope of self-directed </w:t>
      </w:r>
      <w:bookmarkEnd w:id="66"/>
      <w:r w:rsidR="47224623" w:rsidRPr="005B05B3">
        <w:t>supports</w:t>
      </w:r>
      <w:bookmarkEnd w:id="67"/>
    </w:p>
    <w:p w14:paraId="29772042" w14:textId="74E539A4" w:rsidR="00F13B16" w:rsidRPr="005B05B3" w:rsidRDefault="00F13B16" w:rsidP="00F13B16">
      <w:pPr>
        <w:spacing w:before="240" w:after="0" w:line="276" w:lineRule="auto"/>
        <w:jc w:val="both"/>
        <w:rPr>
          <w:b/>
          <w:bCs/>
          <w:noProof/>
        </w:rPr>
      </w:pPr>
      <w:r w:rsidRPr="005B05B3">
        <w:rPr>
          <w:b/>
          <w:bCs/>
          <w:noProof/>
        </w:rPr>
        <w:t xml:space="preserve">Recommendation </w:t>
      </w:r>
      <w:r w:rsidR="00E73511" w:rsidRPr="005B05B3">
        <w:rPr>
          <w:b/>
          <w:bCs/>
          <w:noProof/>
        </w:rPr>
        <w:t>6</w:t>
      </w:r>
    </w:p>
    <w:p w14:paraId="5A1D4C6E" w14:textId="322EECC6" w:rsidR="00F13B16" w:rsidRPr="005B05B3" w:rsidRDefault="00F13B16" w:rsidP="00F13B16">
      <w:pPr>
        <w:spacing w:after="0" w:line="276" w:lineRule="auto"/>
      </w:pPr>
      <w:r w:rsidRPr="005B05B3">
        <w:t>There should be mechanisms put in place to support arrangements for self-directed supports. A process should be developed whereby the participant will register themselves for self-directed supports, and thereby all their support providers would then also automatically become registered and visible.</w:t>
      </w:r>
    </w:p>
    <w:p w14:paraId="6E94CFC8" w14:textId="5CB3F301" w:rsidR="00EF5EFC" w:rsidRPr="005B05B3" w:rsidRDefault="00F13B16" w:rsidP="002D6AB8">
      <w:pPr>
        <w:pStyle w:val="ListParagraph"/>
        <w:numPr>
          <w:ilvl w:val="1"/>
          <w:numId w:val="46"/>
        </w:numPr>
        <w:spacing w:after="0" w:line="276" w:lineRule="auto"/>
        <w:ind w:left="993"/>
        <w:jc w:val="both"/>
        <w:rPr>
          <w:rFonts w:eastAsia="Aptos"/>
          <w:color w:val="auto"/>
        </w:rPr>
      </w:pPr>
      <w:r w:rsidRPr="005B05B3">
        <w:rPr>
          <w:rFonts w:eastAsia="Aptos"/>
          <w:color w:val="auto"/>
        </w:rPr>
        <w:t>The process of registration of self-directed supports should be co-designed with people with a disability.</w:t>
      </w:r>
    </w:p>
    <w:p w14:paraId="2C25A9A4" w14:textId="4D9E0624" w:rsidR="00F13B16" w:rsidRPr="006D578D" w:rsidRDefault="00F13B16" w:rsidP="001879E5">
      <w:pPr>
        <w:pStyle w:val="ListParagraph"/>
        <w:numPr>
          <w:ilvl w:val="1"/>
          <w:numId w:val="46"/>
        </w:numPr>
        <w:spacing w:line="276" w:lineRule="auto"/>
        <w:ind w:left="993"/>
        <w:jc w:val="both"/>
        <w:rPr>
          <w:rFonts w:eastAsia="Aptos"/>
          <w:color w:val="auto"/>
        </w:rPr>
      </w:pPr>
      <w:r w:rsidRPr="006D578D">
        <w:rPr>
          <w:rFonts w:eastAsia="Aptos"/>
          <w:color w:val="auto"/>
        </w:rPr>
        <w:t>Self-directed supports would sit in a new category within the registration categories but would also be subject to review and auditing consistent with arrangements for other service providers</w:t>
      </w:r>
      <w:r w:rsidR="00BA4F41" w:rsidRPr="006D578D">
        <w:rPr>
          <w:rFonts w:eastAsia="Aptos"/>
          <w:color w:val="auto"/>
        </w:rPr>
        <w:t>, except for the evaluation of Practice Standards which do not apply to self-directed supports</w:t>
      </w:r>
      <w:r w:rsidRPr="006D578D">
        <w:rPr>
          <w:rFonts w:eastAsia="Aptos"/>
          <w:color w:val="auto"/>
        </w:rPr>
        <w:t>.</w:t>
      </w:r>
      <w:r w:rsidR="00EF5EFC" w:rsidRPr="006D578D">
        <w:rPr>
          <w:rFonts w:eastAsia="Aptos"/>
          <w:color w:val="auto"/>
        </w:rPr>
        <w:t xml:space="preserve"> These approaches need to be co-designed with people with disability.</w:t>
      </w:r>
    </w:p>
    <w:p w14:paraId="3BE9CFB8" w14:textId="50AB66C0" w:rsidR="00F13B16" w:rsidRPr="005B05B3" w:rsidRDefault="00F13B16" w:rsidP="00D3193E">
      <w:pPr>
        <w:spacing w:after="0" w:line="278" w:lineRule="auto"/>
        <w:rPr>
          <w:b/>
          <w:bCs/>
        </w:rPr>
      </w:pPr>
      <w:r w:rsidRPr="005B05B3">
        <w:rPr>
          <w:b/>
          <w:bCs/>
        </w:rPr>
        <w:t xml:space="preserve">Recommendation </w:t>
      </w:r>
      <w:r w:rsidR="00EB0C4C" w:rsidRPr="005B05B3">
        <w:rPr>
          <w:b/>
          <w:bCs/>
        </w:rPr>
        <w:t>7</w:t>
      </w:r>
    </w:p>
    <w:p w14:paraId="7D24BA87" w14:textId="09AAAF9A" w:rsidR="00F13B16" w:rsidRPr="005B05B3" w:rsidRDefault="00441FCA" w:rsidP="00E23341">
      <w:pPr>
        <w:spacing w:line="278" w:lineRule="auto"/>
        <w:rPr>
          <w:rFonts w:eastAsia="Aptos" w:cs="Aptos"/>
          <w:b/>
          <w:bCs/>
        </w:rPr>
      </w:pPr>
      <w:r w:rsidRPr="005B05B3">
        <w:t xml:space="preserve">The Australian </w:t>
      </w:r>
      <w:r w:rsidR="00F13B16" w:rsidRPr="005B05B3">
        <w:t>Government should invest in offering peer support and capacity building programs to engage in the NDIS regulatory framework, including for participants who self-direct their supports.</w:t>
      </w:r>
    </w:p>
    <w:p w14:paraId="3CBA4861" w14:textId="77777777" w:rsidR="00E23341" w:rsidRPr="005B05B3" w:rsidRDefault="00E23341" w:rsidP="00AB3D19">
      <w:pPr>
        <w:spacing w:before="480" w:after="120" w:line="278" w:lineRule="auto"/>
        <w:rPr>
          <w:rFonts w:eastAsia="Aptos" w:cs="Aptos"/>
        </w:rPr>
      </w:pPr>
      <w:r w:rsidRPr="005B05B3">
        <w:rPr>
          <w:rFonts w:eastAsia="Aptos" w:cs="Aptos"/>
        </w:rPr>
        <w:t>The Minister has sought our advice on key design elements and implementation of new regulatory arrangements, including the</w:t>
      </w:r>
      <w:r w:rsidRPr="005B05B3">
        <w:rPr>
          <w:rFonts w:eastAsia="Arial" w:cs="Arial"/>
          <w:color w:val="2C2A29"/>
          <w:sz w:val="20"/>
          <w:szCs w:val="20"/>
        </w:rPr>
        <w:t xml:space="preserve"> </w:t>
      </w:r>
      <w:r w:rsidRPr="005B05B3">
        <w:rPr>
          <w:rFonts w:eastAsiaTheme="minorEastAsia" w:cstheme="minorBidi"/>
        </w:rPr>
        <w:t>Provider Risk Framework, so that those arrangements:</w:t>
      </w:r>
    </w:p>
    <w:p w14:paraId="51779079" w14:textId="403EB9A6" w:rsidR="00E23341" w:rsidRPr="005B05B3" w:rsidRDefault="00E34B16" w:rsidP="002D6AB8">
      <w:pPr>
        <w:pStyle w:val="ListParagraph"/>
        <w:numPr>
          <w:ilvl w:val="0"/>
          <w:numId w:val="8"/>
        </w:numPr>
        <w:shd w:val="clear" w:color="auto" w:fill="FFFFFF" w:themeFill="background1"/>
        <w:spacing w:after="0" w:line="279" w:lineRule="auto"/>
        <w:ind w:left="709"/>
        <w:rPr>
          <w:rFonts w:eastAsia="Aptos" w:cs="Aptos"/>
        </w:rPr>
      </w:pPr>
      <w:r w:rsidRPr="005B05B3">
        <w:rPr>
          <w:rFonts w:eastAsiaTheme="minorEastAsia" w:cstheme="minorBidi"/>
        </w:rPr>
        <w:t>u</w:t>
      </w:r>
      <w:r w:rsidR="00E23341" w:rsidRPr="005B05B3">
        <w:rPr>
          <w:rFonts w:eastAsiaTheme="minorEastAsia" w:cstheme="minorBidi"/>
        </w:rPr>
        <w:t>phold the rights of people with disability including to determine their own best interests, improving their ability to exercise choice and control over the providers that they use, and this is central to design of the new regulatory model</w:t>
      </w:r>
    </w:p>
    <w:p w14:paraId="72EE46A0" w14:textId="5859AE8F" w:rsidR="00E23341" w:rsidRPr="005B05B3" w:rsidRDefault="00E34B16" w:rsidP="002D6AB8">
      <w:pPr>
        <w:pStyle w:val="ListParagraph"/>
        <w:numPr>
          <w:ilvl w:val="0"/>
          <w:numId w:val="8"/>
        </w:numPr>
        <w:shd w:val="clear" w:color="auto" w:fill="FFFFFF" w:themeFill="background1"/>
        <w:spacing w:after="0" w:line="279" w:lineRule="auto"/>
        <w:ind w:left="709"/>
        <w:rPr>
          <w:rFonts w:eastAsia="Aptos" w:cs="Aptos"/>
        </w:rPr>
      </w:pPr>
      <w:r w:rsidRPr="005B05B3">
        <w:rPr>
          <w:rFonts w:eastAsiaTheme="minorEastAsia" w:cstheme="minorBidi"/>
        </w:rPr>
        <w:t>e</w:t>
      </w:r>
      <w:r w:rsidR="00E23341" w:rsidRPr="005B05B3">
        <w:rPr>
          <w:rFonts w:eastAsiaTheme="minorEastAsia" w:cstheme="minorBidi"/>
        </w:rPr>
        <w:t>nable people who are self-managing in the NDIS and employing and engaging their own workers and providers to continue to do so</w:t>
      </w:r>
      <w:r w:rsidR="00E23341" w:rsidRPr="005B05B3">
        <w:rPr>
          <w:rFonts w:eastAsiaTheme="minorEastAsia" w:cstheme="minorBidi"/>
          <w:lang w:eastAsia="ja-JP"/>
        </w:rPr>
        <w:t>.</w:t>
      </w:r>
    </w:p>
    <w:p w14:paraId="65A15876" w14:textId="25A4A7BE" w:rsidR="00E23341" w:rsidRPr="005B05B3" w:rsidRDefault="00E23341" w:rsidP="00AB54EA">
      <w:pPr>
        <w:shd w:val="clear" w:color="auto" w:fill="FFFFFF" w:themeFill="background1"/>
        <w:spacing w:before="120" w:after="0"/>
        <w:rPr>
          <w:rFonts w:eastAsia="Aptos" w:cs="Aptos"/>
        </w:rPr>
      </w:pPr>
      <w:r w:rsidRPr="005B05B3">
        <w:rPr>
          <w:rFonts w:eastAsia="Aptos" w:cs="Aptos"/>
        </w:rPr>
        <w:t>Self-directed supports are fundamental to upholding the rights of people with disability and describe those employing and engaging their own workers and providers. This Chapter provides specific advice on ensuring those arrangements can continue in the new regulatory arrangements.</w:t>
      </w:r>
    </w:p>
    <w:p w14:paraId="79CBA1AC" w14:textId="77777777" w:rsidR="00E23341" w:rsidRPr="00DC1BCE" w:rsidRDefault="1642DCF8" w:rsidP="003D35AB">
      <w:pPr>
        <w:spacing w:before="360" w:after="120"/>
        <w:rPr>
          <w:color w:val="0D2B58"/>
          <w:sz w:val="32"/>
          <w:szCs w:val="32"/>
        </w:rPr>
      </w:pPr>
      <w:bookmarkStart w:id="68" w:name="_Toc170128744"/>
      <w:bookmarkStart w:id="69" w:name="_Toc170808361"/>
      <w:bookmarkStart w:id="70" w:name="_Toc170919685"/>
      <w:r w:rsidRPr="00DC1BCE">
        <w:rPr>
          <w:color w:val="0D2B58"/>
          <w:sz w:val="32"/>
          <w:szCs w:val="32"/>
        </w:rPr>
        <w:t>An introduction to self-directed supports: an international perspective</w:t>
      </w:r>
      <w:bookmarkEnd w:id="68"/>
      <w:bookmarkEnd w:id="69"/>
      <w:bookmarkEnd w:id="70"/>
    </w:p>
    <w:p w14:paraId="51F820D1" w14:textId="770D91C1" w:rsidR="00B50F56" w:rsidRPr="005B05B3" w:rsidRDefault="00E23341" w:rsidP="00E23341">
      <w:r w:rsidRPr="005B05B3">
        <w:t>Article 19 of the</w:t>
      </w:r>
      <w:r w:rsidR="00C65F99" w:rsidRPr="005B05B3">
        <w:rPr>
          <w:rFonts w:cs="Arial"/>
          <w:color w:val="040C28"/>
          <w:sz w:val="30"/>
          <w:szCs w:val="30"/>
        </w:rPr>
        <w:t xml:space="preserve"> </w:t>
      </w:r>
      <w:r w:rsidRPr="005B05B3">
        <w:t>UN</w:t>
      </w:r>
      <w:r w:rsidR="006A3FB8" w:rsidRPr="005B05B3">
        <w:t xml:space="preserve"> </w:t>
      </w:r>
      <w:r w:rsidRPr="005B05B3">
        <w:t xml:space="preserve">CRPD enshrines the right for people with disability to live independently and be included in the community. The CRPD Committee observe that people with disability are often presumed unable to do so based on misconceptions </w:t>
      </w:r>
      <w:r w:rsidR="00AE18BE" w:rsidRPr="005B05B3">
        <w:lastRenderedPageBreak/>
        <w:t>‘</w:t>
      </w:r>
      <w:r w:rsidRPr="005B05B3">
        <w:t>including that they lack the ability to make sound decisions for themselves and that, therefore, society needs to protect them.</w:t>
      </w:r>
      <w:r w:rsidR="00AE18BE" w:rsidRPr="005B05B3">
        <w:t>’</w:t>
      </w:r>
      <w:r w:rsidRPr="005B05B3">
        <w:rPr>
          <w:rStyle w:val="FootnoteReference"/>
        </w:rPr>
        <w:footnoteReference w:id="127"/>
      </w:r>
      <w:r w:rsidRPr="005B05B3">
        <w:t xml:space="preserve"> Article 19 aims to prevent institutionalisation and segregation in domestic settings through the promotion of enabling inclusive environments for all, and the abolishment of legal provisions that deprive persons with disability of choice by forcing them to live in institutions or other segregated settings.</w:t>
      </w:r>
      <w:r w:rsidRPr="005B05B3">
        <w:rPr>
          <w:rStyle w:val="FootnoteReference"/>
        </w:rPr>
        <w:footnoteReference w:id="128"/>
      </w:r>
      <w:r w:rsidRPr="005B05B3">
        <w:t xml:space="preserve"> </w:t>
      </w:r>
    </w:p>
    <w:p w14:paraId="14063886" w14:textId="59797353" w:rsidR="00E23341" w:rsidRPr="005B05B3" w:rsidRDefault="00E23341" w:rsidP="00E23341">
      <w:r w:rsidRPr="005B05B3">
        <w:t xml:space="preserve">While Australia undertook significant programs to deinstitutionalise people with disability from large-form institutions to community-based living options, it is important to recognise that institutionalisation can differ from one context to another and is not limited to where people with disability are required to live in large group environments. The UN CRPD Committee observe that common elements that define institutionalisation </w:t>
      </w:r>
      <w:r w:rsidR="00AE18BE" w:rsidRPr="005B05B3">
        <w:t>‘</w:t>
      </w:r>
      <w:r w:rsidRPr="005B05B3">
        <w:t>include: isolation and segregation from community life; lack of control over day-to-day decisions; rigidity of routine, irrespective of personal preferences or needs; identical activities in the same place for a group of persons under a central authority; a paternalistic approach in the approach in the provision of services; supervision of living arrangements without consent and disproportion in the number of persons with disabilities living in the same environment.</w:t>
      </w:r>
      <w:r w:rsidR="00863843">
        <w:t>’</w:t>
      </w:r>
      <w:r w:rsidR="00AE18BE" w:rsidRPr="005B05B3">
        <w:t>’</w:t>
      </w:r>
      <w:r w:rsidRPr="005B05B3">
        <w:rPr>
          <w:rStyle w:val="FootnoteReference"/>
        </w:rPr>
        <w:footnoteReference w:id="129"/>
      </w:r>
      <w:r w:rsidRPr="005B05B3">
        <w:t xml:space="preserve"> Institutionalisation, including as described by the UN CRPD Committee is incompatible with Article 19 and Australia, as a State Party to the UN CRPD has an obligation to make alternatives available. The UN CRPD Committee explain that deinstitutionalisation entails a shift of reclaiming of ‘control over one’s life</w:t>
      </w:r>
      <w:r w:rsidR="0077198E" w:rsidRPr="005B05B3">
        <w:t>’</w:t>
      </w:r>
      <w:r w:rsidRPr="005B05B3">
        <w:t xml:space="preserve"> and requires that individualised support services (art 19(b)) be provided to, and mainstream services and facilities be made available for and access to, persons with disabilities</w:t>
      </w:r>
      <w:r w:rsidR="007E02E4">
        <w:t>.</w:t>
      </w:r>
      <w:r w:rsidRPr="005B05B3">
        <w:t>’</w:t>
      </w:r>
      <w:r w:rsidRPr="005B05B3">
        <w:rPr>
          <w:rStyle w:val="FootnoteReference"/>
        </w:rPr>
        <w:footnoteReference w:id="130"/>
      </w:r>
      <w:r w:rsidRPr="005B05B3">
        <w:t xml:space="preserve"> Support services are ‘an indispensable element’ of deinstitutionalisation.</w:t>
      </w:r>
      <w:r w:rsidRPr="005B05B3">
        <w:rPr>
          <w:rStyle w:val="FootnoteReference"/>
        </w:rPr>
        <w:footnoteReference w:id="131"/>
      </w:r>
      <w:r w:rsidRPr="005B05B3">
        <w:t xml:space="preserve"> The UN CRPD Committee have been clear that ‘support provided in segregated settings to continue institutionalisation is therefore not compliant with the Convention</w:t>
      </w:r>
      <w:r w:rsidR="00863843">
        <w:t>’</w:t>
      </w:r>
      <w:r w:rsidRPr="005B05B3">
        <w:rPr>
          <w:rStyle w:val="FootnoteReference"/>
        </w:rPr>
        <w:footnoteReference w:id="132"/>
      </w:r>
      <w:r w:rsidRPr="005B05B3">
        <w:t>, and relevant to our task, the Committee explains:</w:t>
      </w:r>
    </w:p>
    <w:p w14:paraId="4DB33BE1" w14:textId="117834A2" w:rsidR="00E23341" w:rsidRPr="005B05B3" w:rsidRDefault="00AE18BE" w:rsidP="00E23341">
      <w:pPr>
        <w:ind w:left="720"/>
        <w:rPr>
          <w:i/>
        </w:rPr>
      </w:pPr>
      <w:r w:rsidRPr="00F352CC">
        <w:rPr>
          <w:i/>
          <w:iCs/>
        </w:rPr>
        <w:t>‘</w:t>
      </w:r>
      <w:r w:rsidR="00E23341" w:rsidRPr="00F352CC">
        <w:rPr>
          <w:i/>
        </w:rPr>
        <w:t xml:space="preserve">No single option of support fits in all contexts. Therefore, </w:t>
      </w:r>
      <w:r w:rsidR="002341E6">
        <w:rPr>
          <w:i/>
        </w:rPr>
        <w:t>A</w:t>
      </w:r>
      <w:r w:rsidR="00E23341" w:rsidRPr="00F352CC">
        <w:rPr>
          <w:i/>
        </w:rPr>
        <w:t xml:space="preserve">rticle 19(b) include reference to a range of services that can involve different providers. There are, however, certain criteria that need to be met based on the principle that support is intended by </w:t>
      </w:r>
      <w:r w:rsidR="002341E6">
        <w:rPr>
          <w:i/>
        </w:rPr>
        <w:t>A</w:t>
      </w:r>
      <w:r w:rsidR="00E23341" w:rsidRPr="00F352CC">
        <w:rPr>
          <w:i/>
        </w:rPr>
        <w:t xml:space="preserve">rticle 19 implies a shift from </w:t>
      </w:r>
      <w:r w:rsidRPr="00F352CC">
        <w:rPr>
          <w:i/>
        </w:rPr>
        <w:t>‘</w:t>
      </w:r>
      <w:r w:rsidR="00E23341" w:rsidRPr="00F352CC">
        <w:rPr>
          <w:i/>
        </w:rPr>
        <w:t>care</w:t>
      </w:r>
      <w:r w:rsidRPr="00F352CC">
        <w:rPr>
          <w:i/>
        </w:rPr>
        <w:t>’</w:t>
      </w:r>
      <w:r w:rsidR="00E23341" w:rsidRPr="00F352CC">
        <w:rPr>
          <w:i/>
        </w:rPr>
        <w:t xml:space="preserve"> to </w:t>
      </w:r>
      <w:r w:rsidRPr="00F352CC">
        <w:rPr>
          <w:i/>
        </w:rPr>
        <w:t>‘</w:t>
      </w:r>
      <w:r w:rsidR="00E23341" w:rsidRPr="00F352CC">
        <w:rPr>
          <w:i/>
        </w:rPr>
        <w:t>rights</w:t>
      </w:r>
      <w:r w:rsidRPr="00F352CC">
        <w:rPr>
          <w:i/>
        </w:rPr>
        <w:t>’</w:t>
      </w:r>
      <w:r w:rsidR="00E23341" w:rsidRPr="00F352CC">
        <w:rPr>
          <w:i/>
        </w:rPr>
        <w:t xml:space="preserve">. All persons with disabilities should have equal access to, an equal choice of, and control over </w:t>
      </w:r>
      <w:r w:rsidR="00E23341" w:rsidRPr="00F352CC">
        <w:rPr>
          <w:i/>
        </w:rPr>
        <w:lastRenderedPageBreak/>
        <w:t>support services that respect the inherent dignity and individual autonomy and aim to achieve effective participation and inclusion in society</w:t>
      </w:r>
      <w:r w:rsidR="00E23341" w:rsidRPr="00F352CC">
        <w:rPr>
          <w:i/>
          <w:iCs/>
        </w:rPr>
        <w:t>.</w:t>
      </w:r>
      <w:r w:rsidRPr="00F352CC">
        <w:rPr>
          <w:i/>
          <w:iCs/>
        </w:rPr>
        <w:t>’</w:t>
      </w:r>
      <w:r w:rsidR="00E23341" w:rsidRPr="00F352CC">
        <w:rPr>
          <w:rStyle w:val="FootnoteReference"/>
          <w:i/>
          <w:iCs/>
        </w:rPr>
        <w:footnoteReference w:id="133"/>
      </w:r>
    </w:p>
    <w:p w14:paraId="42002416" w14:textId="77777777" w:rsidR="00E23341" w:rsidRPr="005B05B3" w:rsidRDefault="00E23341" w:rsidP="00E23341">
      <w:r w:rsidRPr="005B05B3">
        <w:t>The Taskforce has heard of disability support service providers offering in-home support to people with disability but requiring that the person go to bed at a certain time, have certain meals or have limited time to use the bathroom.</w:t>
      </w:r>
    </w:p>
    <w:p w14:paraId="700D005A" w14:textId="5F1EA253" w:rsidR="00E23341" w:rsidRPr="005B05B3" w:rsidRDefault="1C4B713E" w:rsidP="00E23341">
      <w:r w:rsidRPr="005B05B3">
        <w:t xml:space="preserve">We have heard common instances where providers have refused or been unable to support a person with disability to leave their home or participate in the community. The UN CRPD Committee have said clearly </w:t>
      </w:r>
      <w:r w:rsidR="7B877DE2" w:rsidRPr="005B05B3">
        <w:t>‘</w:t>
      </w:r>
      <w:r w:rsidRPr="005B05B3">
        <w:t>... in-home support must contribute to promoting inclusion and preventing segregation. It should not prevent a person from leaving the home when he or she desires and should be complemented, where needed, by other community-based services.</w:t>
      </w:r>
      <w:r w:rsidR="7B877DE2" w:rsidRPr="005B05B3">
        <w:t>’</w:t>
      </w:r>
      <w:r w:rsidR="00E23341" w:rsidRPr="005B05B3">
        <w:rPr>
          <w:rStyle w:val="FootnoteReference"/>
        </w:rPr>
        <w:footnoteReference w:id="134"/>
      </w:r>
      <w:r w:rsidR="5AB3AE38" w:rsidRPr="005B05B3">
        <w:rPr>
          <w:rStyle w:val="FootnoteReference"/>
        </w:rPr>
        <w:t xml:space="preserve"> </w:t>
      </w:r>
      <w:r w:rsidRPr="005B05B3">
        <w:t xml:space="preserve">The Taskforce notes that these practices of providers do not meet the requirements of </w:t>
      </w:r>
      <w:r w:rsidR="002341E6">
        <w:t>A</w:t>
      </w:r>
      <w:r w:rsidRPr="005B05B3">
        <w:t>rticle 19 of the UN CRPD and by Australia funding such services, as a State Party to the UN CRPD, with obligations to fulfil the obligations of the UN CRPD is extremely problematic. Recommendations made in this report reflect those concerns.</w:t>
      </w:r>
    </w:p>
    <w:p w14:paraId="7110077A" w14:textId="5F2775B6" w:rsidR="00E23341" w:rsidRPr="005B05B3" w:rsidRDefault="00E23341" w:rsidP="00E23341">
      <w:r w:rsidRPr="005B05B3">
        <w:t xml:space="preserve">The UN CRPD Committee is clear that </w:t>
      </w:r>
      <w:r w:rsidR="00AE18BE" w:rsidRPr="005B05B3">
        <w:t>‘</w:t>
      </w:r>
      <w:r w:rsidRPr="005B05B3">
        <w:t>persons with disabilities must have control over the support provided and be the ones who hire, employ, supervise, evaluate and dismiss their assistants. The possibility to choose between different service providers is a way to make the services more accountable to increase control by the user and provide protection against the risk of abuse.</w:t>
      </w:r>
      <w:r w:rsidR="00AE18BE" w:rsidRPr="005B05B3">
        <w:t>’</w:t>
      </w:r>
      <w:r w:rsidRPr="005B05B3">
        <w:rPr>
          <w:rStyle w:val="FootnoteReference"/>
        </w:rPr>
        <w:footnoteReference w:id="135"/>
      </w:r>
      <w:r w:rsidRPr="005B05B3">
        <w:t xml:space="preserve"> Self-directed supports are described as being when </w:t>
      </w:r>
      <w:r w:rsidR="00AE18BE" w:rsidRPr="005B05B3">
        <w:t>‘</w:t>
      </w:r>
      <w:r w:rsidRPr="005B05B3">
        <w:t>the participant selects and trains their own staff, develops their staff’s schedules, and sets their own standards for how their services will be delivered.</w:t>
      </w:r>
      <w:r w:rsidR="00AE18BE" w:rsidRPr="005B05B3">
        <w:t>’</w:t>
      </w:r>
      <w:r w:rsidRPr="005B05B3">
        <w:rPr>
          <w:rStyle w:val="FootnoteReference"/>
        </w:rPr>
        <w:footnoteReference w:id="136"/>
      </w:r>
      <w:r w:rsidRPr="005B05B3">
        <w:t xml:space="preserve"> In self-directed supports, typically the person with disability is the legal employer of their staff.</w:t>
      </w:r>
      <w:r w:rsidRPr="005B05B3">
        <w:rPr>
          <w:rStyle w:val="FootnoteReference"/>
        </w:rPr>
        <w:footnoteReference w:id="137"/>
      </w:r>
      <w:r w:rsidRPr="005B05B3">
        <w:t xml:space="preserve"> Self-directed supports are the best practice approach to meeting Australia’s obligations under the UN CRPD and realising </w:t>
      </w:r>
      <w:r w:rsidR="002341E6">
        <w:t>A</w:t>
      </w:r>
      <w:r w:rsidRPr="005B05B3">
        <w:t xml:space="preserve">rticle 19 of the UN CRPD. </w:t>
      </w:r>
      <w:r w:rsidRPr="005B05B3">
        <w:rPr>
          <w:rStyle w:val="FootnoteReference"/>
        </w:rPr>
        <w:footnoteReference w:id="138"/>
      </w:r>
    </w:p>
    <w:p w14:paraId="0EFBCDC2" w14:textId="77777777" w:rsidR="00E23341" w:rsidRPr="00DC1BCE" w:rsidRDefault="1642DCF8" w:rsidP="003D35AB">
      <w:pPr>
        <w:spacing w:before="360" w:after="120"/>
        <w:rPr>
          <w:color w:val="0D2B58"/>
          <w:sz w:val="32"/>
          <w:szCs w:val="32"/>
        </w:rPr>
      </w:pPr>
      <w:bookmarkStart w:id="71" w:name="_Toc170128745"/>
      <w:bookmarkStart w:id="72" w:name="_Toc170808362"/>
      <w:bookmarkStart w:id="73" w:name="_Toc170919686"/>
      <w:r w:rsidRPr="00DC1BCE">
        <w:rPr>
          <w:color w:val="0D2B58"/>
          <w:sz w:val="32"/>
          <w:szCs w:val="32"/>
        </w:rPr>
        <w:t>Self-directed supports in Australia</w:t>
      </w:r>
      <w:bookmarkEnd w:id="71"/>
      <w:bookmarkEnd w:id="72"/>
      <w:bookmarkEnd w:id="73"/>
    </w:p>
    <w:p w14:paraId="4537E1DA" w14:textId="5EBC943E" w:rsidR="009023C6" w:rsidRPr="005B05B3" w:rsidRDefault="00E23341" w:rsidP="00E23341">
      <w:r w:rsidRPr="005B05B3">
        <w:t xml:space="preserve">Following the </w:t>
      </w:r>
      <w:r w:rsidR="004378E7" w:rsidRPr="005B05B3">
        <w:t>deinstitutionalisation</w:t>
      </w:r>
      <w:r w:rsidRPr="005B05B3">
        <w:t xml:space="preserve"> of people with disability in Australia in the 1980s, services provided by organisations have continued to be a dominant model of care and support. However, people with disability have been using self-directed supports since that time, and in our observation, in greater numbers since the introduction of the NDIS. The Taskforce has not been able to identify specific data on the use of self-directed </w:t>
      </w:r>
      <w:r w:rsidRPr="005B05B3">
        <w:lastRenderedPageBreak/>
        <w:t>supports, but in our observation from engaging with the disability community, it seems to be a common approach to managing supports for</w:t>
      </w:r>
      <w:r w:rsidR="009023C6" w:rsidRPr="005B05B3">
        <w:t>:</w:t>
      </w:r>
      <w:r w:rsidR="00441FCA" w:rsidRPr="005B05B3">
        <w:t xml:space="preserve"> (but are not limited to)</w:t>
      </w:r>
      <w:r w:rsidR="009023C6" w:rsidRPr="005B05B3">
        <w:t>:</w:t>
      </w:r>
      <w:r w:rsidRPr="005B05B3">
        <w:t xml:space="preserve"> </w:t>
      </w:r>
    </w:p>
    <w:p w14:paraId="664F8EEB" w14:textId="77777777" w:rsidR="009023C6" w:rsidRPr="005B05B3" w:rsidRDefault="00E23341" w:rsidP="002D6AB8">
      <w:pPr>
        <w:pStyle w:val="ListParagraph"/>
        <w:numPr>
          <w:ilvl w:val="0"/>
          <w:numId w:val="61"/>
        </w:numPr>
      </w:pPr>
      <w:r w:rsidRPr="005B05B3">
        <w:t xml:space="preserve">people with physical and sensory disability (and they have often done so before the NDIS but the number of those doing so since the NDIS appears to have grown) </w:t>
      </w:r>
    </w:p>
    <w:p w14:paraId="0AB35034" w14:textId="10315496" w:rsidR="00E23341" w:rsidRPr="005B05B3" w:rsidRDefault="00E23341" w:rsidP="002D6AB8">
      <w:pPr>
        <w:pStyle w:val="ListParagraph"/>
        <w:numPr>
          <w:ilvl w:val="0"/>
          <w:numId w:val="61"/>
        </w:numPr>
      </w:pPr>
      <w:r w:rsidRPr="005B05B3">
        <w:t>families and nominees of people with intellectual disabilities and psychosocial disabilities through direct employment or Service for One models</w:t>
      </w:r>
      <w:r w:rsidR="04E54FD0" w:rsidRPr="005B05B3">
        <w:t>.</w:t>
      </w:r>
    </w:p>
    <w:p w14:paraId="2DB7AB98" w14:textId="2AEA3D23" w:rsidR="00E23341" w:rsidRPr="005B05B3" w:rsidRDefault="04C0CB2A" w:rsidP="7AA7AD50">
      <w:pPr>
        <w:ind w:left="720"/>
      </w:pPr>
      <w:r w:rsidRPr="008E70B7">
        <w:rPr>
          <w:rStyle w:val="QuoteChar"/>
          <w:rFonts w:ascii="Aptos" w:hAnsi="Aptos"/>
        </w:rPr>
        <w:t>Participants supported by service-for-one models were some of the first people to transition across to the NDIS when rollout commenced. People involved in this process say that their initial planning meetings were collaborative and purposeful, with families being encouraged to continue to support their family member with disability in an ongoing way through a service-for-one model</w:t>
      </w:r>
      <w:r w:rsidR="00E23341" w:rsidRPr="008E70B7">
        <w:rPr>
          <w:rStyle w:val="QuoteChar"/>
          <w:rFonts w:ascii="Aptos" w:hAnsi="Aptos"/>
        </w:rPr>
        <w:t>.</w:t>
      </w:r>
      <w:r w:rsidR="00E23341" w:rsidRPr="008E70B7">
        <w:rPr>
          <w:rStyle w:val="FootnoteReference"/>
        </w:rPr>
        <w:footnoteReference w:id="139"/>
      </w:r>
    </w:p>
    <w:p w14:paraId="6D11374F" w14:textId="512B74A5" w:rsidR="00E23341" w:rsidRPr="005B05B3" w:rsidRDefault="00E23341" w:rsidP="00E23341">
      <w:r w:rsidRPr="005B05B3">
        <w:t>A common reason for participants setting up these arrangements is because of a lack of suitable services available from disability support service providers or a total service failure</w:t>
      </w:r>
      <w:r w:rsidR="00441FCA" w:rsidRPr="005B05B3">
        <w:t>, including increased incidents of violence, abuse, neglect and exploitation</w:t>
      </w:r>
      <w:r w:rsidRPr="005B05B3">
        <w:t>.</w:t>
      </w:r>
    </w:p>
    <w:p w14:paraId="4883B581" w14:textId="77777777" w:rsidR="00E23341" w:rsidRPr="005B05B3" w:rsidRDefault="00E23341" w:rsidP="7AA7AD50">
      <w:pPr>
        <w:ind w:left="720"/>
        <w:jc w:val="both"/>
      </w:pPr>
      <w:r w:rsidRPr="008E70B7">
        <w:rPr>
          <w:rStyle w:val="QuoteChar"/>
          <w:rFonts w:ascii="Aptos" w:hAnsi="Aptos"/>
        </w:rPr>
        <w:t>We currently use our own support workers who we employ. When we first received funding for support, there weren't really any services available in our area suitable for the kids. They could have gone to a day program targeted towards older kids and teens with a big organisation but they were terrified. They would never have coped with that environment, leaving home and their parents, and the staff weren't really set up for little ones with autism. So we would have had no supports at all. With the option to self manage and employ people independently, we found a team. It took a little while and we've learnt skills in hr, recruitment, payroll and staff management, but we've got there! We do screening checks, reference checks, buddy shifts and training, all to ensure that our children are cared for safely.</w:t>
      </w:r>
      <w:r w:rsidRPr="008E70B7">
        <w:rPr>
          <w:rStyle w:val="FootnoteReference"/>
        </w:rPr>
        <w:footnoteReference w:id="140"/>
      </w:r>
    </w:p>
    <w:p w14:paraId="7FD6ED9A" w14:textId="4F86BB69" w:rsidR="00E23341" w:rsidRPr="005B05B3" w:rsidRDefault="00E23341" w:rsidP="00E23341">
      <w:r w:rsidRPr="005B05B3">
        <w:t>We have been told that when using self-directed supports, people with disability are in control of their services and so in control of their lives,</w:t>
      </w:r>
      <w:r w:rsidR="008C49DF" w:rsidRPr="005B05B3">
        <w:t xml:space="preserve"> they</w:t>
      </w:r>
      <w:r w:rsidRPr="005B05B3">
        <w:t xml:space="preserve"> have more flexible supports, </w:t>
      </w:r>
      <w:r w:rsidR="008C49DF" w:rsidRPr="005B05B3">
        <w:t xml:space="preserve">and they </w:t>
      </w:r>
      <w:r w:rsidRPr="005B05B3">
        <w:t xml:space="preserve">create longer lasting and consistent relationships with support staff </w:t>
      </w:r>
      <w:r w:rsidR="008C49DF" w:rsidRPr="005B05B3">
        <w:t>leading them toto</w:t>
      </w:r>
      <w:r w:rsidRPr="005B05B3">
        <w:t xml:space="preserve"> feel safer in their homes and lives.</w:t>
      </w:r>
    </w:p>
    <w:p w14:paraId="736621AE" w14:textId="51CD4E5F" w:rsidR="00E23341" w:rsidRPr="005B05B3" w:rsidRDefault="00E23341" w:rsidP="00FA0B19">
      <w:pPr>
        <w:pStyle w:val="Quote"/>
      </w:pPr>
      <w:r w:rsidRPr="008E70B7">
        <w:t xml:space="preserve">My </w:t>
      </w:r>
      <w:r w:rsidR="009B5EDA">
        <w:t>s</w:t>
      </w:r>
      <w:r w:rsidRPr="008E70B7">
        <w:t>upport worker is local, and knows my local community well. My employing her means she gets to work minutes from home, and from her kids school, and it gives us the flexibility to reorganize</w:t>
      </w:r>
      <w:r w:rsidR="00AA6BDC" w:rsidRPr="008E70B7">
        <w:t xml:space="preserve"> [sic]</w:t>
      </w:r>
      <w:r w:rsidRPr="008E70B7">
        <w:t xml:space="preserve"> shifts around my needs and hers. For example if her children are sick we have a list of tasks she can do without putting me at risk, she still gets the work she expects, I still get help, but I am safe, this sort of arrangement is only possible because she lives 5 mins from my house </w:t>
      </w:r>
      <w:r w:rsidRPr="008E70B7">
        <w:lastRenderedPageBreak/>
        <w:t>and we have a very clear and direct line of communication and shared sense of responsibility. We have a respectful and open dialogue that suits us both.</w:t>
      </w:r>
      <w:r w:rsidRPr="008E70B7">
        <w:rPr>
          <w:rStyle w:val="FootnoteReference"/>
        </w:rPr>
        <w:footnoteReference w:id="141"/>
      </w:r>
    </w:p>
    <w:p w14:paraId="65A7C483" w14:textId="00831D48" w:rsidR="00E23341" w:rsidRPr="005B05B3" w:rsidRDefault="00E23341" w:rsidP="00E23341">
      <w:r w:rsidRPr="005B05B3">
        <w:t>Many families and nominees who have set up self-directed supports have told us that this is an important future proofing tool, so that their loved one is safe and receiving quality care when they are gone.</w:t>
      </w:r>
    </w:p>
    <w:p w14:paraId="702ABE30" w14:textId="77777777" w:rsidR="00E23341" w:rsidRPr="005B05B3" w:rsidRDefault="00E23341" w:rsidP="00FA0B19">
      <w:pPr>
        <w:pStyle w:val="Quote"/>
      </w:pPr>
      <w:r w:rsidRPr="008E70B7">
        <w:t>As an aging carer can I say the thought top of mind every day is how the supports around my son’s life will continue to be managed when I am no longer available to manage it. Plan management and Service Coordination are two important support systems which families with a person with intellectual disability and/or complex needs rely on to keep the show on the road. Having access to those types of support in the local community will allow those who take on the carer role after I’m gone to be supported in that role.</w:t>
      </w:r>
      <w:r w:rsidRPr="008E70B7">
        <w:rPr>
          <w:rStyle w:val="FootnoteReference"/>
        </w:rPr>
        <w:footnoteReference w:id="142"/>
      </w:r>
    </w:p>
    <w:p w14:paraId="32CF2728" w14:textId="58CE4CDC" w:rsidR="00E23341" w:rsidRPr="005B05B3" w:rsidRDefault="00E23341" w:rsidP="00E23341">
      <w:r w:rsidRPr="005B05B3">
        <w:t>These experiences are reflected in international research on self-directed supports</w:t>
      </w:r>
      <w:r w:rsidR="00522E94" w:rsidRPr="005B05B3">
        <w:t>,</w:t>
      </w:r>
      <w:r w:rsidRPr="005B05B3">
        <w:t xml:space="preserve"> which found that in the United States people who use self-directed supports found the following:</w:t>
      </w:r>
    </w:p>
    <w:p w14:paraId="501DFCC7" w14:textId="77777777" w:rsidR="00E23341" w:rsidRPr="005B05B3" w:rsidRDefault="00E23341" w:rsidP="007D07A7">
      <w:pPr>
        <w:pStyle w:val="ListParagraph"/>
        <w:numPr>
          <w:ilvl w:val="1"/>
          <w:numId w:val="4"/>
        </w:numPr>
        <w:spacing w:after="160" w:line="279" w:lineRule="auto"/>
        <w:ind w:left="1440"/>
      </w:pPr>
      <w:r w:rsidRPr="005B05B3">
        <w:t>Choice of goods and services to purchase</w:t>
      </w:r>
    </w:p>
    <w:p w14:paraId="29773091" w14:textId="77777777" w:rsidR="00E23341" w:rsidRPr="005B05B3" w:rsidRDefault="00E23341" w:rsidP="007D07A7">
      <w:pPr>
        <w:pStyle w:val="ListParagraph"/>
        <w:numPr>
          <w:ilvl w:val="1"/>
          <w:numId w:val="4"/>
        </w:numPr>
        <w:spacing w:after="160" w:line="279" w:lineRule="auto"/>
        <w:ind w:left="1440"/>
      </w:pPr>
      <w:r w:rsidRPr="005B05B3">
        <w:t>Freedom to develop workers’ schedules</w:t>
      </w:r>
    </w:p>
    <w:p w14:paraId="5C8EEF15" w14:textId="77777777" w:rsidR="00E23341" w:rsidRPr="005B05B3" w:rsidRDefault="00E23341" w:rsidP="007D07A7">
      <w:pPr>
        <w:pStyle w:val="ListParagraph"/>
        <w:numPr>
          <w:ilvl w:val="1"/>
          <w:numId w:val="4"/>
        </w:numPr>
        <w:spacing w:after="160" w:line="279" w:lineRule="auto"/>
        <w:ind w:left="1440"/>
      </w:pPr>
      <w:r w:rsidRPr="005B05B3">
        <w:t>Innovative use of community resources</w:t>
      </w:r>
    </w:p>
    <w:p w14:paraId="7276F29C" w14:textId="1FD89DB6" w:rsidR="00E23341" w:rsidRPr="005B05B3" w:rsidRDefault="0C861E76" w:rsidP="007D07A7">
      <w:pPr>
        <w:pStyle w:val="ListParagraph"/>
        <w:numPr>
          <w:ilvl w:val="1"/>
          <w:numId w:val="4"/>
        </w:numPr>
        <w:spacing w:after="160" w:line="279" w:lineRule="auto"/>
        <w:ind w:left="1440"/>
      </w:pPr>
      <w:r w:rsidRPr="005B05B3">
        <w:t>Honouring</w:t>
      </w:r>
      <w:r w:rsidR="2438E21F" w:rsidRPr="005B05B3">
        <w:t xml:space="preserve"> dignity of risk</w:t>
      </w:r>
    </w:p>
    <w:p w14:paraId="58463FC9" w14:textId="77777777" w:rsidR="00E23341" w:rsidRPr="005B05B3" w:rsidRDefault="00E23341" w:rsidP="007D07A7">
      <w:pPr>
        <w:pStyle w:val="ListParagraph"/>
        <w:numPr>
          <w:ilvl w:val="1"/>
          <w:numId w:val="4"/>
        </w:numPr>
        <w:spacing w:after="160" w:line="279" w:lineRule="auto"/>
        <w:ind w:left="1440"/>
      </w:pPr>
      <w:r w:rsidRPr="005B05B3">
        <w:t>Flexibility</w:t>
      </w:r>
    </w:p>
    <w:p w14:paraId="1A09D844" w14:textId="77777777" w:rsidR="00E23341" w:rsidRPr="005B05B3" w:rsidRDefault="00E23341" w:rsidP="007D07A7">
      <w:pPr>
        <w:pStyle w:val="ListParagraph"/>
        <w:numPr>
          <w:ilvl w:val="1"/>
          <w:numId w:val="4"/>
        </w:numPr>
        <w:spacing w:after="160" w:line="279" w:lineRule="auto"/>
        <w:ind w:left="1440"/>
      </w:pPr>
      <w:r w:rsidRPr="005B05B3">
        <w:t>Creativity</w:t>
      </w:r>
    </w:p>
    <w:p w14:paraId="06BA5ECE" w14:textId="7ED07878" w:rsidR="00E23341" w:rsidRPr="005B05B3" w:rsidRDefault="00E23341" w:rsidP="007D07A7">
      <w:pPr>
        <w:pStyle w:val="ListParagraph"/>
        <w:numPr>
          <w:ilvl w:val="1"/>
          <w:numId w:val="4"/>
        </w:numPr>
        <w:spacing w:after="160" w:line="279" w:lineRule="auto"/>
        <w:ind w:left="1440"/>
      </w:pPr>
      <w:r w:rsidRPr="005B05B3">
        <w:t>Authentic choice and control</w:t>
      </w:r>
    </w:p>
    <w:p w14:paraId="36D3BDDB" w14:textId="0AC44A59" w:rsidR="00E23341" w:rsidRPr="005B05B3" w:rsidRDefault="002264B0" w:rsidP="00E23341">
      <w:r w:rsidRPr="005B05B3">
        <w:t>People</w:t>
      </w:r>
      <w:r w:rsidR="00E23341" w:rsidRPr="005B05B3">
        <w:t xml:space="preserve"> with disability using self-directed supports report less turnover in staff and lower (to no) rates of unmet need, </w:t>
      </w:r>
      <w:r w:rsidR="007B6A38" w:rsidRPr="005B05B3">
        <w:t>which</w:t>
      </w:r>
      <w:r w:rsidR="00E23341" w:rsidRPr="005B05B3">
        <w:t xml:space="preserve"> is especially useful in rural settings and is lower cost compared to traditional services.</w:t>
      </w:r>
      <w:r w:rsidR="00E23341" w:rsidRPr="005B05B3">
        <w:rPr>
          <w:rStyle w:val="FootnoteReference"/>
        </w:rPr>
        <w:footnoteReference w:id="143"/>
      </w:r>
    </w:p>
    <w:p w14:paraId="74275D29" w14:textId="77777777" w:rsidR="00E23341" w:rsidRPr="005B05B3" w:rsidRDefault="00E23341" w:rsidP="7AA7AD50">
      <w:pPr>
        <w:ind w:left="720"/>
      </w:pPr>
      <w:r w:rsidRPr="008E70B7">
        <w:rPr>
          <w:rStyle w:val="QuoteChar"/>
          <w:rFonts w:ascii="Aptos" w:hAnsi="Aptos"/>
        </w:rPr>
        <w:t>I also use unregistered providers because of location and waitlists, I live rurally. It widens the scope of support and I'm not stuck on wait lists for people that either can't provide services to us, or need to travel...Taking away this ability means potentially not able to obtain any supports at all or having to pay much high[er] prices.</w:t>
      </w:r>
      <w:r w:rsidRPr="008E70B7">
        <w:rPr>
          <w:rStyle w:val="FootnoteReference"/>
        </w:rPr>
        <w:footnoteReference w:id="144"/>
      </w:r>
    </w:p>
    <w:p w14:paraId="252DEF99" w14:textId="076E6B1A" w:rsidR="00E23341" w:rsidRPr="008E70B7" w:rsidRDefault="003F68C9" w:rsidP="00E23341">
      <w:r w:rsidRPr="005B05B3">
        <w:t>However, there are some barriers people are facing to implementing self-directed supports</w:t>
      </w:r>
      <w:r w:rsidR="00E53DBD">
        <w:t>.</w:t>
      </w:r>
      <w:r w:rsidRPr="005B05B3">
        <w:t xml:space="preserve"> P</w:t>
      </w:r>
      <w:r w:rsidR="00E23341" w:rsidRPr="005B05B3">
        <w:t xml:space="preserve">eople with disability who have self-directed supports told us that there is </w:t>
      </w:r>
      <w:r w:rsidR="00E53DBD">
        <w:t xml:space="preserve">a </w:t>
      </w:r>
      <w:r w:rsidR="00E23341" w:rsidRPr="005B05B3">
        <w:t>lack of support for them to do</w:t>
      </w:r>
      <w:r w:rsidR="007E7667" w:rsidRPr="005B05B3">
        <w:t xml:space="preserve"> so</w:t>
      </w:r>
      <w:r w:rsidR="00E23341" w:rsidRPr="005B05B3">
        <w:t xml:space="preserve">, especially in terms of legal, industrial relations and </w:t>
      </w:r>
      <w:r w:rsidR="00E23341" w:rsidRPr="005B05B3">
        <w:lastRenderedPageBreak/>
        <w:t>advocacy support and that ensuring legal and regulatory obligations are met can be challenging.</w:t>
      </w:r>
      <w:r w:rsidRPr="005B05B3">
        <w:t xml:space="preserve"> These challenges are consistent with what is reported around the world by </w:t>
      </w:r>
      <w:r w:rsidRPr="008E70B7">
        <w:t>people with disability who self-direct their supports.</w:t>
      </w:r>
      <w:r w:rsidRPr="008E70B7">
        <w:rPr>
          <w:rStyle w:val="FootnoteReference"/>
        </w:rPr>
        <w:footnoteReference w:id="145"/>
      </w:r>
      <w:r w:rsidRPr="008E70B7">
        <w:t xml:space="preserve"> </w:t>
      </w:r>
    </w:p>
    <w:p w14:paraId="6E4D843D" w14:textId="77777777" w:rsidR="00E23341" w:rsidRPr="005B05B3" w:rsidRDefault="00E23341" w:rsidP="00FA0B19">
      <w:pPr>
        <w:pStyle w:val="Quote"/>
      </w:pPr>
      <w:r w:rsidRPr="008E70B7">
        <w:t>We asked for a special set of requirements for registering a service for one. Don’t load us up with all this paperwork we don’t need, and it is going to burden us. If I am a large company, I can pay someone to do my safety and quality management. We need a lightweight registration system with a little bit of support, and a bit of training here and there. I need to be able to employ people to help me manage my business and I get back to looking after my son.</w:t>
      </w:r>
      <w:r w:rsidRPr="008E70B7">
        <w:rPr>
          <w:rStyle w:val="FootnoteReference"/>
        </w:rPr>
        <w:footnoteReference w:id="146"/>
      </w:r>
    </w:p>
    <w:p w14:paraId="2ED71930" w14:textId="6607049F" w:rsidR="00E23341" w:rsidRPr="008E70B7" w:rsidRDefault="000D06E8" w:rsidP="00E23341">
      <w:r w:rsidRPr="005B05B3">
        <w:t>The Task</w:t>
      </w:r>
      <w:r w:rsidR="00FF1619" w:rsidRPr="005B05B3">
        <w:t>force</w:t>
      </w:r>
      <w:r w:rsidRPr="005B05B3">
        <w:t xml:space="preserve"> has</w:t>
      </w:r>
      <w:r w:rsidR="00E23341" w:rsidRPr="005B05B3">
        <w:t xml:space="preserve"> been told of impressive combinations of direct employment mixed </w:t>
      </w:r>
      <w:r w:rsidR="00E23341" w:rsidRPr="008E70B7">
        <w:t>with available community supports to meet the overall needs of the person.</w:t>
      </w:r>
    </w:p>
    <w:p w14:paraId="0CEE180A" w14:textId="056089AB" w:rsidR="00E23341" w:rsidRPr="005B05B3" w:rsidRDefault="00E23341" w:rsidP="1BE465A8">
      <w:pPr>
        <w:ind w:left="720"/>
      </w:pPr>
      <w:r w:rsidRPr="008E70B7">
        <w:rPr>
          <w:rStyle w:val="QuoteChar"/>
          <w:rFonts w:ascii="Aptos" w:hAnsi="Aptos"/>
        </w:rPr>
        <w:t>Safety for our daughter comes from...individuali</w:t>
      </w:r>
      <w:r w:rsidR="008E70B7">
        <w:rPr>
          <w:rStyle w:val="QuoteChar"/>
          <w:rFonts w:ascii="Aptos" w:hAnsi="Aptos"/>
        </w:rPr>
        <w:t>s</w:t>
      </w:r>
      <w:r w:rsidRPr="008E70B7">
        <w:rPr>
          <w:rStyle w:val="QuoteChar"/>
          <w:rFonts w:ascii="Aptos" w:hAnsi="Aptos"/>
        </w:rPr>
        <w:t>ed support, handpicked committed staff and from being an active member of her local community.</w:t>
      </w:r>
      <w:r w:rsidRPr="008E70B7">
        <w:rPr>
          <w:rStyle w:val="FootnoteReference"/>
        </w:rPr>
        <w:footnoteReference w:id="147"/>
      </w:r>
    </w:p>
    <w:p w14:paraId="251CE3B1" w14:textId="77777777" w:rsidR="00E23341" w:rsidRPr="005B05B3" w:rsidRDefault="00E23341" w:rsidP="00E23341">
      <w:r w:rsidRPr="005B05B3">
        <w:t>Again, this is consistent with international experiences and evidences the importance of supporting these arrangements to continue and be adopted where they are not already so. Ultimately, it is crucial that people with disability increasingly have choice and control over their services</w:t>
      </w:r>
    </w:p>
    <w:p w14:paraId="23C5DEAF" w14:textId="364922F3" w:rsidR="00E23341" w:rsidRPr="00DC1BCE" w:rsidRDefault="1642DCF8" w:rsidP="001879E5">
      <w:pPr>
        <w:spacing w:before="360" w:after="120"/>
        <w:rPr>
          <w:sz w:val="32"/>
          <w:szCs w:val="32"/>
        </w:rPr>
      </w:pPr>
      <w:bookmarkStart w:id="74" w:name="_Toc170128746"/>
      <w:bookmarkStart w:id="75" w:name="_Toc170808363"/>
      <w:bookmarkStart w:id="76" w:name="_Toc170919687"/>
      <w:r w:rsidRPr="00DC1BCE">
        <w:rPr>
          <w:sz w:val="32"/>
          <w:szCs w:val="32"/>
        </w:rPr>
        <w:t>Self-management v</w:t>
      </w:r>
      <w:r w:rsidR="00824A09" w:rsidRPr="00DC1BCE">
        <w:rPr>
          <w:sz w:val="32"/>
          <w:szCs w:val="32"/>
        </w:rPr>
        <w:t>erse</w:t>
      </w:r>
      <w:r w:rsidRPr="00DC1BCE">
        <w:rPr>
          <w:sz w:val="32"/>
          <w:szCs w:val="32"/>
        </w:rPr>
        <w:t xml:space="preserve"> Self-directed supports: explaining the difference</w:t>
      </w:r>
      <w:bookmarkEnd w:id="74"/>
      <w:bookmarkEnd w:id="75"/>
      <w:bookmarkEnd w:id="76"/>
    </w:p>
    <w:p w14:paraId="258B2F96" w14:textId="1C1F46F8" w:rsidR="007A30F8" w:rsidRPr="005B05B3" w:rsidRDefault="2438E21F" w:rsidP="00E23341">
      <w:r w:rsidRPr="005B05B3">
        <w:t xml:space="preserve">NDIS Plans </w:t>
      </w:r>
      <w:r w:rsidR="5BAA6735" w:rsidRPr="005B05B3">
        <w:t>can be managed in three ways</w:t>
      </w:r>
      <w:r w:rsidR="00824A09" w:rsidRPr="005B05B3">
        <w:t>:</w:t>
      </w:r>
      <w:r w:rsidR="5BAA6735" w:rsidRPr="005B05B3">
        <w:t xml:space="preserve"> </w:t>
      </w:r>
      <w:r w:rsidRPr="005B05B3">
        <w:t>self-managed, plan-managed and agency-managed.</w:t>
      </w:r>
      <w:r w:rsidR="00E23341" w:rsidRPr="005B05B3">
        <w:rPr>
          <w:rStyle w:val="FootnoteReference"/>
        </w:rPr>
        <w:footnoteReference w:id="148"/>
      </w:r>
      <w:r w:rsidRPr="005B05B3">
        <w:t xml:space="preserve"> </w:t>
      </w:r>
    </w:p>
    <w:p w14:paraId="4D766B31" w14:textId="67F34880" w:rsidR="007A30F8" w:rsidRPr="005B05B3" w:rsidRDefault="2438E21F" w:rsidP="00E23341">
      <w:r w:rsidRPr="005B05B3">
        <w:t xml:space="preserve">Self and plan management are, for the most part, the same except that in plan management, there is a Plan Manager who acts as an intermediary to administer the </w:t>
      </w:r>
      <w:r w:rsidR="007B6A38" w:rsidRPr="005B05B3">
        <w:t>plan,</w:t>
      </w:r>
      <w:r w:rsidRPr="005B05B3">
        <w:t xml:space="preserve"> but the </w:t>
      </w:r>
      <w:r w:rsidR="00511514" w:rsidRPr="005B05B3">
        <w:t>p</w:t>
      </w:r>
      <w:r w:rsidRPr="005B05B3">
        <w:t xml:space="preserve">articipant remains in control of the decisions and spending of the </w:t>
      </w:r>
      <w:r w:rsidR="005C698D" w:rsidRPr="005B05B3">
        <w:t>p</w:t>
      </w:r>
      <w:r w:rsidRPr="005B05B3">
        <w:t>lan.</w:t>
      </w:r>
      <w:r w:rsidR="00E23341" w:rsidRPr="005B05B3">
        <w:rPr>
          <w:rStyle w:val="FootnoteReference"/>
        </w:rPr>
        <w:footnoteReference w:id="149"/>
      </w:r>
      <w:r w:rsidRPr="005B05B3">
        <w:t xml:space="preserve"> </w:t>
      </w:r>
    </w:p>
    <w:p w14:paraId="78FCAF12" w14:textId="61C74928" w:rsidR="00E23341" w:rsidRPr="005B05B3" w:rsidRDefault="002264B0" w:rsidP="00E23341">
      <w:r w:rsidRPr="005B05B3">
        <w:t>The</w:t>
      </w:r>
      <w:r w:rsidR="2438E21F" w:rsidRPr="005B05B3">
        <w:t xml:space="preserve"> Taskforce does caution that we have heard concerning anecdotes that some Plan Managers have sought to use their role to influence or restrict decisions made by </w:t>
      </w:r>
      <w:r w:rsidR="00F3255B" w:rsidRPr="005B05B3">
        <w:t>p</w:t>
      </w:r>
      <w:r w:rsidR="2438E21F" w:rsidRPr="005B05B3">
        <w:t>articipants on their supports and services, including advising that a purchase cannot be made within the proposed budgets.</w:t>
      </w:r>
      <w:r w:rsidR="00A15318" w:rsidRPr="005B05B3">
        <w:t xml:space="preserve"> This type of behaviour is outside of our Terms of </w:t>
      </w:r>
      <w:r w:rsidR="00A15318" w:rsidRPr="005B05B3">
        <w:lastRenderedPageBreak/>
        <w:t xml:space="preserve">Reference, but we observe it to be poor practice and suggest that it is drawn to the attention of the NDIS Commission or the NDIA for investigation. </w:t>
      </w:r>
    </w:p>
    <w:p w14:paraId="10D53B08" w14:textId="77777777" w:rsidR="00E23341" w:rsidRPr="005B05B3" w:rsidRDefault="00E23341" w:rsidP="00FA0B19">
      <w:pPr>
        <w:pStyle w:val="Quote"/>
      </w:pPr>
      <w:r w:rsidRPr="008E70B7">
        <w:t>People ring up or attend a meeting with a LAC or Planner and are routinely told misinformation about the purchases that can be made. Completely legitimate purchases within the NDIS framework are discouraged or rejected, and people may find themselves reported and have their self-management removed, forcing them to go through reviews and AAT processes – which are extremely stressful.</w:t>
      </w:r>
      <w:r w:rsidRPr="008E70B7">
        <w:rPr>
          <w:rStyle w:val="FootnoteReference"/>
        </w:rPr>
        <w:footnoteReference w:id="150"/>
      </w:r>
    </w:p>
    <w:p w14:paraId="3E6E498C" w14:textId="7A36C4F1" w:rsidR="00DC2757" w:rsidRPr="005B05B3" w:rsidRDefault="00E23341" w:rsidP="00E23341">
      <w:r w:rsidRPr="005B05B3">
        <w:t xml:space="preserve">Agency-managed plans arguably have the least choice and control offered to </w:t>
      </w:r>
      <w:r w:rsidR="00F3255B" w:rsidRPr="005B05B3">
        <w:t>p</w:t>
      </w:r>
      <w:r w:rsidRPr="005B05B3">
        <w:t xml:space="preserve">articipants, with the NDIA remaining responsible for the Plan rather than the </w:t>
      </w:r>
      <w:r w:rsidR="00511514" w:rsidRPr="005B05B3">
        <w:t>p</w:t>
      </w:r>
      <w:r w:rsidRPr="005B05B3">
        <w:t>articipant.</w:t>
      </w:r>
      <w:r w:rsidRPr="005B05B3">
        <w:rPr>
          <w:rStyle w:val="FootnoteReference"/>
        </w:rPr>
        <w:footnoteReference w:id="151"/>
      </w:r>
      <w:r w:rsidRPr="005B05B3">
        <w:t xml:space="preserve"> </w:t>
      </w:r>
    </w:p>
    <w:p w14:paraId="5F464E30" w14:textId="65C3EDB4" w:rsidR="00E23341" w:rsidRPr="005B05B3" w:rsidRDefault="00E23341" w:rsidP="00E23341">
      <w:r w:rsidRPr="005B05B3">
        <w:t xml:space="preserve">Importantly, </w:t>
      </w:r>
      <w:r w:rsidR="005738D1" w:rsidRPr="005B05B3">
        <w:t>p</w:t>
      </w:r>
      <w:r w:rsidRPr="005B05B3">
        <w:t xml:space="preserve">articipants who self or plan manage their NDIS Plans can purchase goods and services with their NDIS funding from wherever they see fit (though it still needs to be a disability-related support and satisfy the relevant </w:t>
      </w:r>
      <w:r w:rsidR="00836735" w:rsidRPr="005B05B3">
        <w:t xml:space="preserve">accountability measures and </w:t>
      </w:r>
      <w:r w:rsidRPr="005B05B3">
        <w:t>NDIS Rules in that respect).</w:t>
      </w:r>
      <w:r w:rsidRPr="005B05B3">
        <w:rPr>
          <w:rStyle w:val="FootnoteReference"/>
        </w:rPr>
        <w:footnoteReference w:id="152"/>
      </w:r>
      <w:r w:rsidRPr="005B05B3">
        <w:t xml:space="preserve"> Unless those supports are </w:t>
      </w:r>
      <w:r w:rsidR="007E1177" w:rsidRPr="005B05B3">
        <w:t>specialist disability accommodation (SDA)</w:t>
      </w:r>
      <w:r w:rsidR="45E57E16" w:rsidRPr="005B05B3">
        <w:t xml:space="preserve">, restrictive practice </w:t>
      </w:r>
      <w:r w:rsidRPr="005B05B3">
        <w:t>or behaviour support, they do not have to be registered.</w:t>
      </w:r>
      <w:r w:rsidRPr="005B05B3">
        <w:rPr>
          <w:rStyle w:val="FootnoteReference"/>
        </w:rPr>
        <w:footnoteReference w:id="153"/>
      </w:r>
      <w:r w:rsidRPr="005B05B3">
        <w:t xml:space="preserve"> Whereas, </w:t>
      </w:r>
      <w:r w:rsidR="005738D1" w:rsidRPr="005B05B3">
        <w:t>p</w:t>
      </w:r>
      <w:r w:rsidRPr="005B05B3">
        <w:t>articipants who have agency-managed plans are required to purchase supports from only registered providers.</w:t>
      </w:r>
      <w:r w:rsidRPr="005B05B3">
        <w:rPr>
          <w:rStyle w:val="FootnoteReference"/>
        </w:rPr>
        <w:footnoteReference w:id="154"/>
      </w:r>
    </w:p>
    <w:p w14:paraId="27326EB1" w14:textId="1EA8939B" w:rsidR="00E23341" w:rsidRPr="005B05B3" w:rsidRDefault="00E23341" w:rsidP="00E23341">
      <w:r w:rsidRPr="005B05B3">
        <w:t xml:space="preserve">Self-management is a core component of the NDIS. It is one of the critical design features which has given rise to choice and control in services for people with disabilities because when a </w:t>
      </w:r>
      <w:r w:rsidR="00511514" w:rsidRPr="005B05B3">
        <w:t>p</w:t>
      </w:r>
      <w:r w:rsidRPr="005B05B3">
        <w:t xml:space="preserve">articipant is </w:t>
      </w:r>
      <w:r w:rsidR="00AE18BE" w:rsidRPr="005B05B3">
        <w:t>‘</w:t>
      </w:r>
      <w:r w:rsidRPr="005B05B3">
        <w:t>self-managed</w:t>
      </w:r>
      <w:r w:rsidR="00AE18BE" w:rsidRPr="005B05B3">
        <w:t>’</w:t>
      </w:r>
      <w:r w:rsidRPr="005B05B3">
        <w:t xml:space="preserve"> they are able to take their NDIS funding and spend it on any supports and services that fall within the NDIS Rules and their NDIS Plan. This can be from mainstream services, disability support services or self-directed supports. Previous to the NDIS, this level of choice and control over services was rare for people with disabilities when they needed funding for services to meet their needs.</w:t>
      </w:r>
    </w:p>
    <w:p w14:paraId="54CD3B51" w14:textId="0053F42E" w:rsidR="00E23341" w:rsidRPr="005B05B3" w:rsidRDefault="00E23341" w:rsidP="00E23341">
      <w:r w:rsidRPr="005B05B3">
        <w:t xml:space="preserve">The Taskforce is very supportive of self-management and encourages it to be available to all NDIS </w:t>
      </w:r>
      <w:r w:rsidR="005738D1" w:rsidRPr="005B05B3">
        <w:t>p</w:t>
      </w:r>
      <w:r w:rsidRPr="005B05B3">
        <w:t xml:space="preserve">articipants, including through investment in supported decision-making frameworks. We acknowledge the NDIS Review’s recommendation that the link between a participant’s financial management of their NDIS Plan and the regulatory </w:t>
      </w:r>
      <w:r w:rsidRPr="005B05B3">
        <w:lastRenderedPageBreak/>
        <w:t>status be removed.</w:t>
      </w:r>
      <w:r w:rsidRPr="005B05B3">
        <w:rPr>
          <w:rStyle w:val="FootnoteReference"/>
        </w:rPr>
        <w:footnoteReference w:id="155"/>
      </w:r>
      <w:r w:rsidRPr="005B05B3">
        <w:t xml:space="preserve"> The Taskforce is not asked to provide advice on this specific recommendation. We do observe that it is important that all people with disabilities be afforded the opportunity to have choice and control over their disability support services and express concern where that is curtailed or denied to those who have agency management of their NDIS Plan.</w:t>
      </w:r>
    </w:p>
    <w:p w14:paraId="4609AE48" w14:textId="20472C57" w:rsidR="00E23341" w:rsidRPr="005B05B3" w:rsidRDefault="00E23341" w:rsidP="00E23341">
      <w:r w:rsidRPr="005B05B3">
        <w:t xml:space="preserve">Self-management and self-directed supports are not the same concept. However, it is often conflated because </w:t>
      </w:r>
      <w:r w:rsidR="005738D1" w:rsidRPr="005B05B3">
        <w:t>p</w:t>
      </w:r>
      <w:r w:rsidRPr="005B05B3">
        <w:t>articipants who have self-managed plans have the choice and control over their funding to be able to adopt self-directed supports more readily. Self-management is the financial management of the NDIS Plan whereas self-directed support is a way of managing your supports, usually through direct employment. The Taskforce has made recommendations about self-directed supports.</w:t>
      </w:r>
    </w:p>
    <w:p w14:paraId="6B32EFFC" w14:textId="77777777" w:rsidR="00E23341" w:rsidRPr="005B05B3" w:rsidRDefault="1642DCF8" w:rsidP="003D35AB">
      <w:pPr>
        <w:pStyle w:val="TSDAltHeading2"/>
        <w:spacing w:before="360" w:after="0"/>
      </w:pPr>
      <w:bookmarkStart w:id="77" w:name="_Toc170128747"/>
      <w:bookmarkStart w:id="78" w:name="_Toc173318064"/>
      <w:r w:rsidRPr="005B05B3">
        <w:t>Proposed model – self-directed supports</w:t>
      </w:r>
      <w:bookmarkEnd w:id="77"/>
      <w:bookmarkEnd w:id="78"/>
    </w:p>
    <w:p w14:paraId="57E0E932" w14:textId="6748A217" w:rsidR="00830CB1" w:rsidRPr="005B05B3" w:rsidRDefault="2438E21F" w:rsidP="00830CB1">
      <w:pPr>
        <w:spacing w:line="276" w:lineRule="auto"/>
      </w:pPr>
      <w:r w:rsidRPr="005B05B3">
        <w:t>The Taskforce is extremely supportive of self-directed supports. Recognising the consistency of self-directed supports to realising the</w:t>
      </w:r>
      <w:r w:rsidR="294931C3" w:rsidRPr="005B05B3">
        <w:t xml:space="preserve"> human rights of people with disability,</w:t>
      </w:r>
      <w:r w:rsidRPr="005B05B3">
        <w:t xml:space="preserve"> but also acknowledging that current arrangements must be </w:t>
      </w:r>
      <w:r w:rsidR="007B6A38" w:rsidRPr="005B05B3">
        <w:t>preserved,</w:t>
      </w:r>
      <w:r w:rsidRPr="005B05B3">
        <w:t xml:space="preserve"> and future arrangements encouraged</w:t>
      </w:r>
      <w:r w:rsidR="00830CB1" w:rsidRPr="005B05B3">
        <w:t>.</w:t>
      </w:r>
      <w:r w:rsidRPr="005B05B3">
        <w:t xml:space="preserve"> </w:t>
      </w:r>
      <w:r w:rsidR="00830CB1" w:rsidRPr="005B05B3">
        <w:t>T</w:t>
      </w:r>
      <w:r w:rsidRPr="005B05B3">
        <w:t xml:space="preserve">he Taskforce recommends that a registration category be made for self-directed supports. </w:t>
      </w:r>
    </w:p>
    <w:p w14:paraId="1C2D93E8" w14:textId="1BFE11F7" w:rsidR="00E23341" w:rsidRPr="005B05B3" w:rsidRDefault="2438E21F" w:rsidP="001D5DC8">
      <w:pPr>
        <w:spacing w:line="276" w:lineRule="auto"/>
      </w:pPr>
      <w:r w:rsidRPr="005B05B3">
        <w:t xml:space="preserve">The purpose of this being </w:t>
      </w:r>
      <w:r w:rsidR="00830CB1" w:rsidRPr="005B05B3">
        <w:t>its own</w:t>
      </w:r>
      <w:r w:rsidRPr="005B05B3">
        <w:t xml:space="preserve"> registration category is to create visibility of those arrangements</w:t>
      </w:r>
      <w:r w:rsidR="161FACEE" w:rsidRPr="005B05B3">
        <w:t xml:space="preserve"> and bring these important arrangements into the regulatory framework</w:t>
      </w:r>
      <w:r w:rsidRPr="005B05B3">
        <w:t xml:space="preserve">. </w:t>
      </w:r>
      <w:r w:rsidR="000868D3" w:rsidRPr="005B05B3">
        <w:t xml:space="preserve">However, it must be designed carefully so as to not create administrative burden and complexity for people. </w:t>
      </w:r>
      <w:r w:rsidRPr="005B05B3">
        <w:t>We hope the NDIS Commission will be able to</w:t>
      </w:r>
      <w:r w:rsidR="35B55943" w:rsidRPr="005B05B3">
        <w:t xml:space="preserve"> </w:t>
      </w:r>
      <w:r w:rsidRPr="005B05B3">
        <w:t xml:space="preserve">support </w:t>
      </w:r>
      <w:r w:rsidR="005738D1" w:rsidRPr="005B05B3">
        <w:t>p</w:t>
      </w:r>
      <w:r w:rsidRPr="005B05B3">
        <w:t xml:space="preserve">articipants in their arrangements, making them sustainable and future-lasting. We recognise at the outset that this will take some time to </w:t>
      </w:r>
      <w:r w:rsidR="007B6A38" w:rsidRPr="005B05B3">
        <w:t>develop,</w:t>
      </w:r>
      <w:r w:rsidRPr="005B05B3">
        <w:t xml:space="preserve"> and significant trust needs to be built between the NDIS Commission and disability community for this to work well. In </w:t>
      </w:r>
      <w:hyperlink w:anchor="_Implementation" w:history="1">
        <w:r w:rsidRPr="008024AF">
          <w:rPr>
            <w:rStyle w:val="Hyperlink"/>
            <w:rFonts w:ascii="Aptos" w:hAnsi="Aptos"/>
          </w:rPr>
          <w:t xml:space="preserve">Chapter </w:t>
        </w:r>
        <w:r w:rsidR="008024AF" w:rsidRPr="008024AF">
          <w:rPr>
            <w:rStyle w:val="Hyperlink"/>
            <w:rFonts w:ascii="Aptos" w:hAnsi="Aptos"/>
          </w:rPr>
          <w:t>10</w:t>
        </w:r>
      </w:hyperlink>
      <w:r w:rsidRPr="005B05B3">
        <w:t>, we go through more of the details on implementing the proposed model.</w:t>
      </w:r>
    </w:p>
    <w:p w14:paraId="768E1328" w14:textId="11230519" w:rsidR="7D4AFA13" w:rsidRPr="005B05B3" w:rsidRDefault="3DB4BB5A" w:rsidP="001D5DC8">
      <w:pPr>
        <w:spacing w:line="276" w:lineRule="auto"/>
      </w:pPr>
      <w:r w:rsidRPr="005B05B3">
        <w:t>Further, it is critical to secure the future of self-directed supports that they be recognised as a key part of the disability support system.</w:t>
      </w:r>
      <w:r w:rsidR="00021A77" w:rsidRPr="005B05B3">
        <w:t xml:space="preserve"> </w:t>
      </w:r>
      <w:r w:rsidR="7D4AFA13" w:rsidRPr="005B05B3">
        <w:t xml:space="preserve">Participants registered for self-directed supports will be able to use </w:t>
      </w:r>
      <w:r w:rsidR="00AE18BE" w:rsidRPr="005B05B3">
        <w:t>‘</w:t>
      </w:r>
      <w:r w:rsidR="7D4AFA13" w:rsidRPr="005B05B3">
        <w:t>unregistered providers</w:t>
      </w:r>
      <w:r w:rsidR="00AE18BE" w:rsidRPr="005B05B3">
        <w:t>’</w:t>
      </w:r>
      <w:r w:rsidR="7D4AFA13" w:rsidRPr="005B05B3">
        <w:t xml:space="preserve"> because visibility of those arrangements comes from the </w:t>
      </w:r>
      <w:r w:rsidR="00C65AC8" w:rsidRPr="005B05B3">
        <w:t>p</w:t>
      </w:r>
      <w:r w:rsidR="7D4AFA13" w:rsidRPr="005B05B3">
        <w:t>articipant being registered for those supports.</w:t>
      </w:r>
    </w:p>
    <w:p w14:paraId="4E31E6B5" w14:textId="25C75376" w:rsidR="00042BF4" w:rsidRPr="005B05B3" w:rsidRDefault="2438E21F" w:rsidP="00830CB1">
      <w:pPr>
        <w:spacing w:line="276" w:lineRule="auto"/>
      </w:pPr>
      <w:r w:rsidRPr="005B05B3">
        <w:t xml:space="preserve">From what we heard; self-directed supports have different risks to other service provider arrangements. While the types of supports provided within self-direct models varied, the safeguards in place often meant that there was little risk of the </w:t>
      </w:r>
      <w:r w:rsidR="00C65AC8" w:rsidRPr="005B05B3">
        <w:t>p</w:t>
      </w:r>
      <w:r w:rsidRPr="005B05B3">
        <w:t>articipant</w:t>
      </w:r>
      <w:r w:rsidR="005C40F5" w:rsidRPr="005B05B3">
        <w:t xml:space="preserve">. </w:t>
      </w:r>
      <w:r w:rsidR="00156246" w:rsidRPr="005B05B3">
        <w:lastRenderedPageBreak/>
        <w:t>There was a</w:t>
      </w:r>
      <w:r w:rsidRPr="005B05B3">
        <w:t xml:space="preserve"> frequent presence of a strong understanding of their rights held by the </w:t>
      </w:r>
      <w:r w:rsidR="00C65AC8" w:rsidRPr="005B05B3">
        <w:t>p</w:t>
      </w:r>
      <w:r w:rsidRPr="005B05B3">
        <w:t>articipant, natural safeguards</w:t>
      </w:r>
      <w:r w:rsidR="00156246" w:rsidRPr="005B05B3">
        <w:t>,</w:t>
      </w:r>
      <w:r w:rsidRPr="005B05B3">
        <w:t xml:space="preserve"> and control to start and stop services as needed. </w:t>
      </w:r>
    </w:p>
    <w:p w14:paraId="1B8FDA6A" w14:textId="08DAD534" w:rsidR="00E23341" w:rsidRPr="005B05B3" w:rsidRDefault="2AF93898" w:rsidP="001D5DC8">
      <w:pPr>
        <w:spacing w:line="276" w:lineRule="auto"/>
      </w:pPr>
      <w:r w:rsidRPr="005B05B3">
        <w:t>Participants directly managing their supports also had developed specific, sophisticated and tailored approaches to safeguarding that ad</w:t>
      </w:r>
      <w:r w:rsidR="27D7A47C" w:rsidRPr="005B05B3">
        <w:t>dress their specific risks and needs.</w:t>
      </w:r>
    </w:p>
    <w:p w14:paraId="78BAD1A5" w14:textId="77777777" w:rsidR="00E23341" w:rsidRPr="008E70B7" w:rsidRDefault="00E23341" w:rsidP="1BE465A8">
      <w:pPr>
        <w:ind w:left="720"/>
        <w:jc w:val="both"/>
      </w:pPr>
      <w:r w:rsidRPr="008E70B7">
        <w:rPr>
          <w:rStyle w:val="QuoteChar"/>
          <w:rFonts w:ascii="Aptos" w:hAnsi="Aptos"/>
        </w:rPr>
        <w:t>My personalised support framework is directly linked to what keeps me safe and delivers quality support: I live with trusted flatmates and/or family; I establish connection with community by employing people who live locally; I am and present myself as a person who is socially connected, who is confident about her own and employees rights and boundaries. My support staff are clear that I am the person who has choice and control over her personal support delivery and that it is safeguarded by a community of people (both professional and non- professional).</w:t>
      </w:r>
      <w:r w:rsidRPr="008E70B7">
        <w:rPr>
          <w:rStyle w:val="FootnoteReference"/>
        </w:rPr>
        <w:footnoteReference w:id="156"/>
      </w:r>
    </w:p>
    <w:p w14:paraId="3209AF89" w14:textId="77777777" w:rsidR="00E23341" w:rsidRPr="005B05B3" w:rsidRDefault="00E23341" w:rsidP="00FA0B19">
      <w:pPr>
        <w:pStyle w:val="Quote"/>
      </w:pPr>
      <w:r w:rsidRPr="008E70B7">
        <w:t>If someone is identified as vulnerable because of risk of isolation, it creates a pathway which is different from those who are strongly safeguarded and don’t need additional supports. Rather than thinking from a service centric point of view, to say if you’re a person who has high complex intensity supports you should only use registered providers, which will constrain some people and be inadequate for others, coming from a person centred position where you're actually using a process to do identify the ones who are genuinely most at risk because they're isolated and don't have people to speak up for them.</w:t>
      </w:r>
      <w:r w:rsidRPr="008E70B7">
        <w:rPr>
          <w:rStyle w:val="FootnoteReference"/>
        </w:rPr>
        <w:footnoteReference w:id="157"/>
      </w:r>
    </w:p>
    <w:p w14:paraId="389FF9B4" w14:textId="1259CDCE" w:rsidR="00E23341" w:rsidRPr="005B05B3" w:rsidRDefault="0067203A" w:rsidP="00E23341">
      <w:r w:rsidRPr="005B05B3">
        <w:t>The Taskforce</w:t>
      </w:r>
      <w:r w:rsidR="2438E21F" w:rsidRPr="005B05B3">
        <w:t xml:space="preserve"> found that </w:t>
      </w:r>
      <w:r w:rsidR="005738D1" w:rsidRPr="005B05B3">
        <w:t>p</w:t>
      </w:r>
      <w:r w:rsidR="2438E21F" w:rsidRPr="005B05B3">
        <w:t xml:space="preserve">articipants were </w:t>
      </w:r>
      <w:r w:rsidR="00EC4196" w:rsidRPr="005B05B3">
        <w:t xml:space="preserve">often </w:t>
      </w:r>
      <w:r w:rsidR="2438E21F" w:rsidRPr="005B05B3">
        <w:t>unsupported in these arrangements, which is a risk. In our view, registration obligations</w:t>
      </w:r>
      <w:r w:rsidR="00086953" w:rsidRPr="005B05B3">
        <w:t xml:space="preserve"> for the </w:t>
      </w:r>
      <w:r w:rsidR="009B5EDA">
        <w:t>se</w:t>
      </w:r>
      <w:r w:rsidR="00086953" w:rsidRPr="005B05B3">
        <w:t>lf-</w:t>
      </w:r>
      <w:r w:rsidR="00B9668D" w:rsidRPr="005B05B3">
        <w:t>d</w:t>
      </w:r>
      <w:r w:rsidR="00086953" w:rsidRPr="005B05B3">
        <w:t xml:space="preserve">irected </w:t>
      </w:r>
      <w:r w:rsidR="0083470D" w:rsidRPr="005B05B3">
        <w:t>s</w:t>
      </w:r>
      <w:r w:rsidR="00086953" w:rsidRPr="005B05B3">
        <w:t>upports</w:t>
      </w:r>
      <w:r w:rsidR="00B9668D" w:rsidRPr="005B05B3">
        <w:t xml:space="preserve"> </w:t>
      </w:r>
      <w:r w:rsidR="0083470D" w:rsidRPr="005B05B3">
        <w:t>r</w:t>
      </w:r>
      <w:r w:rsidR="00B9668D" w:rsidRPr="005B05B3">
        <w:t>egistration</w:t>
      </w:r>
      <w:r w:rsidR="00086953" w:rsidRPr="005B05B3">
        <w:t xml:space="preserve"> </w:t>
      </w:r>
      <w:r w:rsidR="2438E21F" w:rsidRPr="005B05B3">
        <w:t xml:space="preserve">should be designed to </w:t>
      </w:r>
      <w:r w:rsidR="12B0E6A4" w:rsidRPr="005B05B3">
        <w:t xml:space="preserve">assist in providing </w:t>
      </w:r>
      <w:r w:rsidR="2438E21F" w:rsidRPr="005B05B3">
        <w:t xml:space="preserve">this support. Ultimately though, the registration is designed not to be invasive or impose a great deal on </w:t>
      </w:r>
      <w:r w:rsidR="005738D1" w:rsidRPr="005B05B3">
        <w:t>p</w:t>
      </w:r>
      <w:r w:rsidR="2438E21F" w:rsidRPr="005B05B3">
        <w:t>articipants or their Nominees and does not aim to impose a minimum standard on the arrangements</w:t>
      </w:r>
      <w:r w:rsidR="00765348" w:rsidRPr="005B05B3">
        <w:t>. This will help to</w:t>
      </w:r>
      <w:r w:rsidR="2438E21F" w:rsidRPr="005B05B3">
        <w:t xml:space="preserve"> ensur</w:t>
      </w:r>
      <w:r w:rsidR="00765348" w:rsidRPr="005B05B3">
        <w:t>e</w:t>
      </w:r>
      <w:r w:rsidR="2438E21F" w:rsidRPr="005B05B3">
        <w:t xml:space="preserve"> that self-directed supports can be whatever the </w:t>
      </w:r>
      <w:r w:rsidR="00C65AC8" w:rsidRPr="005B05B3">
        <w:t>p</w:t>
      </w:r>
      <w:r w:rsidR="2438E21F" w:rsidRPr="005B05B3">
        <w:t>articipant needs them to be.</w:t>
      </w:r>
    </w:p>
    <w:p w14:paraId="4AC25941" w14:textId="09F7DD0B" w:rsidR="000868D3" w:rsidRPr="005B05B3" w:rsidRDefault="008435A1">
      <w:r>
        <w:rPr>
          <w:color w:val="242424"/>
          <w:shd w:val="clear" w:color="auto" w:fill="FFFFFF"/>
        </w:rPr>
        <w:t xml:space="preserve">Noting that the Taskforce is of the view that Advanced Registration is recommended to apply to those self-directing their supports, </w:t>
      </w:r>
      <w:r>
        <w:t>t</w:t>
      </w:r>
      <w:r w:rsidR="000868D3" w:rsidRPr="005B05B3">
        <w:t>he Taskforce cautions that consideration needs to be given to the treatment of supports that fall within the Advanced Registration Category but are self-directed, and in particular, behaviour support</w:t>
      </w:r>
      <w:r w:rsidR="001C29C4">
        <w:t xml:space="preserve"> </w:t>
      </w:r>
      <w:r w:rsidR="001C29C4">
        <w:rPr>
          <w:color w:val="242424"/>
          <w:shd w:val="clear" w:color="auto" w:fill="FFFFFF"/>
        </w:rPr>
        <w:t xml:space="preserve">to ensure that this centres </w:t>
      </w:r>
      <w:r w:rsidR="0039417E">
        <w:rPr>
          <w:color w:val="242424"/>
          <w:shd w:val="clear" w:color="auto" w:fill="FFFFFF"/>
        </w:rPr>
        <w:t xml:space="preserve">on </w:t>
      </w:r>
      <w:r w:rsidR="001C29C4">
        <w:rPr>
          <w:color w:val="242424"/>
          <w:shd w:val="clear" w:color="auto" w:fill="FFFFFF"/>
        </w:rPr>
        <w:t>choice and control</w:t>
      </w:r>
      <w:r w:rsidR="000868D3" w:rsidRPr="005B05B3">
        <w:t xml:space="preserve">. We do not anticipate that there are many Participants impacted. We have heard mixed views on this with some telling us that these types of support should always be registered and others advising that it is not suitable to do so. The Taskforce appreciates both views. As we have recommended that this category of </w:t>
      </w:r>
      <w:r w:rsidR="000868D3" w:rsidRPr="005B05B3">
        <w:lastRenderedPageBreak/>
        <w:t>registration be co-designed, this should be determined through that process and in consultation with those who have behaviour support or supports within the Advanced Registration category</w:t>
      </w:r>
      <w:r w:rsidR="00326577">
        <w:t>.</w:t>
      </w:r>
    </w:p>
    <w:p w14:paraId="483BFD6C" w14:textId="4204A65C" w:rsidR="3984C789" w:rsidRPr="005B05B3" w:rsidRDefault="00B45385">
      <w:r w:rsidRPr="005B05B3">
        <w:t>Importantly</w:t>
      </w:r>
      <w:r w:rsidR="000868D3" w:rsidRPr="005B05B3">
        <w:t xml:space="preserve">, the Taskforce acknowledges that if Advanced </w:t>
      </w:r>
      <w:r w:rsidRPr="005B05B3">
        <w:t>Registration were</w:t>
      </w:r>
      <w:r w:rsidR="000868D3" w:rsidRPr="005B05B3">
        <w:t xml:space="preserve"> to be required to be registered, even when directed, we do not</w:t>
      </w:r>
      <w:r w:rsidR="1F01EC9C" w:rsidRPr="005B05B3">
        <w:t xml:space="preserve"> suggest that </w:t>
      </w:r>
      <w:r w:rsidR="00BA40CF" w:rsidRPr="005B05B3">
        <w:t>p</w:t>
      </w:r>
      <w:r w:rsidR="1F01EC9C" w:rsidRPr="005B05B3">
        <w:t xml:space="preserve">articipants are not able to keep themselves safe from </w:t>
      </w:r>
      <w:r w:rsidR="000868D3" w:rsidRPr="005B05B3">
        <w:t>violence, abuse, neglect or exploitation</w:t>
      </w:r>
      <w:r w:rsidR="00BA40CF" w:rsidRPr="005B05B3">
        <w:t xml:space="preserve">, and </w:t>
      </w:r>
      <w:r w:rsidRPr="005B05B3">
        <w:t>it’s recognised</w:t>
      </w:r>
      <w:r w:rsidR="1F01EC9C" w:rsidRPr="005B05B3">
        <w:t xml:space="preserve"> that examples of self-directed supports are sophisticated and have proper safeguards in place to avoid violence, abuse, neglect and exploitation. </w:t>
      </w:r>
      <w:r w:rsidR="00C213ED" w:rsidRPr="005B05B3">
        <w:t xml:space="preserve">Rather, </w:t>
      </w:r>
      <w:r w:rsidR="000868D3" w:rsidRPr="005B05B3">
        <w:t xml:space="preserve">we seek to be mindful that we have heard </w:t>
      </w:r>
      <w:r w:rsidR="56FB626F" w:rsidRPr="005B05B3">
        <w:t xml:space="preserve">there are many unscrupulous </w:t>
      </w:r>
      <w:r w:rsidR="00AB2EC8" w:rsidRPr="005B05B3">
        <w:t>p</w:t>
      </w:r>
      <w:r w:rsidR="56FB626F" w:rsidRPr="005B05B3">
        <w:t xml:space="preserve">roviders that look for ways to take advantage of systems within the NDIS to exploit </w:t>
      </w:r>
      <w:r w:rsidR="000D5922" w:rsidRPr="005B05B3">
        <w:t>p</w:t>
      </w:r>
      <w:r w:rsidR="56FB626F" w:rsidRPr="005B05B3">
        <w:t>articipants for their gain</w:t>
      </w:r>
      <w:r w:rsidR="00C7273A" w:rsidRPr="005B05B3">
        <w:t>, for example, setting up Group Homes with self-directed supports</w:t>
      </w:r>
      <w:r w:rsidR="56FB626F" w:rsidRPr="005B05B3">
        <w:t>.</w:t>
      </w:r>
    </w:p>
    <w:p w14:paraId="5CD4F8DD" w14:textId="64DB8D11" w:rsidR="000D5922" w:rsidRPr="005B05B3" w:rsidRDefault="000D5922" w:rsidP="003D35AB">
      <w:pPr>
        <w:pStyle w:val="Heading3"/>
        <w:spacing w:before="360" w:after="0"/>
      </w:pPr>
      <w:r w:rsidRPr="005B05B3">
        <w:t xml:space="preserve">How </w:t>
      </w:r>
      <w:r w:rsidR="000F59AD">
        <w:t>s</w:t>
      </w:r>
      <w:r w:rsidR="00201312" w:rsidRPr="005B05B3">
        <w:t xml:space="preserve">elf-directed </w:t>
      </w:r>
      <w:r w:rsidR="0083470D" w:rsidRPr="005B05B3">
        <w:t>s</w:t>
      </w:r>
      <w:r w:rsidR="00201312" w:rsidRPr="005B05B3">
        <w:t xml:space="preserve">upports </w:t>
      </w:r>
      <w:r w:rsidR="0083470D" w:rsidRPr="005B05B3">
        <w:t>r</w:t>
      </w:r>
      <w:r w:rsidRPr="005B05B3">
        <w:t>egistration will work</w:t>
      </w:r>
    </w:p>
    <w:p w14:paraId="1E582060" w14:textId="0697F5ED" w:rsidR="009D2F94" w:rsidRPr="005B05B3" w:rsidRDefault="00E23341" w:rsidP="005B05B3">
      <w:pPr>
        <w:spacing w:line="276" w:lineRule="auto"/>
      </w:pPr>
      <w:r w:rsidRPr="005B05B3">
        <w:t xml:space="preserve">Registration will be </w:t>
      </w:r>
      <w:r w:rsidR="1555924C" w:rsidRPr="005B05B3">
        <w:t>automatic upon meeting the application criteria.</w:t>
      </w:r>
      <w:r w:rsidR="000D5922" w:rsidRPr="005B05B3">
        <w:t xml:space="preserve"> </w:t>
      </w:r>
      <w:r w:rsidR="1555924C" w:rsidRPr="005B05B3">
        <w:t xml:space="preserve">Subject to </w:t>
      </w:r>
      <w:r w:rsidR="00B45385" w:rsidRPr="005B05B3">
        <w:t>this, when</w:t>
      </w:r>
      <w:r w:rsidRPr="005B05B3">
        <w:t xml:space="preserve"> a </w:t>
      </w:r>
      <w:r w:rsidR="00C65AC8" w:rsidRPr="005B05B3">
        <w:t>p</w:t>
      </w:r>
      <w:r w:rsidRPr="005B05B3">
        <w:t xml:space="preserve">articipant or their </w:t>
      </w:r>
      <w:r w:rsidR="00201312" w:rsidRPr="005B05B3">
        <w:t>N</w:t>
      </w:r>
      <w:r w:rsidRPr="005B05B3">
        <w:t xml:space="preserve">ominee registers the self-directed support, they will automatically receive a registration reference number and that concludes the registration process. </w:t>
      </w:r>
    </w:p>
    <w:p w14:paraId="6C3B4D8C" w14:textId="7617068E" w:rsidR="00E23341" w:rsidRPr="005B05B3" w:rsidRDefault="00E23341" w:rsidP="008F74C5">
      <w:pPr>
        <w:spacing w:line="276" w:lineRule="auto"/>
      </w:pPr>
      <w:r w:rsidRPr="005B05B3">
        <w:t xml:space="preserve">The NDIS Commission will review registrations made and can contact the </w:t>
      </w:r>
      <w:r w:rsidR="00C65AC8" w:rsidRPr="005B05B3">
        <w:t>p</w:t>
      </w:r>
      <w:r w:rsidRPr="005B05B3">
        <w:t>articipant or Nominee to follow up as needed. Registration will be done</w:t>
      </w:r>
      <w:r w:rsidR="5A7D37C0" w:rsidRPr="005B05B3">
        <w:t xml:space="preserve"> as far as practicable</w:t>
      </w:r>
      <w:r w:rsidRPr="005B05B3">
        <w:t xml:space="preserve"> online</w:t>
      </w:r>
      <w:r w:rsidR="008A583C" w:rsidRPr="005B05B3">
        <w:t>,</w:t>
      </w:r>
      <w:r w:rsidRPr="005B05B3">
        <w:t xml:space="preserve"> but alternative formats and assistance from the NDIS Commission with the process should be made available.</w:t>
      </w:r>
    </w:p>
    <w:p w14:paraId="488C28F4" w14:textId="3D0AD0BE" w:rsidR="00E23341" w:rsidRPr="005B05B3" w:rsidRDefault="00E23341" w:rsidP="008F74C5">
      <w:pPr>
        <w:spacing w:line="276" w:lineRule="auto"/>
      </w:pPr>
      <w:r w:rsidRPr="005B05B3">
        <w:t xml:space="preserve">The </w:t>
      </w:r>
      <w:r w:rsidR="006D37F9" w:rsidRPr="005B05B3">
        <w:t>O</w:t>
      </w:r>
      <w:r w:rsidRPr="005B05B3">
        <w:t xml:space="preserve">bligations required for self-directed supports are detailed in </w:t>
      </w:r>
      <w:hyperlink w:anchor="_NDIS_Provider_Obligations" w:history="1">
        <w:r w:rsidRPr="0081579E">
          <w:rPr>
            <w:rStyle w:val="Hyperlink"/>
            <w:rFonts w:ascii="Aptos" w:hAnsi="Aptos"/>
          </w:rPr>
          <w:t xml:space="preserve">Chapter </w:t>
        </w:r>
        <w:r w:rsidR="0081579E" w:rsidRPr="0081579E">
          <w:rPr>
            <w:rStyle w:val="Hyperlink"/>
            <w:rFonts w:ascii="Aptos" w:hAnsi="Aptos"/>
          </w:rPr>
          <w:t>8</w:t>
        </w:r>
      </w:hyperlink>
      <w:r w:rsidRPr="005B05B3">
        <w:t>.</w:t>
      </w:r>
    </w:p>
    <w:p w14:paraId="0F94C7F8" w14:textId="1FBD92D8" w:rsidR="002E04F5" w:rsidRPr="005B05B3" w:rsidRDefault="00B45385" w:rsidP="008F74C5">
      <w:pPr>
        <w:spacing w:line="276" w:lineRule="auto"/>
      </w:pPr>
      <w:r w:rsidRPr="005B05B3">
        <w:t>The</w:t>
      </w:r>
      <w:r w:rsidR="002E04F5" w:rsidRPr="005B05B3">
        <w:t xml:space="preserve"> Taskforce acknowledges that registration of self-directed supports adds an element of administrative burden that is unwelcome for some.</w:t>
      </w:r>
    </w:p>
    <w:p w14:paraId="59C828A5" w14:textId="77777777" w:rsidR="002E04F5" w:rsidRPr="005B05B3" w:rsidRDefault="002E04F5" w:rsidP="008F74C5">
      <w:pPr>
        <w:pStyle w:val="Quote"/>
        <w:spacing w:line="276" w:lineRule="auto"/>
      </w:pPr>
      <w:r w:rsidRPr="008E70B7">
        <w:t>NO [registration]. Self directing supports, services for one and direct employment already involve a LOT of unpaid administrative work. Oversight can be achieved as we claim through the NDIS Portal.</w:t>
      </w:r>
      <w:r w:rsidRPr="008E70B7">
        <w:rPr>
          <w:rStyle w:val="FootnoteReference"/>
        </w:rPr>
        <w:footnoteReference w:id="158"/>
      </w:r>
      <w:r w:rsidRPr="005B05B3">
        <w:rPr>
          <w:rStyle w:val="FootnoteReference"/>
        </w:rPr>
        <w:t xml:space="preserve"> </w:t>
      </w:r>
    </w:p>
    <w:p w14:paraId="6ECC1A94" w14:textId="11925138" w:rsidR="002E04F5" w:rsidRPr="005B05B3" w:rsidRDefault="002E04F5" w:rsidP="008F74C5">
      <w:pPr>
        <w:spacing w:line="276" w:lineRule="auto"/>
        <w:sectPr w:rsidR="002E04F5" w:rsidRPr="005B05B3" w:rsidSect="002E04F5">
          <w:pgSz w:w="11906" w:h="16838"/>
          <w:pgMar w:top="1769" w:right="1440" w:bottom="1440" w:left="1440" w:header="907" w:footer="709" w:gutter="0"/>
          <w:cols w:space="708"/>
          <w:titlePg/>
          <w:docGrid w:linePitch="360"/>
        </w:sectPr>
      </w:pPr>
      <w:r w:rsidRPr="005B05B3">
        <w:t>We recognise that people with disability and their families are already subject to significant administrative loads when managing their NDIS Plans. However, we hope that with this proposed approach and the benefit of co-design</w:t>
      </w:r>
      <w:r w:rsidR="00140A99">
        <w:t>,</w:t>
      </w:r>
      <w:r w:rsidRPr="005B05B3">
        <w:t xml:space="preserve"> the proposed model can adopt the least burdensome approach while still recognising self-directed supports in the regulatory framework. </w:t>
      </w:r>
    </w:p>
    <w:p w14:paraId="1D57D391" w14:textId="6056D8EF" w:rsidR="00183C30" w:rsidRPr="005B05B3" w:rsidRDefault="00183C30" w:rsidP="003D35AB">
      <w:pPr>
        <w:pStyle w:val="TSDAltHeading2"/>
        <w:spacing w:before="360" w:after="0"/>
      </w:pPr>
      <w:bookmarkStart w:id="79" w:name="_Toc170808365"/>
      <w:bookmarkStart w:id="80" w:name="_Toc173318065"/>
      <w:bookmarkEnd w:id="79"/>
      <w:r w:rsidRPr="005B05B3">
        <w:lastRenderedPageBreak/>
        <w:t>Capacity building and peer programs for self-directed supports</w:t>
      </w:r>
      <w:bookmarkEnd w:id="80"/>
    </w:p>
    <w:p w14:paraId="3C8D6D02" w14:textId="6A6704D0" w:rsidR="0074053B" w:rsidRPr="005B05B3" w:rsidRDefault="2438E21F" w:rsidP="004054D1">
      <w:pPr>
        <w:spacing w:line="276" w:lineRule="auto"/>
      </w:pPr>
      <w:r w:rsidRPr="005B05B3">
        <w:t xml:space="preserve">The Taskforce recommends the </w:t>
      </w:r>
      <w:r w:rsidR="008E70B7">
        <w:t>Government should</w:t>
      </w:r>
      <w:r w:rsidRPr="005B05B3">
        <w:t xml:space="preserve"> </w:t>
      </w:r>
      <w:r w:rsidR="46DF9D4D" w:rsidRPr="005B05B3">
        <w:t>invest in</w:t>
      </w:r>
      <w:r w:rsidRPr="005B05B3">
        <w:t xml:space="preserve"> the systemic benefits of self-directed supports by offering programs and supports for capacity building and peer supports.</w:t>
      </w:r>
    </w:p>
    <w:p w14:paraId="1C590837" w14:textId="1C0C5C2E" w:rsidR="00E23341" w:rsidRPr="005B05B3" w:rsidRDefault="2438E21F" w:rsidP="004054D1">
      <w:pPr>
        <w:spacing w:line="276" w:lineRule="auto"/>
      </w:pPr>
      <w:r w:rsidRPr="005B05B3">
        <w:t xml:space="preserve">The Taskforce has heard that people self-directing supports learn a lot from those who have done or are doing it at the moment. Some would also like to have options to build their capacity to sophisticate their arrangements. Peer support and capacity building should be co-designed with the disability community. </w:t>
      </w:r>
      <w:r w:rsidR="23EFE5E0" w:rsidRPr="005B05B3">
        <w:t xml:space="preserve">We have made recommendations </w:t>
      </w:r>
      <w:r w:rsidR="595B9289" w:rsidRPr="005B05B3">
        <w:t xml:space="preserve">for the investment in </w:t>
      </w:r>
      <w:r w:rsidR="23EFE5E0" w:rsidRPr="005B05B3">
        <w:t xml:space="preserve">peer support and capacity building which is discussed in </w:t>
      </w:r>
      <w:hyperlink w:anchor="_Implementation" w:history="1">
        <w:r w:rsidR="23EFE5E0" w:rsidRPr="00975ABD">
          <w:rPr>
            <w:rStyle w:val="Hyperlink"/>
            <w:rFonts w:ascii="Aptos" w:hAnsi="Aptos"/>
          </w:rPr>
          <w:t xml:space="preserve">Chapter </w:t>
        </w:r>
        <w:r w:rsidR="00975ABD" w:rsidRPr="00975ABD">
          <w:rPr>
            <w:rStyle w:val="Hyperlink"/>
            <w:rFonts w:ascii="Aptos" w:hAnsi="Aptos"/>
          </w:rPr>
          <w:t>10</w:t>
        </w:r>
      </w:hyperlink>
      <w:r w:rsidR="23EFE5E0" w:rsidRPr="005B05B3">
        <w:t>.</w:t>
      </w:r>
    </w:p>
    <w:p w14:paraId="05B36606" w14:textId="2841CBC1" w:rsidR="002E04F5" w:rsidRPr="005B05B3" w:rsidRDefault="002E04F5" w:rsidP="00E23341">
      <w:r w:rsidRPr="005B05B3">
        <w:br w:type="page"/>
      </w:r>
    </w:p>
    <w:bookmarkStart w:id="81" w:name="_NDIS_Provider_Obligations"/>
    <w:bookmarkStart w:id="82" w:name="_Toc170128748"/>
    <w:bookmarkStart w:id="83" w:name="_Toc173318066"/>
    <w:bookmarkEnd w:id="81"/>
    <w:p w14:paraId="3154346E" w14:textId="00E5B4DF" w:rsidR="007C5663" w:rsidRPr="005B05B3" w:rsidRDefault="00B45385" w:rsidP="000E6AC1">
      <w:pPr>
        <w:pStyle w:val="Heading1"/>
        <w:spacing w:line="240" w:lineRule="auto"/>
      </w:pPr>
      <w:r w:rsidRPr="005B05B3">
        <w:rPr>
          <w:noProof/>
        </w:rPr>
        <w:lastRenderedPageBreak/>
        <mc:AlternateContent>
          <mc:Choice Requires="wps">
            <w:drawing>
              <wp:anchor distT="0" distB="0" distL="114300" distR="114300" simplePos="0" relativeHeight="251655170" behindDoc="1" locked="0" layoutInCell="1" allowOverlap="1" wp14:anchorId="62726F70" wp14:editId="7CCAA5CD">
                <wp:simplePos x="0" y="0"/>
                <wp:positionH relativeFrom="column">
                  <wp:posOffset>-81481</wp:posOffset>
                </wp:positionH>
                <wp:positionV relativeFrom="paragraph">
                  <wp:posOffset>923403</wp:posOffset>
                </wp:positionV>
                <wp:extent cx="6014907" cy="7749767"/>
                <wp:effectExtent l="0" t="0" r="5080" b="0"/>
                <wp:wrapNone/>
                <wp:docPr id="28063435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4907" cy="7749767"/>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07A7C" id="Rectangle 1" o:spid="_x0000_s1026" alt="&quot;&quot;" style="position:absolute;margin-left:-6.4pt;margin-top:72.7pt;width:473.6pt;height:610.2pt;z-index:-251661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" fillcolor="#e8e8e8 [3214]" stroked="f" strokeweight="1pt"/>
            </w:pict>
          </mc:Fallback>
        </mc:AlternateContent>
      </w:r>
      <w:r w:rsidR="47224623" w:rsidRPr="005B05B3">
        <w:t>NDIS Provider Obligations and Processes</w:t>
      </w:r>
      <w:bookmarkEnd w:id="82"/>
      <w:bookmarkEnd w:id="83"/>
    </w:p>
    <w:p w14:paraId="54FA4837" w14:textId="3F3C929C" w:rsidR="00DA5951" w:rsidRPr="005B05B3" w:rsidRDefault="00DA5951" w:rsidP="00726A26">
      <w:pPr>
        <w:spacing w:after="0"/>
        <w:rPr>
          <w:b/>
          <w:bCs/>
        </w:rPr>
      </w:pPr>
      <w:r w:rsidRPr="005B05B3">
        <w:rPr>
          <w:b/>
          <w:bCs/>
        </w:rPr>
        <w:t>Recommendation 8</w:t>
      </w:r>
    </w:p>
    <w:p w14:paraId="7AAB83D8" w14:textId="0FA4B3FF" w:rsidR="002248D1" w:rsidRPr="005B05B3" w:rsidRDefault="002248D1" w:rsidP="002248D1">
      <w:pPr>
        <w:pStyle w:val="ListParagraph"/>
        <w:numPr>
          <w:ilvl w:val="0"/>
          <w:numId w:val="79"/>
        </w:numPr>
        <w:spacing w:line="276" w:lineRule="auto"/>
      </w:pPr>
      <w:r w:rsidRPr="005B05B3">
        <w:t>To be applied in a graduated, risk-proportionate manner (</w:t>
      </w:r>
      <w:hyperlink w:anchor="Annexure_A" w:history="1">
        <w:r w:rsidR="00013CCD" w:rsidRPr="00013CCD">
          <w:rPr>
            <w:rStyle w:val="Hyperlink"/>
            <w:rFonts w:ascii="Aptos" w:hAnsi="Aptos"/>
          </w:rPr>
          <w:t>Table1 Annexure A</w:t>
        </w:r>
        <w:r w:rsidRPr="00013CCD">
          <w:rPr>
            <w:rStyle w:val="Hyperlink"/>
            <w:rFonts w:ascii="Aptos" w:hAnsi="Aptos"/>
          </w:rPr>
          <w:t>),</w:t>
        </w:r>
      </w:hyperlink>
      <w:r w:rsidRPr="005B05B3">
        <w:t xml:space="preserve"> the Taskforce recommends that the following </w:t>
      </w:r>
      <w:r w:rsidRPr="005B05B3">
        <w:rPr>
          <w:b/>
        </w:rPr>
        <w:t>Provider Obligations</w:t>
      </w:r>
      <w:r w:rsidRPr="005B05B3">
        <w:t xml:space="preserve"> be included for registration:</w:t>
      </w:r>
    </w:p>
    <w:p w14:paraId="20EDF5C0" w14:textId="77777777" w:rsidR="002248D1" w:rsidRPr="005B05B3" w:rsidRDefault="002248D1" w:rsidP="002248D1">
      <w:pPr>
        <w:pStyle w:val="ListParagraph"/>
        <w:numPr>
          <w:ilvl w:val="1"/>
          <w:numId w:val="79"/>
        </w:numPr>
        <w:spacing w:line="276" w:lineRule="auto"/>
      </w:pPr>
      <w:r w:rsidRPr="005B05B3">
        <w:rPr>
          <w:b/>
        </w:rPr>
        <w:t xml:space="preserve">Code of Conduct: </w:t>
      </w:r>
      <w:r w:rsidRPr="005B05B3">
        <w:t>remain a legislative instrument, the Code of Conduct requires review and to be co-designed with people with disability, the disability community and disability sector.</w:t>
      </w:r>
    </w:p>
    <w:p w14:paraId="63F97906" w14:textId="77777777" w:rsidR="002248D1" w:rsidRPr="005B05B3" w:rsidRDefault="002248D1" w:rsidP="002248D1">
      <w:pPr>
        <w:pStyle w:val="ListParagraph"/>
        <w:numPr>
          <w:ilvl w:val="1"/>
          <w:numId w:val="79"/>
        </w:numPr>
        <w:spacing w:line="276" w:lineRule="auto"/>
      </w:pPr>
      <w:r w:rsidRPr="005B05B3">
        <w:rPr>
          <w:b/>
        </w:rPr>
        <w:t>Worker Screening:</w:t>
      </w:r>
      <w:r w:rsidRPr="005B05B3">
        <w:t xml:space="preserve"> to be applied to all workers employed, contracted or engaged by NDIS Providers (per our recommended definition), in risk assessed roles for Advanced and General registration categories. We do not make any recommendations to change the substance of the Screening Check in terms of intent or what is considered. We do recommend:</w:t>
      </w:r>
    </w:p>
    <w:p w14:paraId="74A4D6CF" w14:textId="77777777" w:rsidR="002248D1" w:rsidRPr="005B05B3" w:rsidRDefault="002248D1" w:rsidP="002248D1">
      <w:pPr>
        <w:pStyle w:val="ListParagraph"/>
        <w:numPr>
          <w:ilvl w:val="2"/>
          <w:numId w:val="79"/>
        </w:numPr>
        <w:spacing w:line="276" w:lineRule="auto"/>
      </w:pPr>
      <w:r w:rsidRPr="005B05B3">
        <w:t>Australian governments including the states and territories improve information sharing between jurisdictions to ensure that the information considered in a screening assessment is complete, accurate and robust</w:t>
      </w:r>
    </w:p>
    <w:p w14:paraId="72D1B829" w14:textId="77777777" w:rsidR="002248D1" w:rsidRPr="005B05B3" w:rsidRDefault="002248D1" w:rsidP="002248D1">
      <w:pPr>
        <w:pStyle w:val="ListParagraph"/>
        <w:numPr>
          <w:ilvl w:val="2"/>
          <w:numId w:val="79"/>
        </w:numPr>
        <w:spacing w:before="122" w:after="0" w:line="276" w:lineRule="auto"/>
      </w:pPr>
      <w:r w:rsidRPr="005B05B3">
        <w:t>culturally safe rules or procedures are developed to consider identification documents differences faced by First Nations peoples.</w:t>
      </w:r>
    </w:p>
    <w:p w14:paraId="7292EB90" w14:textId="77777777" w:rsidR="002248D1" w:rsidRPr="005B05B3" w:rsidRDefault="002248D1" w:rsidP="002248D1">
      <w:pPr>
        <w:pStyle w:val="ListParagraph"/>
        <w:numPr>
          <w:ilvl w:val="1"/>
          <w:numId w:val="79"/>
        </w:numPr>
        <w:spacing w:line="276" w:lineRule="auto"/>
      </w:pPr>
      <w:r w:rsidRPr="005B05B3">
        <w:rPr>
          <w:b/>
        </w:rPr>
        <w:t xml:space="preserve">Complaints: </w:t>
      </w:r>
      <w:r w:rsidRPr="005B05B3">
        <w:t xml:space="preserve">process is to be redesigned through a co-design process with people with disability. Complaints are to be a </w:t>
      </w:r>
      <w:r w:rsidRPr="005B05B3">
        <w:rPr>
          <w:lang w:val="en-US"/>
        </w:rPr>
        <w:t xml:space="preserve">Provider Obligation </w:t>
      </w:r>
      <w:r w:rsidRPr="005B05B3">
        <w:t>for all categories of registration, and a participant must be able to make a complaint about any organisation or individual if paid with NDIS funding, regardless of registration status. However, it should be recognised within the process that complaints may need to be referred to other bodies who are appropriately able to respond in certain circumstances. The Taskforce recommend that the NDIS Commission publish a Practice Note or Guideline which sets out the process, timelines and handling of complaints. For example, a complaint should be acknowledged within 7 days and unless exceptional circumstances apply, resolved within 21 days.</w:t>
      </w:r>
    </w:p>
    <w:p w14:paraId="0963D818" w14:textId="041E1FDC" w:rsidR="002248D1" w:rsidRPr="005B05B3" w:rsidRDefault="002248D1" w:rsidP="002248D1">
      <w:pPr>
        <w:pStyle w:val="ListParagraph"/>
        <w:numPr>
          <w:ilvl w:val="1"/>
          <w:numId w:val="79"/>
        </w:numPr>
        <w:spacing w:line="276" w:lineRule="auto"/>
        <w:rPr>
          <w:b/>
        </w:rPr>
      </w:pPr>
      <w:r w:rsidRPr="005B05B3">
        <w:rPr>
          <w:b/>
        </w:rPr>
        <w:t xml:space="preserve">Incident reporting: </w:t>
      </w:r>
      <w:r w:rsidRPr="005B05B3">
        <w:t xml:space="preserve">The Taskforce supports the recommendations of the Disability Royal Commission to facilitate the sharing of information between the NDIS Commission and a wider range of state and territory </w:t>
      </w:r>
      <w:r w:rsidRPr="005B05B3">
        <w:rPr>
          <w:noProof/>
        </w:rPr>
        <w:lastRenderedPageBreak/>
        <mc:AlternateContent>
          <mc:Choice Requires="wps">
            <w:drawing>
              <wp:anchor distT="0" distB="0" distL="114300" distR="114300" simplePos="0" relativeHeight="251658252" behindDoc="1" locked="0" layoutInCell="1" allowOverlap="1" wp14:anchorId="690B4992" wp14:editId="26682480">
                <wp:simplePos x="0" y="0"/>
                <wp:positionH relativeFrom="column">
                  <wp:posOffset>-90535</wp:posOffset>
                </wp:positionH>
                <wp:positionV relativeFrom="paragraph">
                  <wp:posOffset>-126799</wp:posOffset>
                </wp:positionV>
                <wp:extent cx="6173835" cy="6989275"/>
                <wp:effectExtent l="0" t="0" r="0" b="0"/>
                <wp:wrapNone/>
                <wp:docPr id="91500402"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3835" cy="698927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F7A91" id="Rectangle 17" o:spid="_x0000_s1026" alt="&quot;&quot;" style="position:absolute;margin-left:-7.15pt;margin-top:-10pt;width:486.15pt;height:550.3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" fillcolor="#e8e8e8 [3214]" stroked="f" strokeweight="1pt"/>
            </w:pict>
          </mc:Fallback>
        </mc:AlternateContent>
      </w:r>
      <w:r w:rsidRPr="005B05B3">
        <w:t>safeguarding bodies to support the safety of NDIS participants</w:t>
      </w:r>
      <w:r w:rsidRPr="005B05B3">
        <w:rPr>
          <w:vertAlign w:val="superscript"/>
        </w:rPr>
        <w:footnoteReference w:id="159"/>
      </w:r>
      <w:r w:rsidRPr="005B05B3">
        <w:t>. The Taskforce recommends that legislative amendment be considered to ensure referral of incidents to other bodies such as the police, Australian Competition and Consumer Commission (ACCC) or Ombudsman in appropriate circumstances.</w:t>
      </w:r>
    </w:p>
    <w:p w14:paraId="5665D008" w14:textId="77777777" w:rsidR="002248D1" w:rsidRPr="005B05B3" w:rsidRDefault="002248D1" w:rsidP="002248D1">
      <w:pPr>
        <w:pStyle w:val="ListParagraph"/>
        <w:numPr>
          <w:ilvl w:val="1"/>
          <w:numId w:val="79"/>
        </w:numPr>
        <w:spacing w:line="276" w:lineRule="auto"/>
      </w:pPr>
      <w:r w:rsidRPr="005B05B3">
        <w:rPr>
          <w:b/>
        </w:rPr>
        <w:t xml:space="preserve">Practice Standards: </w:t>
      </w:r>
      <w:r w:rsidRPr="005B05B3">
        <w:t>it is recommended that Practice Standards apply to Advanced and General registration categories and that they be co-designed going forward. The requirement to co-design Practice Standards should be a requirement of legislative Rules.</w:t>
      </w:r>
    </w:p>
    <w:p w14:paraId="1AEAAF68" w14:textId="77777777" w:rsidR="002248D1" w:rsidRPr="005B05B3" w:rsidRDefault="002248D1" w:rsidP="002248D1">
      <w:pPr>
        <w:pStyle w:val="ListParagraph"/>
        <w:numPr>
          <w:ilvl w:val="1"/>
          <w:numId w:val="79"/>
        </w:numPr>
        <w:spacing w:line="276" w:lineRule="auto"/>
      </w:pPr>
      <w:r w:rsidRPr="005B05B3">
        <w:rPr>
          <w:b/>
        </w:rPr>
        <w:t xml:space="preserve">Regular Check-Ins with the NDIS Commission: </w:t>
      </w:r>
      <w:r w:rsidRPr="005B05B3">
        <w:t>participants under Self Directed Support Registration</w:t>
      </w:r>
      <w:r w:rsidRPr="005B05B3" w:rsidDel="00084410">
        <w:t xml:space="preserve"> </w:t>
      </w:r>
      <w:r w:rsidRPr="005B05B3">
        <w:t>will be subject to this Obligation. We recommend that the Check-In requirements be co-designed with people with disability. However, as an Obligation, it is a requirement of gaining and maintaining registration. As such, if a Participant registered does not meet this Obligation, registration can be suspended or revoked.</w:t>
      </w:r>
    </w:p>
    <w:p w14:paraId="4880D499" w14:textId="064D98D5" w:rsidR="002248D1" w:rsidRPr="002248D1" w:rsidRDefault="002248D1" w:rsidP="002248D1">
      <w:pPr>
        <w:pStyle w:val="ListParagraph"/>
        <w:numPr>
          <w:ilvl w:val="1"/>
          <w:numId w:val="79"/>
        </w:numPr>
        <w:spacing w:after="160" w:line="276" w:lineRule="auto"/>
        <w:ind w:left="1434" w:hanging="357"/>
        <w:contextualSpacing w:val="0"/>
      </w:pPr>
      <w:r w:rsidRPr="005B05B3">
        <w:rPr>
          <w:b/>
        </w:rPr>
        <w:t>Performance Measurement (see NDIS Review Action 12.3)</w:t>
      </w:r>
      <w:r w:rsidRPr="005B05B3">
        <w:t>: designed to incentivise improvements by providers and drive greater competition on quality. It should be supported by accessible and useful information to support people with disability in making choices about providers. Over time, this should incorporate measurement of outcomes, and be accompanied by consequences for good and poor performance.</w:t>
      </w:r>
    </w:p>
    <w:p w14:paraId="77E9FDF5" w14:textId="7814940E" w:rsidR="00D10B77" w:rsidRPr="005B05B3" w:rsidRDefault="00D10B77" w:rsidP="00726A26">
      <w:pPr>
        <w:spacing w:after="0"/>
        <w:rPr>
          <w:b/>
          <w:bCs/>
        </w:rPr>
      </w:pPr>
      <w:r w:rsidRPr="005B05B3">
        <w:rPr>
          <w:b/>
          <w:bCs/>
        </w:rPr>
        <w:t>Recommendation 9</w:t>
      </w:r>
    </w:p>
    <w:p w14:paraId="0DDF8474" w14:textId="77777777" w:rsidR="00D10B77" w:rsidRPr="005B05B3" w:rsidRDefault="00D10B77" w:rsidP="00B410CC">
      <w:pPr>
        <w:spacing w:after="120"/>
      </w:pPr>
      <w:r w:rsidRPr="005B05B3">
        <w:t xml:space="preserve">The Taskforce recommend the following </w:t>
      </w:r>
      <w:r w:rsidRPr="005B05B3">
        <w:rPr>
          <w:b/>
        </w:rPr>
        <w:t>Provider Processes</w:t>
      </w:r>
      <w:r w:rsidRPr="005B05B3">
        <w:t xml:space="preserve"> which enforce the Provider Obligations:</w:t>
      </w:r>
    </w:p>
    <w:p w14:paraId="52E91587" w14:textId="77777777" w:rsidR="00D10B77" w:rsidRPr="005B05B3" w:rsidRDefault="00D10B77" w:rsidP="002248D1">
      <w:pPr>
        <w:pStyle w:val="ListParagraph"/>
        <w:numPr>
          <w:ilvl w:val="0"/>
          <w:numId w:val="49"/>
        </w:numPr>
      </w:pPr>
      <w:r w:rsidRPr="005B05B3">
        <w:t>Application</w:t>
      </w:r>
    </w:p>
    <w:p w14:paraId="52EBCF82" w14:textId="2B468A7D" w:rsidR="00D10B77" w:rsidRPr="005B05B3" w:rsidRDefault="00D10B77" w:rsidP="002248D1">
      <w:pPr>
        <w:pStyle w:val="ListParagraph"/>
        <w:numPr>
          <w:ilvl w:val="0"/>
          <w:numId w:val="49"/>
        </w:numPr>
      </w:pPr>
      <w:r w:rsidRPr="005B05B3">
        <w:t>Identification verification</w:t>
      </w:r>
    </w:p>
    <w:p w14:paraId="3B84848B" w14:textId="77777777" w:rsidR="00D10B77" w:rsidRPr="005B05B3" w:rsidRDefault="00D10B77" w:rsidP="002248D1">
      <w:pPr>
        <w:pStyle w:val="ListParagraph"/>
        <w:numPr>
          <w:ilvl w:val="0"/>
          <w:numId w:val="49"/>
        </w:numPr>
      </w:pPr>
      <w:r w:rsidRPr="005B05B3">
        <w:t>Code of conduct attestation</w:t>
      </w:r>
    </w:p>
    <w:p w14:paraId="65DDABED" w14:textId="77777777" w:rsidR="00D10B77" w:rsidRPr="005B05B3" w:rsidRDefault="00D10B77" w:rsidP="002248D1">
      <w:pPr>
        <w:pStyle w:val="ListParagraph"/>
        <w:numPr>
          <w:ilvl w:val="0"/>
          <w:numId w:val="49"/>
        </w:numPr>
      </w:pPr>
      <w:r w:rsidRPr="005B05B3">
        <w:t>Worker screening attestation</w:t>
      </w:r>
    </w:p>
    <w:p w14:paraId="04197E5D" w14:textId="77777777" w:rsidR="00D10B77" w:rsidRPr="005B05B3" w:rsidRDefault="00D10B77" w:rsidP="002248D1">
      <w:pPr>
        <w:pStyle w:val="ListParagraph"/>
        <w:numPr>
          <w:ilvl w:val="0"/>
          <w:numId w:val="49"/>
        </w:numPr>
      </w:pPr>
      <w:r w:rsidRPr="005B05B3">
        <w:t>Audits by the NDIS Commission and Audits by Approved Quality Auditors</w:t>
      </w:r>
    </w:p>
    <w:p w14:paraId="61117267" w14:textId="4C3B95D5" w:rsidR="00D10B77" w:rsidRPr="005B05B3" w:rsidRDefault="00D10B77" w:rsidP="002248D1">
      <w:pPr>
        <w:pStyle w:val="ListParagraph"/>
        <w:numPr>
          <w:ilvl w:val="0"/>
          <w:numId w:val="49"/>
        </w:numPr>
      </w:pPr>
      <w:r w:rsidRPr="005B05B3">
        <w:t>Suitability assessment of provider and key personnel</w:t>
      </w:r>
    </w:p>
    <w:p w14:paraId="757DBF1B" w14:textId="04CB8DBC" w:rsidR="00A96104" w:rsidRPr="005B05B3" w:rsidRDefault="00D10B77" w:rsidP="002248D1">
      <w:pPr>
        <w:pStyle w:val="ListParagraph"/>
        <w:numPr>
          <w:ilvl w:val="0"/>
          <w:numId w:val="49"/>
        </w:numPr>
      </w:pPr>
      <w:r w:rsidRPr="005B05B3">
        <w:t>Ongoing monitoring and compliance</w:t>
      </w:r>
    </w:p>
    <w:p w14:paraId="0B6841E2" w14:textId="77777777" w:rsidR="00975ABD" w:rsidRDefault="00975ABD" w:rsidP="00B410CC">
      <w:pPr>
        <w:spacing w:before="360"/>
        <w:rPr>
          <w:rStyle w:val="Heading2Char"/>
        </w:rPr>
      </w:pPr>
      <w:bookmarkStart w:id="84" w:name="_Toc170808368"/>
      <w:r>
        <w:rPr>
          <w:rStyle w:val="Heading2Char"/>
        </w:rPr>
        <w:br w:type="page"/>
      </w:r>
    </w:p>
    <w:p w14:paraId="0CF6A4DF" w14:textId="24AFE81C" w:rsidR="00305429" w:rsidRPr="0042268E" w:rsidRDefault="13F4012A" w:rsidP="003D35AB">
      <w:pPr>
        <w:spacing w:before="360" w:after="0"/>
        <w:rPr>
          <w:color w:val="0D2B58"/>
          <w:sz w:val="32"/>
          <w:szCs w:val="32"/>
        </w:rPr>
      </w:pPr>
      <w:bookmarkStart w:id="85" w:name="_Toc170919691"/>
      <w:r w:rsidRPr="0042268E">
        <w:rPr>
          <w:color w:val="0D2B58"/>
          <w:sz w:val="32"/>
          <w:szCs w:val="32"/>
        </w:rPr>
        <w:lastRenderedPageBreak/>
        <w:t>NDIS Provider Obligations and Processes</w:t>
      </w:r>
      <w:bookmarkEnd w:id="84"/>
      <w:bookmarkEnd w:id="85"/>
    </w:p>
    <w:p w14:paraId="2B060561" w14:textId="59542CFB" w:rsidR="00035D76" w:rsidRPr="005B05B3" w:rsidRDefault="00035D76" w:rsidP="00035D76">
      <w:r w:rsidRPr="005B05B3">
        <w:t xml:space="preserve">NDIS </w:t>
      </w:r>
      <w:r w:rsidR="00AB2EC8" w:rsidRPr="005B05B3">
        <w:t>p</w:t>
      </w:r>
      <w:r w:rsidRPr="005B05B3">
        <w:t xml:space="preserve">roviders, </w:t>
      </w:r>
      <w:r w:rsidR="00E30B48">
        <w:t>as newly defined</w:t>
      </w:r>
      <w:r w:rsidRPr="005B05B3">
        <w:t xml:space="preserve">, need to fall within the </w:t>
      </w:r>
      <w:r w:rsidR="00E30B48">
        <w:t>four</w:t>
      </w:r>
      <w:r w:rsidRPr="005B05B3">
        <w:t xml:space="preserve"> categories of registration</w:t>
      </w:r>
      <w:r w:rsidR="000C4026" w:rsidRPr="005B05B3">
        <w:t>,</w:t>
      </w:r>
      <w:r w:rsidR="20617C2C" w:rsidRPr="005B05B3">
        <w:t xml:space="preserve"> or be registered under the Self-Directed Supports </w:t>
      </w:r>
      <w:r w:rsidR="00E30B48">
        <w:t>Registration c</w:t>
      </w:r>
      <w:r w:rsidR="20617C2C" w:rsidRPr="005B05B3">
        <w:t>ategory</w:t>
      </w:r>
      <w:r w:rsidRPr="005B05B3">
        <w:t>. Each category determines the Provider Obligations and Processes which will apply to their registration.</w:t>
      </w:r>
    </w:p>
    <w:p w14:paraId="0DB1FB97" w14:textId="3E8A54AE" w:rsidR="00035D76" w:rsidRPr="005B05B3" w:rsidRDefault="00035D76" w:rsidP="00557D73">
      <w:pPr>
        <w:spacing w:line="278" w:lineRule="auto"/>
        <w:rPr>
          <w:rFonts w:eastAsia="Aptos" w:cs="Aptos"/>
        </w:rPr>
      </w:pPr>
      <w:r w:rsidRPr="005B05B3">
        <w:rPr>
          <w:rFonts w:eastAsia="Aptos" w:cs="Aptos"/>
        </w:rPr>
        <w:t xml:space="preserve">Currently, there are </w:t>
      </w:r>
      <w:r w:rsidR="0006486F" w:rsidRPr="0006486F">
        <w:rPr>
          <w:rFonts w:eastAsia="Aptos" w:cs="Aptos"/>
        </w:rPr>
        <w:t>around 16,000</w:t>
      </w:r>
      <w:r w:rsidRPr="0006486F">
        <w:rPr>
          <w:rFonts w:eastAsia="Aptos" w:cs="Aptos"/>
        </w:rPr>
        <w:t xml:space="preserve"> registered </w:t>
      </w:r>
      <w:r>
        <w:rPr>
          <w:rFonts w:eastAsia="Aptos" w:cs="Aptos"/>
        </w:rPr>
        <w:t xml:space="preserve">providers </w:t>
      </w:r>
      <w:r w:rsidRPr="0006486F">
        <w:rPr>
          <w:rFonts w:eastAsia="Aptos" w:cs="Aptos"/>
        </w:rPr>
        <w:t>and</w:t>
      </w:r>
      <w:r>
        <w:rPr>
          <w:rFonts w:eastAsia="Aptos" w:cs="Aptos"/>
        </w:rPr>
        <w:t xml:space="preserve"> </w:t>
      </w:r>
      <w:r w:rsidR="009622B1">
        <w:rPr>
          <w:rFonts w:eastAsia="Aptos" w:cs="Aptos"/>
        </w:rPr>
        <w:t>an</w:t>
      </w:r>
      <w:r w:rsidR="0006486F" w:rsidRPr="0006486F">
        <w:rPr>
          <w:rFonts w:eastAsia="Aptos" w:cs="Aptos"/>
        </w:rPr>
        <w:t xml:space="preserve"> estimated </w:t>
      </w:r>
      <w:r w:rsidR="009622B1">
        <w:rPr>
          <w:rFonts w:eastAsia="Aptos" w:cs="Aptos"/>
        </w:rPr>
        <w:t>more than</w:t>
      </w:r>
      <w:r w:rsidR="0006486F" w:rsidRPr="0006486F">
        <w:rPr>
          <w:rFonts w:eastAsia="Aptos" w:cs="Aptos"/>
        </w:rPr>
        <w:t xml:space="preserve"> 154</w:t>
      </w:r>
      <w:r w:rsidR="009622B1">
        <w:rPr>
          <w:rFonts w:eastAsia="Aptos" w:cs="Aptos"/>
        </w:rPr>
        <w:t>,</w:t>
      </w:r>
      <w:r w:rsidR="0006486F" w:rsidRPr="0006486F">
        <w:rPr>
          <w:rFonts w:eastAsia="Aptos" w:cs="Aptos"/>
        </w:rPr>
        <w:t>000</w:t>
      </w:r>
      <w:r w:rsidRPr="0006486F">
        <w:rPr>
          <w:rFonts w:eastAsia="Aptos" w:cs="Aptos"/>
        </w:rPr>
        <w:t xml:space="preserve"> unregistered providers</w:t>
      </w:r>
      <w:r w:rsidR="009A5B9F">
        <w:rPr>
          <w:rStyle w:val="FootnoteReference"/>
          <w:rFonts w:eastAsia="Aptos" w:cs="Aptos"/>
        </w:rPr>
        <w:footnoteReference w:id="160"/>
      </w:r>
      <w:r w:rsidRPr="005B05B3">
        <w:rPr>
          <w:rFonts w:eastAsia="Aptos" w:cs="Aptos"/>
        </w:rPr>
        <w:t xml:space="preserve">. For the purposes of providing this advice, the Taskforce has not modelled how many providers would be caught by the proposed registration scheme. This will be an important </w:t>
      </w:r>
      <w:r w:rsidR="00040374" w:rsidRPr="005B05B3">
        <w:rPr>
          <w:rFonts w:eastAsia="Aptos" w:cs="Aptos"/>
        </w:rPr>
        <w:t xml:space="preserve">piece </w:t>
      </w:r>
      <w:r w:rsidRPr="005B05B3">
        <w:rPr>
          <w:rFonts w:eastAsia="Aptos" w:cs="Aptos"/>
        </w:rPr>
        <w:t>of work to be done if the Government accept</w:t>
      </w:r>
      <w:r w:rsidR="00040374" w:rsidRPr="005B05B3">
        <w:rPr>
          <w:rFonts w:eastAsia="Aptos" w:cs="Aptos"/>
        </w:rPr>
        <w:t>s</w:t>
      </w:r>
      <w:r w:rsidRPr="005B05B3">
        <w:rPr>
          <w:rFonts w:eastAsia="Aptos" w:cs="Aptos"/>
        </w:rPr>
        <w:t xml:space="preserve"> the recommendations to implement the proposed model.</w:t>
      </w:r>
    </w:p>
    <w:p w14:paraId="000D97DE" w14:textId="77777777" w:rsidR="00035D76" w:rsidRPr="0042268E" w:rsidRDefault="05E450BF" w:rsidP="003D35AB">
      <w:pPr>
        <w:spacing w:before="360" w:after="0"/>
        <w:rPr>
          <w:color w:val="0D2B58"/>
          <w:sz w:val="32"/>
          <w:szCs w:val="32"/>
        </w:rPr>
      </w:pPr>
      <w:bookmarkStart w:id="86" w:name="_Toc170128749"/>
      <w:r w:rsidRPr="0042268E">
        <w:rPr>
          <w:color w:val="0D2B58"/>
          <w:sz w:val="32"/>
          <w:szCs w:val="32"/>
        </w:rPr>
        <w:t>Overarching approach to Provider Obligation and Processes</w:t>
      </w:r>
      <w:bookmarkEnd w:id="86"/>
    </w:p>
    <w:p w14:paraId="2487C21E" w14:textId="495B6161" w:rsidR="00035D76" w:rsidRPr="005B05B3" w:rsidRDefault="00035D76" w:rsidP="00035D76">
      <w:pPr>
        <w:spacing w:line="278" w:lineRule="auto"/>
        <w:rPr>
          <w:rFonts w:eastAsia="Aptos" w:cs="Aptos"/>
        </w:rPr>
      </w:pPr>
      <w:r w:rsidRPr="005B05B3">
        <w:rPr>
          <w:rFonts w:eastAsia="Aptos" w:cs="Aptos"/>
        </w:rPr>
        <w:t>In developing a category of NDIS Provider Registration, the Taskforce is clear that the system must be designed for competence and recognise excellence in service providers.</w:t>
      </w:r>
    </w:p>
    <w:p w14:paraId="072EC1A9" w14:textId="7A185F21" w:rsidR="00035D76" w:rsidRPr="005B05B3" w:rsidRDefault="00035D76" w:rsidP="00035D76">
      <w:pPr>
        <w:spacing w:line="278" w:lineRule="auto"/>
        <w:rPr>
          <w:rFonts w:eastAsia="Aptos" w:cs="Aptos"/>
        </w:rPr>
      </w:pPr>
      <w:r w:rsidRPr="005B05B3">
        <w:rPr>
          <w:rFonts w:eastAsia="Aptos" w:cs="Aptos"/>
        </w:rPr>
        <w:t xml:space="preserve">Registration will apply to all NDIS </w:t>
      </w:r>
      <w:r w:rsidR="00AB2EC8" w:rsidRPr="005B05B3">
        <w:rPr>
          <w:rFonts w:eastAsia="Aptos" w:cs="Aptos"/>
        </w:rPr>
        <w:t>p</w:t>
      </w:r>
      <w:r w:rsidRPr="005B05B3">
        <w:rPr>
          <w:rFonts w:eastAsia="Aptos" w:cs="Aptos"/>
        </w:rPr>
        <w:t>roviders</w:t>
      </w:r>
      <w:r w:rsidR="23A39D77" w:rsidRPr="005B05B3">
        <w:rPr>
          <w:rFonts w:eastAsia="Aptos" w:cs="Aptos"/>
        </w:rPr>
        <w:t xml:space="preserve">, but the Taskforce </w:t>
      </w:r>
      <w:r w:rsidR="00ED27E0">
        <w:rPr>
          <w:rFonts w:eastAsia="Aptos" w:cs="Aptos"/>
        </w:rPr>
        <w:t>recommends</w:t>
      </w:r>
      <w:r w:rsidR="23A39D77" w:rsidRPr="005B05B3">
        <w:rPr>
          <w:rFonts w:eastAsia="Aptos" w:cs="Aptos"/>
        </w:rPr>
        <w:t xml:space="preserve"> that the scope of who is a </w:t>
      </w:r>
      <w:r w:rsidR="002661C9" w:rsidRPr="005B05B3">
        <w:rPr>
          <w:rFonts w:eastAsia="Aptos" w:cs="Aptos"/>
        </w:rPr>
        <w:t>p</w:t>
      </w:r>
      <w:r w:rsidR="23A39D77" w:rsidRPr="005B05B3">
        <w:rPr>
          <w:rFonts w:eastAsia="Aptos" w:cs="Aptos"/>
        </w:rPr>
        <w:t>rovider needs to be subject to further consultation and co-design with the disability community and sector</w:t>
      </w:r>
      <w:r w:rsidR="5B4EA3E7" w:rsidRPr="005B05B3">
        <w:rPr>
          <w:rFonts w:eastAsia="Aptos" w:cs="Aptos"/>
        </w:rPr>
        <w:t xml:space="preserve">. </w:t>
      </w:r>
      <w:r w:rsidRPr="005B05B3">
        <w:rPr>
          <w:rFonts w:eastAsia="Aptos" w:cs="Aptos"/>
        </w:rPr>
        <w:t xml:space="preserve">Categories of registration are provided in </w:t>
      </w:r>
      <w:hyperlink w:anchor="_Registration_categories" w:history="1">
        <w:r w:rsidRPr="00975ABD">
          <w:rPr>
            <w:rStyle w:val="Hyperlink"/>
            <w:rFonts w:ascii="Aptos" w:eastAsia="Aptos" w:hAnsi="Aptos" w:cs="Aptos"/>
          </w:rPr>
          <w:t xml:space="preserve">Chapter </w:t>
        </w:r>
        <w:r w:rsidR="00716219" w:rsidRPr="00975ABD">
          <w:rPr>
            <w:rStyle w:val="Hyperlink"/>
            <w:rFonts w:ascii="Aptos" w:eastAsia="Aptos" w:hAnsi="Aptos" w:cs="Aptos"/>
          </w:rPr>
          <w:t>5</w:t>
        </w:r>
      </w:hyperlink>
      <w:r w:rsidRPr="005B05B3">
        <w:rPr>
          <w:rFonts w:eastAsia="Aptos" w:cs="Aptos"/>
        </w:rPr>
        <w:t>.</w:t>
      </w:r>
    </w:p>
    <w:p w14:paraId="27C81975" w14:textId="272842FB" w:rsidR="00035D76" w:rsidRPr="005B05B3" w:rsidRDefault="00B45385" w:rsidP="00035D76">
      <w:pPr>
        <w:spacing w:line="278" w:lineRule="auto"/>
        <w:rPr>
          <w:rFonts w:eastAsia="Aptos" w:cs="Aptos"/>
        </w:rPr>
      </w:pPr>
      <w:r w:rsidRPr="005B05B3">
        <w:rPr>
          <w:rFonts w:eastAsia="Aptos" w:cs="Aptos"/>
        </w:rPr>
        <w:t>We</w:t>
      </w:r>
      <w:r w:rsidR="00035D76" w:rsidRPr="005B05B3">
        <w:rPr>
          <w:rFonts w:eastAsia="Aptos" w:cs="Aptos"/>
        </w:rPr>
        <w:t xml:space="preserve"> have also made specific comment on platform providers</w:t>
      </w:r>
      <w:r w:rsidR="00A64FBF" w:rsidRPr="005B05B3">
        <w:rPr>
          <w:rFonts w:eastAsia="Aptos" w:cs="Aptos"/>
        </w:rPr>
        <w:t xml:space="preserve"> (refer </w:t>
      </w:r>
      <w:hyperlink w:anchor="_Inclusion_of_types" w:history="1">
        <w:r w:rsidR="00A64FBF" w:rsidRPr="00975ABD">
          <w:rPr>
            <w:rStyle w:val="Hyperlink"/>
            <w:rFonts w:ascii="Aptos" w:eastAsia="Aptos" w:hAnsi="Aptos" w:cs="Aptos"/>
          </w:rPr>
          <w:t xml:space="preserve">Chapter </w:t>
        </w:r>
        <w:r w:rsidR="00716219" w:rsidRPr="00975ABD">
          <w:rPr>
            <w:rStyle w:val="Hyperlink"/>
            <w:rFonts w:ascii="Aptos" w:eastAsia="Aptos" w:hAnsi="Aptos" w:cs="Aptos"/>
          </w:rPr>
          <w:t>6</w:t>
        </w:r>
      </w:hyperlink>
      <w:r w:rsidR="00A64FBF" w:rsidRPr="005B05B3">
        <w:rPr>
          <w:rFonts w:eastAsia="Aptos" w:cs="Aptos"/>
        </w:rPr>
        <w:t>)</w:t>
      </w:r>
      <w:r w:rsidR="00035D76" w:rsidRPr="005B05B3">
        <w:rPr>
          <w:rFonts w:eastAsia="Aptos" w:cs="Aptos"/>
        </w:rPr>
        <w:t>, in accordance with our Terms of Reference</w:t>
      </w:r>
      <w:r w:rsidR="009B5CBD" w:rsidRPr="005B05B3">
        <w:rPr>
          <w:rFonts w:eastAsia="Aptos" w:cs="Aptos"/>
        </w:rPr>
        <w:t xml:space="preserve">, </w:t>
      </w:r>
      <w:r w:rsidRPr="005B05B3">
        <w:rPr>
          <w:rFonts w:eastAsia="Aptos" w:cs="Aptos"/>
        </w:rPr>
        <w:t>and have</w:t>
      </w:r>
      <w:r w:rsidR="00035D76" w:rsidRPr="005B05B3">
        <w:rPr>
          <w:rFonts w:eastAsia="Aptos" w:cs="Aptos"/>
        </w:rPr>
        <w:t xml:space="preserve"> recommended that they be treated the same as other providers presenting similar risks and so are included </w:t>
      </w:r>
      <w:r w:rsidR="008F420A" w:rsidRPr="005B05B3">
        <w:rPr>
          <w:rFonts w:eastAsia="Aptos" w:cs="Aptos"/>
        </w:rPr>
        <w:t>as an NDIS provider subject to registration</w:t>
      </w:r>
      <w:r w:rsidR="00035D76" w:rsidRPr="005B05B3">
        <w:rPr>
          <w:rFonts w:eastAsia="Aptos" w:cs="Aptos"/>
        </w:rPr>
        <w:t>.</w:t>
      </w:r>
    </w:p>
    <w:p w14:paraId="004D8DC7" w14:textId="60ABF815" w:rsidR="00730408" w:rsidRPr="005B05B3" w:rsidRDefault="00730408" w:rsidP="003D35AB">
      <w:pPr>
        <w:pStyle w:val="TSDAltHeading2"/>
        <w:spacing w:before="360" w:after="0"/>
      </w:pPr>
      <w:bookmarkStart w:id="87" w:name="_Toc173318067"/>
      <w:r>
        <w:t>Strengthening Provider Obligations</w:t>
      </w:r>
      <w:bookmarkEnd w:id="87"/>
    </w:p>
    <w:p w14:paraId="1299DB2A" w14:textId="60ABF815" w:rsidR="00035D76" w:rsidRPr="0042268E" w:rsidRDefault="00E7353D" w:rsidP="003D35AB">
      <w:pPr>
        <w:pStyle w:val="Heading3"/>
        <w:spacing w:before="120" w:after="0"/>
      </w:pPr>
      <w:bookmarkStart w:id="88" w:name="_Toc170128750"/>
      <w:bookmarkStart w:id="89" w:name="_Toc170808369"/>
      <w:bookmarkStart w:id="90" w:name="_Toc170919693"/>
      <w:r w:rsidRPr="0042268E">
        <w:t xml:space="preserve">Existing types of </w:t>
      </w:r>
      <w:r w:rsidR="05E450BF" w:rsidRPr="0042268E">
        <w:t>Provider Obligations</w:t>
      </w:r>
      <w:bookmarkEnd w:id="88"/>
      <w:bookmarkEnd w:id="89"/>
      <w:bookmarkEnd w:id="90"/>
    </w:p>
    <w:p w14:paraId="5B336077" w14:textId="141AE530" w:rsidR="00035D76" w:rsidRPr="005B05B3" w:rsidRDefault="00035D76" w:rsidP="009F682D">
      <w:pPr>
        <w:pStyle w:val="TSDAltHeading3"/>
      </w:pPr>
      <w:bookmarkStart w:id="91" w:name="_Toc170128751"/>
      <w:r w:rsidRPr="005B05B3">
        <w:t>Code of Conduct</w:t>
      </w:r>
      <w:bookmarkEnd w:id="91"/>
    </w:p>
    <w:p w14:paraId="2E1A638E" w14:textId="36361678" w:rsidR="00035D76" w:rsidRPr="005B05B3" w:rsidRDefault="00035D76" w:rsidP="00035D76">
      <w:pPr>
        <w:spacing w:line="278" w:lineRule="auto"/>
        <w:rPr>
          <w:rFonts w:eastAsia="Aptos" w:cs="Aptos"/>
        </w:rPr>
      </w:pPr>
      <w:r w:rsidRPr="005B05B3">
        <w:rPr>
          <w:rFonts w:eastAsia="Aptos" w:cs="Aptos"/>
        </w:rPr>
        <w:t xml:space="preserve">The </w:t>
      </w:r>
      <w:r w:rsidRPr="005B05B3">
        <w:rPr>
          <w:rFonts w:eastAsia="Aptos" w:cs="Aptos"/>
          <w:i/>
          <w:iCs/>
        </w:rPr>
        <w:t>N</w:t>
      </w:r>
      <w:r w:rsidR="00ED27E0">
        <w:rPr>
          <w:rFonts w:eastAsia="Aptos" w:cs="Aptos"/>
          <w:i/>
          <w:iCs/>
        </w:rPr>
        <w:t xml:space="preserve">ational </w:t>
      </w:r>
      <w:r w:rsidRPr="005B05B3">
        <w:rPr>
          <w:rFonts w:eastAsia="Aptos" w:cs="Aptos"/>
          <w:i/>
          <w:iCs/>
        </w:rPr>
        <w:t>D</w:t>
      </w:r>
      <w:r w:rsidR="00ED27E0">
        <w:rPr>
          <w:rFonts w:eastAsia="Aptos" w:cs="Aptos"/>
          <w:i/>
          <w:iCs/>
        </w:rPr>
        <w:t xml:space="preserve">isability Insurance </w:t>
      </w:r>
      <w:r w:rsidRPr="005B05B3">
        <w:rPr>
          <w:rFonts w:eastAsia="Aptos" w:cs="Aptos"/>
          <w:i/>
          <w:iCs/>
        </w:rPr>
        <w:t>S</w:t>
      </w:r>
      <w:r w:rsidR="00ED27E0">
        <w:rPr>
          <w:rFonts w:eastAsia="Aptos" w:cs="Aptos"/>
          <w:i/>
          <w:iCs/>
        </w:rPr>
        <w:t>cheme</w:t>
      </w:r>
      <w:r w:rsidRPr="005B05B3">
        <w:rPr>
          <w:rFonts w:eastAsia="Aptos" w:cs="Aptos"/>
          <w:i/>
          <w:iCs/>
        </w:rPr>
        <w:t xml:space="preserve"> (Code of Conduct) Rules 2018</w:t>
      </w:r>
      <w:r w:rsidRPr="005B05B3">
        <w:rPr>
          <w:rFonts w:eastAsia="Aptos" w:cs="Aptos"/>
        </w:rPr>
        <w:t xml:space="preserve"> (</w:t>
      </w:r>
      <w:r w:rsidR="00AE18BE" w:rsidRPr="005B05B3">
        <w:rPr>
          <w:rFonts w:eastAsia="Aptos" w:cs="Aptos"/>
        </w:rPr>
        <w:t>‘</w:t>
      </w:r>
      <w:r w:rsidRPr="005B05B3">
        <w:rPr>
          <w:rFonts w:eastAsia="Aptos" w:cs="Aptos"/>
        </w:rPr>
        <w:t>Code of Conduct</w:t>
      </w:r>
      <w:r w:rsidR="00AE18BE" w:rsidRPr="005B05B3">
        <w:rPr>
          <w:rFonts w:eastAsia="Aptos" w:cs="Aptos"/>
        </w:rPr>
        <w:t>’</w:t>
      </w:r>
      <w:r w:rsidRPr="005B05B3">
        <w:rPr>
          <w:rFonts w:eastAsia="Aptos" w:cs="Aptos"/>
        </w:rPr>
        <w:t xml:space="preserve">) is an essential component of the regulatory framework. Currently, it applies to all providers and persons employed or engaged by NDIS </w:t>
      </w:r>
      <w:r w:rsidR="00AB2EC8" w:rsidRPr="005B05B3">
        <w:rPr>
          <w:rFonts w:eastAsia="Aptos" w:cs="Aptos"/>
        </w:rPr>
        <w:t>p</w:t>
      </w:r>
      <w:r w:rsidRPr="005B05B3">
        <w:rPr>
          <w:rFonts w:eastAsia="Aptos" w:cs="Aptos"/>
        </w:rPr>
        <w:t>roviders, regardless of registration status and is established under section 73V of the NDIS Act. The Code of Conduct is short, providing nine obligations which focus on the respect of individual rights and freedoms and providing safe, competent and fair services.</w:t>
      </w:r>
      <w:r w:rsidRPr="005B05B3">
        <w:rPr>
          <w:rStyle w:val="FootnoteReference"/>
          <w:rFonts w:eastAsia="Aptos" w:cs="Aptos"/>
        </w:rPr>
        <w:footnoteReference w:id="161"/>
      </w:r>
      <w:r w:rsidRPr="005B05B3">
        <w:rPr>
          <w:rFonts w:eastAsia="Aptos" w:cs="Aptos"/>
        </w:rPr>
        <w:t xml:space="preserve"> Breaches of the </w:t>
      </w:r>
      <w:r w:rsidRPr="005B05B3">
        <w:rPr>
          <w:rFonts w:eastAsia="Aptos" w:cs="Aptos"/>
        </w:rPr>
        <w:lastRenderedPageBreak/>
        <w:t>Code of Conduct can be complained to the NDIS Commission for investigation and resolution</w:t>
      </w:r>
      <w:r w:rsidR="0060417E" w:rsidRPr="005B05B3">
        <w:rPr>
          <w:rFonts w:eastAsia="Aptos" w:cs="Aptos"/>
        </w:rPr>
        <w:t>.</w:t>
      </w:r>
    </w:p>
    <w:p w14:paraId="3D00100A" w14:textId="5AF81DAB" w:rsidR="00035D76" w:rsidRPr="005B05B3" w:rsidRDefault="00035D76" w:rsidP="70A979FC">
      <w:pPr>
        <w:spacing w:line="278" w:lineRule="auto"/>
        <w:rPr>
          <w:rFonts w:eastAsia="Aptos" w:cs="Aptos"/>
        </w:rPr>
      </w:pPr>
      <w:r w:rsidRPr="005B05B3">
        <w:rPr>
          <w:rFonts w:eastAsia="Aptos" w:cs="Aptos"/>
        </w:rPr>
        <w:t xml:space="preserve">The Taskforce has heard that the current Code of Conduct is not properly understood by NDIS </w:t>
      </w:r>
      <w:r w:rsidR="00AB2EC8" w:rsidRPr="005B05B3">
        <w:rPr>
          <w:rFonts w:eastAsia="Aptos" w:cs="Aptos"/>
        </w:rPr>
        <w:t>p</w:t>
      </w:r>
      <w:r w:rsidRPr="005B05B3">
        <w:rPr>
          <w:rFonts w:eastAsia="Aptos" w:cs="Aptos"/>
        </w:rPr>
        <w:t xml:space="preserve">roviders or </w:t>
      </w:r>
      <w:r w:rsidR="00D778EE" w:rsidRPr="005B05B3">
        <w:rPr>
          <w:rFonts w:eastAsia="Aptos" w:cs="Aptos"/>
        </w:rPr>
        <w:t>p</w:t>
      </w:r>
      <w:r w:rsidRPr="005B05B3">
        <w:rPr>
          <w:rFonts w:eastAsia="Aptos" w:cs="Aptos"/>
        </w:rPr>
        <w:t xml:space="preserve">articipants. The Code of Conduct legislative </w:t>
      </w:r>
      <w:r w:rsidR="003607AC" w:rsidRPr="005B05B3">
        <w:rPr>
          <w:rFonts w:eastAsia="Aptos" w:cs="Aptos"/>
        </w:rPr>
        <w:t>instrument is</w:t>
      </w:r>
      <w:r w:rsidRPr="005B05B3">
        <w:rPr>
          <w:rFonts w:eastAsia="Aptos" w:cs="Aptos"/>
        </w:rPr>
        <w:t xml:space="preserve"> not well-known. Some NDIS </w:t>
      </w:r>
      <w:r w:rsidR="00AB2EC8" w:rsidRPr="005B05B3">
        <w:rPr>
          <w:rFonts w:eastAsia="Aptos" w:cs="Aptos"/>
        </w:rPr>
        <w:t>p</w:t>
      </w:r>
      <w:r w:rsidRPr="005B05B3">
        <w:rPr>
          <w:rFonts w:eastAsia="Aptos" w:cs="Aptos"/>
        </w:rPr>
        <w:t>roviders were not even aware of its existence. Instead, a 38-page version issued by the NDIS Commission is thought to be the official Code of Conduct.</w:t>
      </w:r>
      <w:r w:rsidRPr="005B05B3">
        <w:rPr>
          <w:rStyle w:val="FootnoteReference"/>
          <w:rFonts w:eastAsia="Aptos" w:cs="Aptos"/>
        </w:rPr>
        <w:footnoteReference w:id="162"/>
      </w:r>
      <w:r w:rsidRPr="005B05B3">
        <w:rPr>
          <w:rFonts w:eastAsia="Aptos" w:cs="Aptos"/>
        </w:rPr>
        <w:t xml:space="preserve"> That has caused significant confusion.</w:t>
      </w:r>
    </w:p>
    <w:p w14:paraId="456A0B63" w14:textId="5DAE26EB" w:rsidR="00035D76" w:rsidRPr="005B05B3" w:rsidRDefault="00035D76" w:rsidP="00035D76">
      <w:pPr>
        <w:spacing w:line="278" w:lineRule="auto"/>
        <w:rPr>
          <w:rFonts w:eastAsia="Aptos" w:cs="Aptos"/>
        </w:rPr>
      </w:pPr>
      <w:r w:rsidRPr="005B05B3">
        <w:rPr>
          <w:rFonts w:eastAsia="Aptos" w:cs="Aptos"/>
        </w:rPr>
        <w:t>The Taskforce is not surprised that there is confusion</w:t>
      </w:r>
      <w:r w:rsidR="007075EC" w:rsidRPr="005B05B3">
        <w:rPr>
          <w:rFonts w:eastAsia="Aptos" w:cs="Aptos"/>
        </w:rPr>
        <w:t>.</w:t>
      </w:r>
      <w:r w:rsidRPr="005B05B3">
        <w:rPr>
          <w:rFonts w:eastAsia="Aptos" w:cs="Aptos"/>
        </w:rPr>
        <w:t xml:space="preserve"> </w:t>
      </w:r>
      <w:r w:rsidR="007075EC" w:rsidRPr="005B05B3">
        <w:rPr>
          <w:rFonts w:eastAsia="Aptos" w:cs="Aptos"/>
        </w:rPr>
        <w:t>W</w:t>
      </w:r>
      <w:r w:rsidRPr="005B05B3">
        <w:rPr>
          <w:rFonts w:eastAsia="Aptos" w:cs="Aptos"/>
        </w:rPr>
        <w:t xml:space="preserve">hen you search for </w:t>
      </w:r>
      <w:r w:rsidR="00AE18BE" w:rsidRPr="005B05B3">
        <w:rPr>
          <w:rFonts w:eastAsia="Aptos" w:cs="Aptos"/>
        </w:rPr>
        <w:t>‘</w:t>
      </w:r>
      <w:r w:rsidRPr="005B05B3">
        <w:rPr>
          <w:rFonts w:eastAsia="Aptos" w:cs="Aptos"/>
        </w:rPr>
        <w:t>the NDIS Code of Conduct</w:t>
      </w:r>
      <w:r w:rsidR="00AE18BE" w:rsidRPr="005B05B3">
        <w:rPr>
          <w:rFonts w:eastAsia="Aptos" w:cs="Aptos"/>
        </w:rPr>
        <w:t>’</w:t>
      </w:r>
      <w:r w:rsidRPr="005B05B3">
        <w:rPr>
          <w:rFonts w:eastAsia="Aptos" w:cs="Aptos"/>
        </w:rPr>
        <w:t xml:space="preserve"> </w:t>
      </w:r>
      <w:r w:rsidR="00E30B48">
        <w:rPr>
          <w:rFonts w:eastAsia="Aptos" w:cs="Aptos"/>
        </w:rPr>
        <w:t xml:space="preserve">online </w:t>
      </w:r>
      <w:r w:rsidRPr="005B05B3">
        <w:rPr>
          <w:rFonts w:eastAsia="Aptos" w:cs="Aptos"/>
        </w:rPr>
        <w:t>or look at the NDIS Commission webpage, the NDIS Commission’s version is shown. To find the legislative instrument, you need to specifically search for that or go to the Federal Legislation webpage. Based on the 38-page version, people told us that it was too long, they did not understand it and there were no alternative versions available. The Taskforce did find accessible versions, but it took considerable searching online and is not considered a</w:t>
      </w:r>
      <w:r w:rsidR="00E241FC">
        <w:rPr>
          <w:rFonts w:eastAsia="Aptos" w:cs="Aptos"/>
        </w:rPr>
        <w:t>n</w:t>
      </w:r>
      <w:r w:rsidR="003607AC" w:rsidRPr="005B05B3">
        <w:rPr>
          <w:rFonts w:eastAsia="Aptos" w:cs="Aptos"/>
        </w:rPr>
        <w:t xml:space="preserve"> easy</w:t>
      </w:r>
      <w:r w:rsidRPr="005B05B3">
        <w:rPr>
          <w:rFonts w:eastAsia="Aptos" w:cs="Aptos"/>
        </w:rPr>
        <w:t xml:space="preserve"> option for people to access. Th</w:t>
      </w:r>
      <w:r w:rsidR="00DD3337" w:rsidRPr="005B05B3">
        <w:rPr>
          <w:rFonts w:eastAsia="Aptos" w:cs="Aptos"/>
        </w:rPr>
        <w:t>e Code of Conduct</w:t>
      </w:r>
      <w:r w:rsidRPr="005B05B3">
        <w:rPr>
          <w:rFonts w:eastAsia="Aptos" w:cs="Aptos"/>
        </w:rPr>
        <w:t xml:space="preserve"> needs to be made easier for people </w:t>
      </w:r>
      <w:r w:rsidR="00A0296C" w:rsidRPr="005B05B3">
        <w:rPr>
          <w:rFonts w:eastAsia="Aptos" w:cs="Aptos"/>
        </w:rPr>
        <w:t xml:space="preserve">to find, access and understand, </w:t>
      </w:r>
      <w:r w:rsidRPr="005B05B3">
        <w:rPr>
          <w:rFonts w:eastAsia="Aptos" w:cs="Aptos"/>
        </w:rPr>
        <w:t>to receive or deliver safe and quality services.</w:t>
      </w:r>
    </w:p>
    <w:p w14:paraId="44F5997F" w14:textId="1E7BF2F7" w:rsidR="00A377F4" w:rsidRPr="005B05B3" w:rsidRDefault="00035D76" w:rsidP="00035D76">
      <w:pPr>
        <w:spacing w:line="278" w:lineRule="auto"/>
        <w:rPr>
          <w:rFonts w:eastAsia="Aptos" w:cs="Aptos"/>
        </w:rPr>
      </w:pPr>
      <w:r w:rsidRPr="005B05B3">
        <w:rPr>
          <w:rFonts w:eastAsia="Aptos" w:cs="Aptos"/>
        </w:rPr>
        <w:t xml:space="preserve">There is no current requirement for NDIS </w:t>
      </w:r>
      <w:r w:rsidR="00AB2EC8" w:rsidRPr="005B05B3">
        <w:rPr>
          <w:rFonts w:eastAsia="Aptos" w:cs="Aptos"/>
        </w:rPr>
        <w:t>p</w:t>
      </w:r>
      <w:r w:rsidRPr="005B05B3">
        <w:rPr>
          <w:rFonts w:eastAsia="Aptos" w:cs="Aptos"/>
        </w:rPr>
        <w:t>roviders or people with disability to demonstrate their understanding</w:t>
      </w:r>
      <w:r w:rsidR="00532962" w:rsidRPr="005B05B3">
        <w:rPr>
          <w:rFonts w:eastAsia="Aptos" w:cs="Aptos"/>
        </w:rPr>
        <w:t xml:space="preserve"> of</w:t>
      </w:r>
      <w:r w:rsidR="002E3B41" w:rsidRPr="005B05B3">
        <w:rPr>
          <w:rFonts w:eastAsia="Aptos" w:cs="Aptos"/>
        </w:rPr>
        <w:t>, or c</w:t>
      </w:r>
      <w:r w:rsidR="00532962" w:rsidRPr="005B05B3">
        <w:rPr>
          <w:rFonts w:eastAsia="Aptos" w:cs="Aptos"/>
        </w:rPr>
        <w:t>ontinued commitment to abiding by,</w:t>
      </w:r>
      <w:r w:rsidRPr="005B05B3">
        <w:rPr>
          <w:rFonts w:eastAsia="Aptos" w:cs="Aptos"/>
        </w:rPr>
        <w:t xml:space="preserve"> the Code of Conduct.</w:t>
      </w:r>
    </w:p>
    <w:p w14:paraId="7693B87A" w14:textId="71B35E31" w:rsidR="00035D76" w:rsidRPr="005B05B3" w:rsidRDefault="00035D76" w:rsidP="004054D1">
      <w:pPr>
        <w:spacing w:after="360" w:line="278" w:lineRule="auto"/>
        <w:rPr>
          <w:rFonts w:eastAsia="Aptos" w:cs="Aptos"/>
        </w:rPr>
      </w:pPr>
      <w:r w:rsidRPr="005B05B3">
        <w:rPr>
          <w:rFonts w:eastAsia="Aptos" w:cs="Aptos"/>
        </w:rPr>
        <w:t xml:space="preserve">With the current definition of NDIS Provider being so broad, mainstream organisations caught when </w:t>
      </w:r>
      <w:r w:rsidR="002F0652" w:rsidRPr="005B05B3">
        <w:rPr>
          <w:rFonts w:eastAsia="Aptos" w:cs="Aptos"/>
        </w:rPr>
        <w:t>p</w:t>
      </w:r>
      <w:r w:rsidRPr="005B05B3">
        <w:rPr>
          <w:rFonts w:eastAsia="Aptos" w:cs="Aptos"/>
        </w:rPr>
        <w:t>articipants spend their funds with them to purchase disability-related support goods or services are absolutely unaware that the Code of Conduct applies to them or what to do if a complaint was made against them. On the Taskforce’s inquiry, in these examples of mainstream retailers or similar,</w:t>
      </w:r>
      <w:r w:rsidR="00DF7C46">
        <w:rPr>
          <w:rFonts w:eastAsia="Aptos" w:cs="Aptos"/>
        </w:rPr>
        <w:t xml:space="preserve"> the Taskforce heard</w:t>
      </w:r>
      <w:r w:rsidRPr="005B05B3">
        <w:rPr>
          <w:rFonts w:eastAsia="Aptos" w:cs="Aptos"/>
        </w:rPr>
        <w:t xml:space="preserve"> the NDIS Commission having jurisdiction to receive complaints pursuant to the Code of Conduct</w:t>
      </w:r>
      <w:r w:rsidR="00E256D8">
        <w:rPr>
          <w:rFonts w:eastAsia="Aptos" w:cs="Aptos"/>
        </w:rPr>
        <w:t>,</w:t>
      </w:r>
      <w:r w:rsidRPr="005B05B3">
        <w:rPr>
          <w:rFonts w:eastAsia="Aptos" w:cs="Aptos"/>
        </w:rPr>
        <w:t xml:space="preserve"> made no sense and was unlikely to assist the </w:t>
      </w:r>
      <w:r w:rsidR="00C65AC8" w:rsidRPr="005B05B3">
        <w:rPr>
          <w:rFonts w:eastAsia="Aptos" w:cs="Aptos"/>
        </w:rPr>
        <w:t>p</w:t>
      </w:r>
      <w:r w:rsidRPr="005B05B3">
        <w:rPr>
          <w:rFonts w:eastAsia="Aptos" w:cs="Aptos"/>
        </w:rPr>
        <w:t xml:space="preserve">articipant, </w:t>
      </w:r>
      <w:r w:rsidR="002661C9" w:rsidRPr="005B05B3">
        <w:rPr>
          <w:rFonts w:eastAsia="Aptos" w:cs="Aptos"/>
        </w:rPr>
        <w:t>p</w:t>
      </w:r>
      <w:r w:rsidRPr="005B05B3">
        <w:rPr>
          <w:rFonts w:eastAsia="Aptos" w:cs="Aptos"/>
        </w:rPr>
        <w:t>rovider or Commission. Instead, complaints of issues that may arise (for example, faulty products, poor customer service), would be better addressed by other regulators such as the ACCC.</w:t>
      </w:r>
    </w:p>
    <w:p w14:paraId="1C192432" w14:textId="343887CB" w:rsidR="00035D76" w:rsidRPr="0042268E" w:rsidRDefault="00C13450" w:rsidP="001B4BF0">
      <w:pPr>
        <w:keepNext/>
        <w:spacing w:before="360" w:after="120"/>
        <w:rPr>
          <w:color w:val="0D2B58"/>
          <w:sz w:val="32"/>
          <w:szCs w:val="32"/>
        </w:rPr>
      </w:pPr>
      <w:r w:rsidRPr="0042268E">
        <w:rPr>
          <w:color w:val="0D2B58"/>
          <w:sz w:val="32"/>
          <w:szCs w:val="32"/>
        </w:rPr>
        <w:t>Improving the Code of Conduct</w:t>
      </w:r>
    </w:p>
    <w:p w14:paraId="77FE6DF1" w14:textId="09A51D6C" w:rsidR="00BE7278" w:rsidRPr="005B05B3" w:rsidRDefault="00035D76" w:rsidP="00035D76">
      <w:pPr>
        <w:spacing w:line="278" w:lineRule="auto"/>
        <w:rPr>
          <w:rFonts w:eastAsia="Aptos" w:cs="Aptos"/>
        </w:rPr>
      </w:pPr>
      <w:r w:rsidRPr="005B05B3">
        <w:rPr>
          <w:rFonts w:eastAsia="Aptos" w:cs="Aptos"/>
        </w:rPr>
        <w:t xml:space="preserve">The Code of Conduct should be strengthened to reflect the disproportionate rates of violence, abuse, neglect and exploitation faced by people with disability but also to </w:t>
      </w:r>
      <w:r w:rsidRPr="005B05B3">
        <w:rPr>
          <w:rFonts w:eastAsia="Aptos" w:cs="Aptos"/>
        </w:rPr>
        <w:lastRenderedPageBreak/>
        <w:t xml:space="preserve">more effectively realise the right of people with disability to make their own choices, including through supported decision making frameworks. For example, currently, the NDIS Code of Conduct states that a person covered by the Code must </w:t>
      </w:r>
      <w:r w:rsidR="00AE18BE" w:rsidRPr="005B05B3">
        <w:rPr>
          <w:rFonts w:eastAsia="Aptos" w:cs="Aptos"/>
        </w:rPr>
        <w:t>‘</w:t>
      </w:r>
      <w:r w:rsidRPr="005B05B3">
        <w:rPr>
          <w:rFonts w:eastAsia="Aptos" w:cs="Aptos"/>
        </w:rPr>
        <w:t>take all reasonable steps to prevent and respond to all forms of violence against, and exploitation, neglect and abuse of, people with disability</w:t>
      </w:r>
      <w:r w:rsidR="007560A2">
        <w:rPr>
          <w:rFonts w:eastAsia="Aptos" w:cs="Aptos"/>
        </w:rPr>
        <w:t>.</w:t>
      </w:r>
      <w:r w:rsidR="00AE18BE" w:rsidRPr="005B05B3">
        <w:rPr>
          <w:rFonts w:eastAsia="Aptos" w:cs="Aptos"/>
        </w:rPr>
        <w:t>’</w:t>
      </w:r>
      <w:r w:rsidRPr="005B05B3">
        <w:rPr>
          <w:rStyle w:val="FootnoteReference"/>
          <w:rFonts w:eastAsia="Aptos" w:cs="Aptos"/>
        </w:rPr>
        <w:footnoteReference w:id="163"/>
      </w:r>
      <w:r w:rsidRPr="005B05B3">
        <w:rPr>
          <w:rFonts w:eastAsia="Aptos" w:cs="Aptos"/>
        </w:rPr>
        <w:t xml:space="preserve"> </w:t>
      </w:r>
    </w:p>
    <w:p w14:paraId="0B8E6005" w14:textId="5BF1F4D4" w:rsidR="00035D76" w:rsidRPr="005B05B3" w:rsidRDefault="00035D76" w:rsidP="00035D76">
      <w:pPr>
        <w:spacing w:line="278" w:lineRule="auto"/>
        <w:rPr>
          <w:rFonts w:eastAsia="Aptos" w:cs="Aptos"/>
        </w:rPr>
      </w:pPr>
      <w:r w:rsidRPr="005B05B3">
        <w:rPr>
          <w:rFonts w:eastAsia="Aptos" w:cs="Aptos"/>
        </w:rPr>
        <w:t xml:space="preserve">We have heard, and we agree, that this does not go far enough given what is known of the rates of violence, abuse, neglect and exploitation perpetrated against people with disability. This should be strengthened in the co-design process. </w:t>
      </w:r>
      <w:r w:rsidR="003747D2" w:rsidRPr="005B05B3">
        <w:rPr>
          <w:rStyle w:val="FootnoteReference"/>
          <w:rFonts w:eastAsia="Aptos" w:cs="Aptos"/>
        </w:rPr>
        <w:footnoteReference w:id="164"/>
      </w:r>
      <w:r w:rsidR="00857C7D" w:rsidRPr="005B05B3">
        <w:rPr>
          <w:rFonts w:eastAsia="Aptos" w:cs="Aptos"/>
        </w:rPr>
        <w:t xml:space="preserve"> </w:t>
      </w:r>
      <w:r w:rsidRPr="005B05B3">
        <w:rPr>
          <w:rFonts w:eastAsia="Aptos" w:cs="Aptos"/>
        </w:rPr>
        <w:t xml:space="preserve">In addition to strengthening these provisions, clear pathways must be enshrined to ensure that complaints of violence, abuse, neglect and exploitation are actionable. It is important to acknowledge and be clear that making a complaint of such allegations to the NDIS Commission does not replace in any way the criminality of these offences. The Taskforce is clear that when an allegation of violence, abuse, neglect or exploitation is made, the police must be called to respond. The role of the NDIS Commission in these allegations is to ensure that where appropriate, services do not continue and where needed, the </w:t>
      </w:r>
      <w:r w:rsidR="00C65AC8" w:rsidRPr="005B05B3">
        <w:rPr>
          <w:rFonts w:eastAsia="Aptos" w:cs="Aptos"/>
        </w:rPr>
        <w:t>p</w:t>
      </w:r>
      <w:r w:rsidRPr="005B05B3">
        <w:rPr>
          <w:rFonts w:eastAsia="Aptos" w:cs="Aptos"/>
        </w:rPr>
        <w:t>articipant is assisted to safety in terms of their services.</w:t>
      </w:r>
    </w:p>
    <w:p w14:paraId="700648BA" w14:textId="094F1C7B" w:rsidR="00035D76" w:rsidRPr="005B05B3" w:rsidRDefault="00035D76" w:rsidP="00035D76">
      <w:pPr>
        <w:spacing w:line="278" w:lineRule="auto"/>
        <w:rPr>
          <w:rFonts w:eastAsia="Aptos" w:cs="Aptos"/>
        </w:rPr>
      </w:pPr>
      <w:r w:rsidRPr="005B05B3">
        <w:rPr>
          <w:rFonts w:eastAsia="Aptos" w:cs="Aptos"/>
        </w:rPr>
        <w:t>The Taskforce recommends that the NDIS Code of Conduct remain a legislative instrument and that it applies to all goods and services purchased with NDIS funding. It will be required as an Obligation for all categories of registration. However, we are clear that it needs to be redesigned. We recommend that the NDIS Commission redesign the NDIS Code of Conduct with the disability community and disability sector.</w:t>
      </w:r>
    </w:p>
    <w:p w14:paraId="5576FF40" w14:textId="16E6D322" w:rsidR="00035D76" w:rsidRPr="005B05B3" w:rsidRDefault="00035D76" w:rsidP="009F682D">
      <w:pPr>
        <w:pStyle w:val="TSDAltHeading3"/>
      </w:pPr>
      <w:bookmarkStart w:id="92" w:name="_Toc170128752"/>
      <w:r w:rsidRPr="005B05B3">
        <w:t>Worker screening</w:t>
      </w:r>
      <w:bookmarkEnd w:id="92"/>
    </w:p>
    <w:p w14:paraId="04EFD6A2" w14:textId="2B2C3060" w:rsidR="005339D2" w:rsidRPr="005B05B3" w:rsidRDefault="00035D76">
      <w:r w:rsidRPr="005B05B3">
        <w:t>The NDIS Commissioner is required, by law, to establish and operate a NDIS worker screening database.</w:t>
      </w:r>
      <w:r w:rsidRPr="00E90E01">
        <w:rPr>
          <w:vertAlign w:val="superscript"/>
        </w:rPr>
        <w:footnoteReference w:id="165"/>
      </w:r>
      <w:r w:rsidR="0039417E">
        <w:t xml:space="preserve"> </w:t>
      </w:r>
      <w:r w:rsidRPr="005B05B3">
        <w:t>The database is a register of workers who have applied for a NDIS Worker Screening Check and is currently accessible by registered providers. Unregistered providers or self-managed participants can request access to the database.</w:t>
      </w:r>
      <w:r w:rsidRPr="005B05B3">
        <w:rPr>
          <w:vertAlign w:val="superscript"/>
        </w:rPr>
        <w:footnoteReference w:id="166"/>
      </w:r>
      <w:r w:rsidRPr="005B05B3">
        <w:rPr>
          <w:vertAlign w:val="superscript"/>
        </w:rPr>
        <w:t xml:space="preserve"> </w:t>
      </w:r>
      <w:r w:rsidR="00E30B48">
        <w:rPr>
          <w:vertAlign w:val="superscript"/>
        </w:rPr>
        <w:t xml:space="preserve"> </w:t>
      </w:r>
    </w:p>
    <w:p w14:paraId="512B2758" w14:textId="7FC56AE0" w:rsidR="00035D76" w:rsidRPr="005B05B3" w:rsidRDefault="00035D76">
      <w:r w:rsidRPr="005B05B3">
        <w:t>The NDIS Worker Screening Check assesses whether a person who works, or seeks to work, with people with disability poses a risk to them. It is a nationally consistent assessment as outlined in the Intergovernmental Agreement on National Consistent Worker Screening for the NDIS</w:t>
      </w:r>
      <w:r w:rsidR="00663143">
        <w:t xml:space="preserve">. </w:t>
      </w:r>
      <w:r w:rsidR="00736CA4">
        <w:rPr>
          <w:rStyle w:val="FootnoteReference"/>
        </w:rPr>
        <w:footnoteReference w:id="167"/>
      </w:r>
      <w:r w:rsidR="0039417E">
        <w:t xml:space="preserve"> </w:t>
      </w:r>
      <w:r w:rsidRPr="005B05B3">
        <w:t xml:space="preserve">The Check is conducted by a state or territory Worker </w:t>
      </w:r>
      <w:r w:rsidRPr="005B05B3">
        <w:lastRenderedPageBreak/>
        <w:t xml:space="preserve">Screening Unit in accordance with enabling legislation of that jurisdiction. A decision made by the State or Territory Worker Screening Unit is called a </w:t>
      </w:r>
      <w:r w:rsidR="00AE18BE" w:rsidRPr="005B05B3">
        <w:t>‘</w:t>
      </w:r>
      <w:r w:rsidRPr="005B05B3">
        <w:t>NDIS Worker Screening Clearance</w:t>
      </w:r>
      <w:r w:rsidR="00AE18BE" w:rsidRPr="005B05B3">
        <w:t>’</w:t>
      </w:r>
      <w:r w:rsidRPr="005B05B3">
        <w:t xml:space="preserve"> or </w:t>
      </w:r>
      <w:r w:rsidR="00AE18BE" w:rsidRPr="005B05B3">
        <w:t>‘</w:t>
      </w:r>
      <w:r w:rsidRPr="005B05B3">
        <w:t>NDIS Worker Screening Exclusion</w:t>
      </w:r>
      <w:r w:rsidR="00AE18BE" w:rsidRPr="005B05B3">
        <w:t>’</w:t>
      </w:r>
      <w:r w:rsidRPr="005B05B3">
        <w:t xml:space="preserve">. NDIS </w:t>
      </w:r>
      <w:r w:rsidR="00793912" w:rsidRPr="005B05B3">
        <w:t>w</w:t>
      </w:r>
      <w:r w:rsidRPr="005B05B3">
        <w:t xml:space="preserve">orker </w:t>
      </w:r>
      <w:r w:rsidR="00793912" w:rsidRPr="005B05B3">
        <w:t>s</w:t>
      </w:r>
      <w:r w:rsidRPr="005B05B3">
        <w:t>creening is governed by the NDIS (Practice Standards – Worker Screening) Rules 2018.</w:t>
      </w:r>
      <w:r w:rsidR="00B2740F">
        <w:rPr>
          <w:rStyle w:val="FootnoteReference"/>
        </w:rPr>
        <w:footnoteReference w:id="168"/>
      </w:r>
    </w:p>
    <w:p w14:paraId="03559BD6" w14:textId="4E9D495C" w:rsidR="00035D76" w:rsidRPr="0042268E" w:rsidRDefault="6B195A9F" w:rsidP="001B4BF0">
      <w:pPr>
        <w:spacing w:before="360" w:after="120"/>
        <w:rPr>
          <w:color w:val="0D2B58"/>
          <w:sz w:val="32"/>
          <w:szCs w:val="32"/>
        </w:rPr>
      </w:pPr>
      <w:bookmarkStart w:id="93" w:name="_Toc170128753"/>
      <w:r w:rsidRPr="0042268E">
        <w:rPr>
          <w:color w:val="0D2B58"/>
          <w:sz w:val="32"/>
          <w:szCs w:val="32"/>
        </w:rPr>
        <w:t>Current approach to w</w:t>
      </w:r>
      <w:r w:rsidR="00035D76" w:rsidRPr="0042268E">
        <w:rPr>
          <w:color w:val="0D2B58"/>
          <w:sz w:val="32"/>
          <w:szCs w:val="32"/>
        </w:rPr>
        <w:t xml:space="preserve">ho needs a NDIS </w:t>
      </w:r>
      <w:r w:rsidR="00793912" w:rsidRPr="0042268E">
        <w:rPr>
          <w:color w:val="0D2B58"/>
          <w:sz w:val="32"/>
          <w:szCs w:val="32"/>
        </w:rPr>
        <w:t>w</w:t>
      </w:r>
      <w:r w:rsidR="00035D76" w:rsidRPr="0042268E">
        <w:rPr>
          <w:color w:val="0D2B58"/>
          <w:sz w:val="32"/>
          <w:szCs w:val="32"/>
        </w:rPr>
        <w:t xml:space="preserve">orker </w:t>
      </w:r>
      <w:r w:rsidR="00793912" w:rsidRPr="0042268E">
        <w:rPr>
          <w:color w:val="0D2B58"/>
          <w:sz w:val="32"/>
          <w:szCs w:val="32"/>
        </w:rPr>
        <w:t>s</w:t>
      </w:r>
      <w:r w:rsidR="00035D76" w:rsidRPr="0042268E">
        <w:rPr>
          <w:color w:val="0D2B58"/>
          <w:sz w:val="32"/>
          <w:szCs w:val="32"/>
        </w:rPr>
        <w:t>creening</w:t>
      </w:r>
      <w:bookmarkEnd w:id="93"/>
    </w:p>
    <w:p w14:paraId="06481C2A" w14:textId="0878D9BF" w:rsidR="00035D76" w:rsidRPr="005B05B3" w:rsidRDefault="00035D76" w:rsidP="00035D76">
      <w:r w:rsidRPr="005B05B3">
        <w:t xml:space="preserve">Workers and personnel in </w:t>
      </w:r>
      <w:r w:rsidRPr="005B05B3">
        <w:rPr>
          <w:i/>
          <w:iCs/>
        </w:rPr>
        <w:t>risk assessed roles</w:t>
      </w:r>
      <w:r w:rsidRPr="005B05B3">
        <w:t xml:space="preserve"> employed or engaged by a registered NDIS </w:t>
      </w:r>
      <w:r w:rsidR="00B8037C" w:rsidRPr="005B05B3">
        <w:t>p</w:t>
      </w:r>
      <w:r w:rsidRPr="005B05B3">
        <w:t xml:space="preserve">rovider must undergo a NDIS worker screening. The </w:t>
      </w:r>
      <w:r w:rsidR="002661C9" w:rsidRPr="005B05B3">
        <w:t>p</w:t>
      </w:r>
      <w:r w:rsidRPr="005B05B3">
        <w:t>rovider is required to identify the roles which are risk assessed roles.</w:t>
      </w:r>
      <w:r w:rsidRPr="005B05B3">
        <w:rPr>
          <w:rStyle w:val="FootnoteReference"/>
        </w:rPr>
        <w:footnoteReference w:id="169"/>
      </w:r>
      <w:r w:rsidRPr="005B05B3">
        <w:t xml:space="preserve"> A risk assessed role means:</w:t>
      </w:r>
    </w:p>
    <w:p w14:paraId="176D2C4F" w14:textId="1F46191B" w:rsidR="00035D76" w:rsidRPr="005B05B3" w:rsidRDefault="00035D76" w:rsidP="002248D1">
      <w:pPr>
        <w:pStyle w:val="ListParagraph"/>
        <w:numPr>
          <w:ilvl w:val="0"/>
          <w:numId w:val="41"/>
        </w:numPr>
        <w:spacing w:after="160" w:line="279" w:lineRule="auto"/>
      </w:pPr>
      <w:r w:rsidRPr="005B05B3">
        <w:t>a key personnel role of a person or an entity</w:t>
      </w:r>
    </w:p>
    <w:p w14:paraId="52499D41" w14:textId="5F3DD46F" w:rsidR="00035D76" w:rsidRPr="005B05B3" w:rsidRDefault="00035D76" w:rsidP="002248D1">
      <w:pPr>
        <w:pStyle w:val="ListParagraph"/>
        <w:numPr>
          <w:ilvl w:val="0"/>
          <w:numId w:val="41"/>
        </w:numPr>
        <w:spacing w:after="160" w:line="279" w:lineRule="auto"/>
      </w:pPr>
      <w:r w:rsidRPr="005B05B3">
        <w:t>a role for which the normal duties include the direct delivery of specified supports or specified services to a person with disability</w:t>
      </w:r>
    </w:p>
    <w:p w14:paraId="6D22962F" w14:textId="77777777" w:rsidR="00035D76" w:rsidRPr="005B05B3" w:rsidRDefault="00035D76" w:rsidP="002248D1">
      <w:pPr>
        <w:pStyle w:val="ListParagraph"/>
        <w:numPr>
          <w:ilvl w:val="0"/>
          <w:numId w:val="41"/>
        </w:numPr>
        <w:spacing w:before="122" w:after="0" w:line="279" w:lineRule="auto"/>
      </w:pPr>
      <w:r w:rsidRPr="005B05B3">
        <w:t>a role for which the normal duties are likely to require more than incidental contact with a person with disability.</w:t>
      </w:r>
      <w:r w:rsidRPr="005B05B3">
        <w:rPr>
          <w:rStyle w:val="FootnoteReference"/>
        </w:rPr>
        <w:footnoteReference w:id="170"/>
      </w:r>
    </w:p>
    <w:p w14:paraId="62E88587" w14:textId="620B85EE" w:rsidR="00035D76" w:rsidRPr="005B05B3" w:rsidRDefault="00035D76" w:rsidP="00035D76">
      <w:pPr>
        <w:spacing w:before="122" w:after="0"/>
      </w:pPr>
      <w:r w:rsidRPr="005B05B3">
        <w:t xml:space="preserve">Incidental contact is explained in the </w:t>
      </w:r>
      <w:r w:rsidR="00436356" w:rsidRPr="005B05B3">
        <w:t>R</w:t>
      </w:r>
      <w:r w:rsidRPr="005B05B3">
        <w:t>ules to be:</w:t>
      </w:r>
    </w:p>
    <w:p w14:paraId="0D578102" w14:textId="6AFF096E" w:rsidR="00035D76" w:rsidRPr="005B05B3" w:rsidRDefault="007F697B" w:rsidP="002248D1">
      <w:pPr>
        <w:pStyle w:val="ListParagraph"/>
        <w:numPr>
          <w:ilvl w:val="0"/>
          <w:numId w:val="42"/>
        </w:numPr>
        <w:spacing w:before="122" w:after="0" w:line="279" w:lineRule="auto"/>
        <w:ind w:left="709"/>
      </w:pPr>
      <w:r w:rsidRPr="005B05B3">
        <w:t>p</w:t>
      </w:r>
      <w:r w:rsidR="00035D76" w:rsidRPr="005B05B3">
        <w:t>hysically touching a person with disability</w:t>
      </w:r>
    </w:p>
    <w:p w14:paraId="70FCF1F4" w14:textId="5519AC2F" w:rsidR="00035D76" w:rsidRPr="005B05B3" w:rsidRDefault="00DD4FD8" w:rsidP="002248D1">
      <w:pPr>
        <w:pStyle w:val="ListParagraph"/>
        <w:numPr>
          <w:ilvl w:val="0"/>
          <w:numId w:val="42"/>
        </w:numPr>
        <w:spacing w:before="122" w:after="0" w:line="279" w:lineRule="auto"/>
        <w:ind w:left="709"/>
      </w:pPr>
      <w:r w:rsidRPr="005B05B3">
        <w:t>b</w:t>
      </w:r>
      <w:r w:rsidR="00035D76" w:rsidRPr="005B05B3">
        <w:t>uilding rapport with a person with disability as an integral and ordinary part of performance of those duties.</w:t>
      </w:r>
      <w:r w:rsidR="00035D76" w:rsidRPr="005B05B3">
        <w:rPr>
          <w:rStyle w:val="FootnoteReference"/>
        </w:rPr>
        <w:footnoteReference w:id="171"/>
      </w:r>
    </w:p>
    <w:p w14:paraId="32DB21BE" w14:textId="64B3A8F2" w:rsidR="00035D76" w:rsidRPr="005B05B3" w:rsidRDefault="00035D76" w:rsidP="00035D76">
      <w:pPr>
        <w:spacing w:before="122" w:after="0"/>
      </w:pPr>
      <w:r w:rsidRPr="005B05B3">
        <w:t xml:space="preserve">A registered NDIS </w:t>
      </w:r>
      <w:r w:rsidR="008A698B" w:rsidRPr="005B05B3">
        <w:t>p</w:t>
      </w:r>
      <w:r w:rsidRPr="005B05B3">
        <w:t>rovider must only allow a worker to engage in a risk assessed role if they have a worker screening clearance. There are exceptions to this such as the person is in the process of obtaining a clearance</w:t>
      </w:r>
      <w:r w:rsidRPr="005B05B3">
        <w:rPr>
          <w:rStyle w:val="FootnoteReference"/>
        </w:rPr>
        <w:footnoteReference w:id="172"/>
      </w:r>
      <w:r w:rsidRPr="005B05B3">
        <w:t xml:space="preserve"> or the person is appropriately supervised by a person with a clearance</w:t>
      </w:r>
      <w:r w:rsidRPr="005B05B3">
        <w:rPr>
          <w:rStyle w:val="FootnoteReference"/>
        </w:rPr>
        <w:footnoteReference w:id="173"/>
      </w:r>
      <w:r w:rsidRPr="005B05B3">
        <w:t xml:space="preserve"> unless there are circumstances that apply in a </w:t>
      </w:r>
      <w:r w:rsidR="00AE18BE" w:rsidRPr="005B05B3">
        <w:t>‘</w:t>
      </w:r>
      <w:r w:rsidRPr="005B05B3">
        <w:t>no card, no start</w:t>
      </w:r>
      <w:r w:rsidR="00AE18BE" w:rsidRPr="005B05B3">
        <w:t>’</w:t>
      </w:r>
      <w:r w:rsidRPr="005B05B3">
        <w:t xml:space="preserve"> jurisdiction.</w:t>
      </w:r>
      <w:r w:rsidRPr="005B05B3">
        <w:rPr>
          <w:rStyle w:val="FootnoteReference"/>
        </w:rPr>
        <w:footnoteReference w:id="174"/>
      </w:r>
    </w:p>
    <w:p w14:paraId="63F16DEB" w14:textId="531586E5" w:rsidR="004F0732" w:rsidRPr="005B05B3" w:rsidRDefault="00035D76" w:rsidP="00035D76">
      <w:pPr>
        <w:spacing w:before="122" w:after="0"/>
      </w:pPr>
      <w:bookmarkStart w:id="94" w:name="_Hlk169723867"/>
      <w:bookmarkStart w:id="95" w:name="_Hlk169708670"/>
      <w:r w:rsidRPr="005B05B3">
        <w:t xml:space="preserve">Importantly, some requirements for NDIS Worker Screening Checks vary between </w:t>
      </w:r>
      <w:r w:rsidR="007D2890" w:rsidRPr="005B05B3">
        <w:t>s</w:t>
      </w:r>
      <w:r w:rsidRPr="005B05B3">
        <w:t xml:space="preserve">tates and </w:t>
      </w:r>
      <w:r w:rsidR="007D2890" w:rsidRPr="005B05B3">
        <w:t>t</w:t>
      </w:r>
      <w:r w:rsidRPr="005B05B3">
        <w:t xml:space="preserve">erritories, including whether workers can work while obtaining a clearance. While the Taskforce understands the intent of the Intergovernmental Agreement, we acknowledge that national consistency </w:t>
      </w:r>
      <w:r w:rsidRPr="005B05B3">
        <w:rPr>
          <w:color w:val="auto"/>
        </w:rPr>
        <w:t xml:space="preserve">across all NDIS worker screening requirements </w:t>
      </w:r>
      <w:r w:rsidRPr="005B05B3">
        <w:t xml:space="preserve">has not yet been achieved. </w:t>
      </w:r>
    </w:p>
    <w:p w14:paraId="1DF32444" w14:textId="7BE4E9BC" w:rsidR="00035D76" w:rsidRPr="005B05B3" w:rsidRDefault="004F0732" w:rsidP="00035D76">
      <w:pPr>
        <w:spacing w:before="122" w:after="0"/>
      </w:pPr>
      <w:r w:rsidRPr="005B05B3">
        <w:rPr>
          <w:rFonts w:eastAsia="Aptos" w:cs="Aptos"/>
        </w:rPr>
        <w:t xml:space="preserve">The Taskforce heard that the current NDIS worker screening is frustrated by a lack of national consistency and difficulties in information sharing between jurisdictions. </w:t>
      </w:r>
      <w:r w:rsidR="00035D76" w:rsidRPr="005B05B3">
        <w:t xml:space="preserve">This </w:t>
      </w:r>
      <w:r w:rsidR="00035D76" w:rsidRPr="005B05B3">
        <w:lastRenderedPageBreak/>
        <w:t>has been a pain point shared with us by providers and self-managed participants in particular</w:t>
      </w:r>
      <w:r w:rsidR="3EE63D39" w:rsidRPr="005B05B3">
        <w:t>.</w:t>
      </w:r>
    </w:p>
    <w:p w14:paraId="65EF1E9E" w14:textId="0876B7C6" w:rsidR="00637526" w:rsidRPr="00ED27E0" w:rsidRDefault="703F0E7E" w:rsidP="00E7353D">
      <w:pPr>
        <w:spacing w:before="122" w:after="0"/>
        <w:ind w:left="720"/>
        <w:rPr>
          <w:rStyle w:val="QuoteChar"/>
          <w:rFonts w:ascii="Aptos" w:hAnsi="Aptos"/>
        </w:rPr>
      </w:pPr>
      <w:r w:rsidRPr="005B05B3">
        <w:rPr>
          <w:rStyle w:val="QuoteChar"/>
          <w:rFonts w:ascii="Aptos" w:hAnsi="Aptos"/>
        </w:rPr>
        <w:t xml:space="preserve"> </w:t>
      </w:r>
      <w:r w:rsidRPr="00ED27E0">
        <w:rPr>
          <w:rStyle w:val="QuoteChar"/>
          <w:rFonts w:ascii="Aptos" w:hAnsi="Aptos"/>
        </w:rPr>
        <w:t>There should be greater consistency in state-based requirements and processes (and application costs) for worker screening and it would be beneficial if it could be linked to working with children checks and requirements for working in aged care</w:t>
      </w:r>
      <w:r w:rsidR="00035D76" w:rsidRPr="00ED27E0">
        <w:rPr>
          <w:rStyle w:val="QuoteChar"/>
          <w:rFonts w:ascii="Aptos" w:hAnsi="Aptos"/>
        </w:rPr>
        <w:t>.</w:t>
      </w:r>
      <w:r w:rsidR="00035D76" w:rsidRPr="00ED27E0">
        <w:rPr>
          <w:rStyle w:val="FootnoteReference"/>
        </w:rPr>
        <w:footnoteReference w:id="175"/>
      </w:r>
    </w:p>
    <w:p w14:paraId="79309AC7" w14:textId="77777777" w:rsidR="00E7353D" w:rsidRPr="00ED27E0" w:rsidRDefault="00E7353D" w:rsidP="00E7353D">
      <w:pPr>
        <w:spacing w:before="122" w:after="0"/>
        <w:ind w:left="720"/>
        <w:rPr>
          <w:rStyle w:val="Emphasis"/>
        </w:rPr>
      </w:pPr>
    </w:p>
    <w:p w14:paraId="60D4CAA6" w14:textId="77777777" w:rsidR="00637526" w:rsidRPr="005B05B3" w:rsidRDefault="08D2D8A0" w:rsidP="00BC0FA6">
      <w:pPr>
        <w:pStyle w:val="Quote"/>
        <w:rPr>
          <w:rStyle w:val="Emphasis"/>
        </w:rPr>
      </w:pPr>
      <w:r w:rsidRPr="00ED27E0">
        <w:t>Worker screening, certifications and registrations need to be streamlined – both across the care and support sector as well as across states and territories. There is currently no national approach to worker screening and registration. Systems including the NDIS Worker Screening, Working with Children Check (WWCC) and Working with Vulnerable People Check (WWVP) vary considerably in process, rules and timeframes from state to state, making it not only difficult to manage, but also impacting workforce and service delivery.</w:t>
      </w:r>
      <w:r w:rsidR="00035D76" w:rsidRPr="00ED27E0">
        <w:rPr>
          <w:rStyle w:val="Emphasis"/>
        </w:rPr>
        <w:t xml:space="preserve"> </w:t>
      </w:r>
      <w:r w:rsidR="00035D76" w:rsidRPr="00ED27E0">
        <w:rPr>
          <w:rStyle w:val="FootnoteReference"/>
        </w:rPr>
        <w:footnoteReference w:id="176"/>
      </w:r>
      <w:bookmarkStart w:id="96" w:name="_Toc170128754"/>
      <w:bookmarkEnd w:id="94"/>
      <w:bookmarkEnd w:id="95"/>
    </w:p>
    <w:p w14:paraId="56944541" w14:textId="17E7DCBE" w:rsidR="00035D76" w:rsidRPr="0042268E" w:rsidRDefault="00035D76" w:rsidP="001B4BF0">
      <w:pPr>
        <w:spacing w:before="360" w:after="120"/>
        <w:rPr>
          <w:color w:val="0D2B58"/>
          <w:sz w:val="32"/>
          <w:szCs w:val="32"/>
        </w:rPr>
      </w:pPr>
      <w:r w:rsidRPr="0042268E">
        <w:rPr>
          <w:color w:val="0D2B58"/>
          <w:sz w:val="32"/>
          <w:szCs w:val="32"/>
        </w:rPr>
        <w:t xml:space="preserve">Self-managed </w:t>
      </w:r>
      <w:r w:rsidR="00E7353D" w:rsidRPr="0042268E">
        <w:rPr>
          <w:color w:val="0D2B58"/>
          <w:sz w:val="32"/>
          <w:szCs w:val="32"/>
        </w:rPr>
        <w:t>p</w:t>
      </w:r>
      <w:r w:rsidRPr="0042268E">
        <w:rPr>
          <w:color w:val="0D2B58"/>
          <w:sz w:val="32"/>
          <w:szCs w:val="32"/>
        </w:rPr>
        <w:t>articipants and unregistered providers</w:t>
      </w:r>
      <w:bookmarkEnd w:id="96"/>
    </w:p>
    <w:p w14:paraId="1131A383" w14:textId="00858D6E" w:rsidR="00035D76" w:rsidRPr="005B05B3" w:rsidRDefault="00035D76" w:rsidP="00035D76">
      <w:pPr>
        <w:spacing w:before="122" w:after="0"/>
      </w:pPr>
      <w:r w:rsidRPr="005B05B3">
        <w:t xml:space="preserve">With respect to self-managed </w:t>
      </w:r>
      <w:r w:rsidR="006913E5" w:rsidRPr="005B05B3">
        <w:t>p</w:t>
      </w:r>
      <w:r w:rsidRPr="005B05B3">
        <w:t>articipants and unregistered providers as currently defined, it is recognised in the Intergovernmental Agreement that:</w:t>
      </w:r>
    </w:p>
    <w:p w14:paraId="385A8459" w14:textId="60BA1B13" w:rsidR="00035D76" w:rsidRPr="005B05B3" w:rsidRDefault="00035D76" w:rsidP="00035D76">
      <w:pPr>
        <w:spacing w:before="122" w:after="0"/>
        <w:ind w:left="720"/>
      </w:pPr>
      <w:r w:rsidRPr="005B05B3">
        <w:rPr>
          <w:rFonts w:eastAsia="Aptos" w:cs="Aptos"/>
        </w:rPr>
        <w:t>Self-managing NDIS participants may choose workers or providers not registered with the Commission. To maximise the potential for self-managing participants to use unregistered providers and workers, formal regulatory requirements on these providers and workers has been minimised.</w:t>
      </w:r>
      <w:r w:rsidR="00D932A3">
        <w:rPr>
          <w:rStyle w:val="FootnoteReference"/>
          <w:rFonts w:eastAsia="Aptos" w:cs="Aptos"/>
        </w:rPr>
        <w:footnoteReference w:id="177"/>
      </w:r>
    </w:p>
    <w:p w14:paraId="65AF787B" w14:textId="5F4F38C3" w:rsidR="00035D76" w:rsidRPr="005B05B3" w:rsidRDefault="00035D76" w:rsidP="00552B9E">
      <w:pPr>
        <w:spacing w:before="122" w:after="0"/>
        <w:rPr>
          <w:rFonts w:eastAsia="Aptos" w:cs="Aptos"/>
        </w:rPr>
      </w:pPr>
      <w:r w:rsidRPr="005B05B3">
        <w:rPr>
          <w:rFonts w:eastAsia="Aptos" w:cs="Aptos"/>
        </w:rPr>
        <w:t>Self-managing NDIS participants may request that workers who provide supports and services to them have an NDIS Worker Screening Check. Workers of unregistered providers may apply for a NDIS Worker Screening Check if they are delivering or are planning to deliver NDIS supports and services and their application is endorsed by their employer.</w:t>
      </w:r>
      <w:r w:rsidRPr="005B05B3">
        <w:rPr>
          <w:rStyle w:val="FootnoteReference"/>
          <w:rFonts w:eastAsia="Aptos" w:cs="Aptos"/>
        </w:rPr>
        <w:footnoteReference w:id="178"/>
      </w:r>
    </w:p>
    <w:p w14:paraId="2F9648BC" w14:textId="63F81E7E" w:rsidR="00035D76" w:rsidRPr="005B05B3" w:rsidRDefault="00035D76" w:rsidP="005B05B3">
      <w:pPr>
        <w:spacing w:before="122" w:after="0"/>
        <w:rPr>
          <w:rFonts w:eastAsia="Aptos" w:cs="Aptos"/>
        </w:rPr>
      </w:pPr>
      <w:r w:rsidRPr="00C36FEC">
        <w:rPr>
          <w:rFonts w:eastAsia="Aptos" w:cs="Aptos"/>
        </w:rPr>
        <w:t>The Taskforce has heard that many self-managed participants use the NDIS Worker Screening Check as a safeguarding tool when managing their supports.</w:t>
      </w:r>
      <w:r w:rsidR="004A0B2A" w:rsidRPr="00C36FEC">
        <w:t xml:space="preserve"> </w:t>
      </w:r>
      <w:r w:rsidR="00BC63E2" w:rsidRPr="00C36FEC">
        <w:rPr>
          <w:rFonts w:eastAsia="Aptos" w:cs="Aptos"/>
        </w:rPr>
        <w:t>One</w:t>
      </w:r>
      <w:r w:rsidR="0080670F" w:rsidRPr="00C36FEC">
        <w:rPr>
          <w:rFonts w:eastAsia="Aptos" w:cs="Aptos"/>
        </w:rPr>
        <w:t xml:space="preserve"> NDIS Participant </w:t>
      </w:r>
      <w:r w:rsidR="00BC63E2" w:rsidRPr="00C36FEC">
        <w:rPr>
          <w:rFonts w:eastAsia="Aptos" w:cs="Aptos"/>
        </w:rPr>
        <w:t>said</w:t>
      </w:r>
      <w:r w:rsidR="0080670F" w:rsidRPr="00C36FEC">
        <w:rPr>
          <w:rFonts w:eastAsia="Aptos" w:cs="Aptos"/>
        </w:rPr>
        <w:t xml:space="preserve"> in a confidential submission</w:t>
      </w:r>
      <w:r w:rsidR="00BC63E2" w:rsidRPr="00C36FEC">
        <w:rPr>
          <w:rFonts w:eastAsia="Aptos" w:cs="Aptos"/>
        </w:rPr>
        <w:t xml:space="preserve"> they want</w:t>
      </w:r>
      <w:r w:rsidR="00BC63E2" w:rsidRPr="00C36FEC">
        <w:t xml:space="preserve"> to </w:t>
      </w:r>
      <w:r w:rsidR="00BC63E2" w:rsidRPr="00C36FEC">
        <w:rPr>
          <w:rFonts w:eastAsia="Aptos" w:cs="Aptos"/>
        </w:rPr>
        <w:t>ensure that their</w:t>
      </w:r>
      <w:r w:rsidR="00BC63E2" w:rsidRPr="00C36FEC">
        <w:t xml:space="preserve"> support workers hold current NDIS Worker Screening Checks</w:t>
      </w:r>
      <w:r w:rsidR="00BC63E2" w:rsidRPr="00C36FEC">
        <w:rPr>
          <w:rFonts w:eastAsia="Aptos" w:cs="Aptos"/>
        </w:rPr>
        <w:t>,</w:t>
      </w:r>
      <w:r w:rsidR="00BC63E2" w:rsidRPr="00C36FEC">
        <w:t xml:space="preserve"> First Aid and CPR Certification</w:t>
      </w:r>
      <w:r w:rsidR="00BC63E2" w:rsidRPr="00C36FEC">
        <w:rPr>
          <w:rFonts w:eastAsia="Aptos" w:cs="Aptos"/>
        </w:rPr>
        <w:t xml:space="preserve"> to maintain control over safety</w:t>
      </w:r>
      <w:r w:rsidRPr="00C36FEC" w:rsidDel="00035D76">
        <w:rPr>
          <w:rStyle w:val="QuoteChar"/>
          <w:rFonts w:ascii="Aptos" w:hAnsi="Aptos"/>
        </w:rPr>
        <w:t>.</w:t>
      </w:r>
      <w:r w:rsidRPr="00C36FEC">
        <w:rPr>
          <w:rStyle w:val="FootnoteReference"/>
          <w:rFonts w:eastAsia="Aptos" w:cs="Aptos"/>
        </w:rPr>
        <w:footnoteReference w:id="179"/>
      </w:r>
    </w:p>
    <w:p w14:paraId="17ADFB0D" w14:textId="7DD355C3" w:rsidR="00035D76" w:rsidRPr="005B05B3" w:rsidRDefault="000913B8" w:rsidP="004054D1">
      <w:pPr>
        <w:spacing w:before="122" w:after="120"/>
        <w:rPr>
          <w:rFonts w:eastAsia="Aptos" w:cs="Aptos"/>
        </w:rPr>
      </w:pPr>
      <w:r w:rsidRPr="005B05B3">
        <w:rPr>
          <w:rFonts w:eastAsia="Aptos" w:cs="Aptos"/>
        </w:rPr>
        <w:lastRenderedPageBreak/>
        <w:t xml:space="preserve">However, </w:t>
      </w:r>
      <w:r w:rsidR="002437C0" w:rsidRPr="005B05B3">
        <w:rPr>
          <w:rFonts w:eastAsia="Aptos" w:cs="Aptos"/>
        </w:rPr>
        <w:t>we</w:t>
      </w:r>
      <w:r w:rsidRPr="005B05B3">
        <w:rPr>
          <w:rFonts w:eastAsia="Aptos" w:cs="Aptos"/>
        </w:rPr>
        <w:t xml:space="preserve"> also heard</w:t>
      </w:r>
      <w:r w:rsidR="00035D76" w:rsidRPr="005B05B3">
        <w:rPr>
          <w:rFonts w:eastAsia="Aptos" w:cs="Aptos"/>
        </w:rPr>
        <w:t xml:space="preserve"> frustrations of not being able to access the portal</w:t>
      </w:r>
      <w:r w:rsidR="00C36FEC">
        <w:rPr>
          <w:rFonts w:eastAsia="Aptos" w:cs="Aptos"/>
        </w:rPr>
        <w:t xml:space="preserve"> that supports </w:t>
      </w:r>
      <w:r w:rsidR="001A599E">
        <w:rPr>
          <w:rFonts w:eastAsia="Aptos" w:cs="Aptos"/>
        </w:rPr>
        <w:t>worker screening</w:t>
      </w:r>
      <w:r w:rsidR="00035D76" w:rsidRPr="005B05B3">
        <w:rPr>
          <w:rFonts w:eastAsia="Aptos" w:cs="Aptos"/>
        </w:rPr>
        <w:t xml:space="preserve"> or having access to the required identification documentation (for example, participants or their families not having a driver’s licence or passport).</w:t>
      </w:r>
    </w:p>
    <w:p w14:paraId="495785DC" w14:textId="77040725" w:rsidR="00035D76" w:rsidRPr="00ED27E0" w:rsidRDefault="7AC8F20E" w:rsidP="00ED27E0">
      <w:pPr>
        <w:pStyle w:val="Quote"/>
      </w:pPr>
      <w:r w:rsidRPr="00ED27E0">
        <w:t>We have not been able to utilise the NDIS Commission worker screening database. Although the worker screening data base is available to self managers, it requires a driver’s licence or a passport to satisfy identity requirements. As I don’t drive, I was unable to meet these requirements.</w:t>
      </w:r>
      <w:r w:rsidR="00035D76" w:rsidRPr="00ED27E0">
        <w:rPr>
          <w:rStyle w:val="FootnoteReference"/>
          <w:rFonts w:eastAsia="Aptos" w:cs="Aptos"/>
        </w:rPr>
        <w:footnoteReference w:id="180"/>
      </w:r>
    </w:p>
    <w:p w14:paraId="636DD33D" w14:textId="6E94FE4A" w:rsidR="003E4ACC" w:rsidRPr="005B05B3" w:rsidRDefault="00035D76" w:rsidP="004054D1">
      <w:pPr>
        <w:spacing w:before="122" w:after="120"/>
        <w:rPr>
          <w:rFonts w:eastAsia="Aptos" w:cs="Aptos"/>
        </w:rPr>
      </w:pPr>
      <w:r w:rsidRPr="005B05B3">
        <w:rPr>
          <w:rFonts w:eastAsia="Aptos" w:cs="Aptos"/>
        </w:rPr>
        <w:t xml:space="preserve">To apply for </w:t>
      </w:r>
      <w:r w:rsidR="001A599E">
        <w:rPr>
          <w:rFonts w:eastAsia="Aptos" w:cs="Aptos"/>
        </w:rPr>
        <w:t>a</w:t>
      </w:r>
      <w:r w:rsidR="00E30B48">
        <w:rPr>
          <w:rFonts w:eastAsia="Aptos" w:cs="Aptos"/>
        </w:rPr>
        <w:t xml:space="preserve"> </w:t>
      </w:r>
      <w:r w:rsidRPr="005B05B3">
        <w:rPr>
          <w:rFonts w:eastAsia="Aptos" w:cs="Aptos"/>
        </w:rPr>
        <w:t xml:space="preserve">NDIS </w:t>
      </w:r>
      <w:r w:rsidR="001A599E">
        <w:rPr>
          <w:rFonts w:eastAsia="Aptos" w:cs="Aptos"/>
        </w:rPr>
        <w:t>W</w:t>
      </w:r>
      <w:r w:rsidR="002437C0" w:rsidRPr="005B05B3">
        <w:rPr>
          <w:rFonts w:eastAsia="Aptos" w:cs="Aptos"/>
        </w:rPr>
        <w:t xml:space="preserve">orker </w:t>
      </w:r>
      <w:r w:rsidR="001A599E">
        <w:rPr>
          <w:rFonts w:eastAsia="Aptos" w:cs="Aptos"/>
        </w:rPr>
        <w:t>S</w:t>
      </w:r>
      <w:r w:rsidRPr="005B05B3">
        <w:rPr>
          <w:rFonts w:eastAsia="Aptos" w:cs="Aptos"/>
        </w:rPr>
        <w:t>creening</w:t>
      </w:r>
      <w:r w:rsidR="001A599E">
        <w:rPr>
          <w:rFonts w:eastAsia="Aptos" w:cs="Aptos"/>
        </w:rPr>
        <w:t xml:space="preserve"> Check</w:t>
      </w:r>
      <w:r w:rsidRPr="005B05B3">
        <w:rPr>
          <w:rFonts w:eastAsia="Aptos" w:cs="Aptos"/>
        </w:rPr>
        <w:t xml:space="preserve">, the applicant must provide an Australian driver’s licence and an Australian birth certificate or Australian passport or Australian citizenship certificate. Applicants must also advise of any previous names they have had. The Taskforce was told that this is extremely challenging for some </w:t>
      </w:r>
      <w:r w:rsidR="007C566B" w:rsidRPr="005B05B3">
        <w:rPr>
          <w:rFonts w:eastAsia="Aptos" w:cs="Aptos"/>
        </w:rPr>
        <w:t>p</w:t>
      </w:r>
      <w:r w:rsidRPr="005B05B3">
        <w:rPr>
          <w:rFonts w:eastAsia="Aptos" w:cs="Aptos"/>
        </w:rPr>
        <w:t>articipants</w:t>
      </w:r>
      <w:r w:rsidR="00E50F53" w:rsidRPr="005B05B3">
        <w:rPr>
          <w:rFonts w:eastAsia="Aptos" w:cs="Aptos"/>
        </w:rPr>
        <w:t xml:space="preserve"> and</w:t>
      </w:r>
      <w:r w:rsidRPr="005B05B3">
        <w:rPr>
          <w:rFonts w:eastAsia="Aptos" w:cs="Aptos"/>
        </w:rPr>
        <w:t xml:space="preserve"> their families</w:t>
      </w:r>
      <w:r w:rsidR="00E50F53" w:rsidRPr="005B05B3">
        <w:rPr>
          <w:rFonts w:eastAsia="Aptos" w:cs="Aptos"/>
        </w:rPr>
        <w:t>,</w:t>
      </w:r>
      <w:r w:rsidRPr="005B05B3">
        <w:rPr>
          <w:rFonts w:eastAsia="Aptos" w:cs="Aptos"/>
        </w:rPr>
        <w:t xml:space="preserve"> and in particular for First Nations people</w:t>
      </w:r>
      <w:r w:rsidR="00E50F53" w:rsidRPr="005B05B3">
        <w:rPr>
          <w:rFonts w:eastAsia="Aptos" w:cs="Aptos"/>
        </w:rPr>
        <w:t xml:space="preserve"> </w:t>
      </w:r>
      <w:r w:rsidRPr="005B05B3">
        <w:rPr>
          <w:rFonts w:eastAsia="Aptos" w:cs="Aptos"/>
        </w:rPr>
        <w:t xml:space="preserve">who </w:t>
      </w:r>
      <w:r w:rsidR="00E50F53" w:rsidRPr="005B05B3">
        <w:rPr>
          <w:rFonts w:eastAsia="Aptos" w:cs="Aptos"/>
        </w:rPr>
        <w:t xml:space="preserve">may </w:t>
      </w:r>
      <w:r w:rsidRPr="005B05B3">
        <w:rPr>
          <w:rFonts w:eastAsia="Aptos" w:cs="Aptos"/>
        </w:rPr>
        <w:t>not have a driver’s licence or have had names that they do not know about. The Taskforce was told of several distressing stories where First Nations people found out for the first time that their known name was not their birth name through the screening check process.</w:t>
      </w:r>
      <w:r w:rsidRPr="005B05B3">
        <w:rPr>
          <w:rStyle w:val="FootnoteReference"/>
          <w:rFonts w:eastAsia="Aptos" w:cs="Aptos"/>
        </w:rPr>
        <w:footnoteReference w:id="181"/>
      </w:r>
      <w:r w:rsidRPr="005B05B3">
        <w:rPr>
          <w:rFonts w:eastAsia="Aptos" w:cs="Aptos"/>
        </w:rPr>
        <w:t xml:space="preserve"> This caused understandable trauma and for some, saw them cease their important work to not have to continue the process.</w:t>
      </w:r>
      <w:r w:rsidRPr="005B05B3">
        <w:rPr>
          <w:rStyle w:val="FootnoteReference"/>
          <w:rFonts w:eastAsia="Aptos" w:cs="Aptos"/>
        </w:rPr>
        <w:footnoteReference w:id="182"/>
      </w:r>
    </w:p>
    <w:p w14:paraId="3A23BEE3" w14:textId="058D7D01" w:rsidR="70A8BC11" w:rsidRPr="005B05B3" w:rsidRDefault="24167523" w:rsidP="00FA0B19">
      <w:pPr>
        <w:pStyle w:val="Quote"/>
      </w:pPr>
      <w:r w:rsidRPr="00C3064F">
        <w:t>In early 2023, someone had insufficient ID to do the worker screening. A missing piece of information was a birth certificate. She had to pay for her birth certificate, (we paid for it), no chance that the staff we’re engaging can pay for everything required. When the birth certificate came back, her name was spelt</w:t>
      </w:r>
      <w:r w:rsidR="00641883" w:rsidRPr="00C3064F">
        <w:t xml:space="preserve"> [sic]</w:t>
      </w:r>
      <w:r w:rsidRPr="00C3064F">
        <w:t xml:space="preserve"> incorrectly in two letters and her birth date was off. Highly traumatic.</w:t>
      </w:r>
      <w:r w:rsidRPr="00C3064F">
        <w:rPr>
          <w:rStyle w:val="FootnoteReference"/>
        </w:rPr>
        <w:footnoteReference w:id="183"/>
      </w:r>
    </w:p>
    <w:p w14:paraId="11985AC0" w14:textId="259BFE7F" w:rsidR="00035D76" w:rsidRPr="005B05B3" w:rsidRDefault="00035D76" w:rsidP="00C04F70">
      <w:pPr>
        <w:rPr>
          <w:rFonts w:eastAsia="Aptos" w:cs="Aptos"/>
        </w:rPr>
      </w:pPr>
      <w:r w:rsidRPr="005B05B3">
        <w:rPr>
          <w:rFonts w:eastAsia="Aptos" w:cs="Aptos"/>
        </w:rPr>
        <w:t xml:space="preserve">NDIS Worker Screening Checks are valid for up to </w:t>
      </w:r>
      <w:r w:rsidR="00261A7F" w:rsidRPr="005B05B3">
        <w:rPr>
          <w:rFonts w:eastAsia="Aptos" w:cs="Aptos"/>
        </w:rPr>
        <w:t xml:space="preserve">5 </w:t>
      </w:r>
      <w:r w:rsidRPr="005B05B3">
        <w:rPr>
          <w:rFonts w:eastAsia="Aptos" w:cs="Aptos"/>
        </w:rPr>
        <w:t>years from the date of the decision, subject to ongoing monitoring by NDIS Worker Screening Units.</w:t>
      </w:r>
      <w:r w:rsidRPr="005B05B3">
        <w:rPr>
          <w:rStyle w:val="FootnoteReference"/>
          <w:rFonts w:eastAsia="Aptos" w:cs="Aptos"/>
        </w:rPr>
        <w:footnoteReference w:id="184"/>
      </w:r>
      <w:r w:rsidR="00261A7F" w:rsidRPr="005B05B3">
        <w:rPr>
          <w:rFonts w:eastAsia="Aptos" w:cs="Aptos"/>
        </w:rPr>
        <w:t xml:space="preserve"> </w:t>
      </w:r>
      <w:r w:rsidRPr="005B05B3">
        <w:rPr>
          <w:rFonts w:eastAsia="Aptos" w:cs="Aptos"/>
        </w:rPr>
        <w:t>If an applicant disagrees with a decision of the NDIS Worker Screening Unit, they can seek an internal review of the decision.</w:t>
      </w:r>
      <w:r w:rsidRPr="005B05B3">
        <w:rPr>
          <w:rStyle w:val="FootnoteReference"/>
          <w:rFonts w:eastAsia="Aptos" w:cs="Aptos"/>
        </w:rPr>
        <w:footnoteReference w:id="185"/>
      </w:r>
      <w:r w:rsidRPr="005B05B3">
        <w:rPr>
          <w:rFonts w:eastAsia="Aptos" w:cs="Aptos"/>
        </w:rPr>
        <w:t xml:space="preserve"> If still unsatisfied, an external review of that decision can be sought from the tribunal or authority in the relevant jurisdiction.</w:t>
      </w:r>
      <w:r w:rsidRPr="005B05B3">
        <w:rPr>
          <w:rStyle w:val="FootnoteReference"/>
          <w:rFonts w:eastAsia="Aptos" w:cs="Aptos"/>
        </w:rPr>
        <w:footnoteReference w:id="186"/>
      </w:r>
    </w:p>
    <w:p w14:paraId="1CDE42D5" w14:textId="3047E0AD" w:rsidR="00035D76" w:rsidRPr="0042268E" w:rsidRDefault="00D329BA" w:rsidP="001B4BF0">
      <w:pPr>
        <w:spacing w:before="360" w:after="120"/>
        <w:rPr>
          <w:color w:val="0D2B58"/>
          <w:sz w:val="32"/>
          <w:szCs w:val="32"/>
        </w:rPr>
      </w:pPr>
      <w:r w:rsidRPr="0042268E">
        <w:rPr>
          <w:color w:val="0D2B58"/>
          <w:sz w:val="32"/>
          <w:szCs w:val="32"/>
        </w:rPr>
        <w:t>Continued use of NDIS worker screening</w:t>
      </w:r>
      <w:r w:rsidR="00092614" w:rsidRPr="0042268E">
        <w:rPr>
          <w:color w:val="0D2B58"/>
          <w:sz w:val="32"/>
          <w:szCs w:val="32"/>
        </w:rPr>
        <w:t xml:space="preserve"> as a safeguard</w:t>
      </w:r>
    </w:p>
    <w:p w14:paraId="6FDD8F86" w14:textId="46D291CC" w:rsidR="00035D76" w:rsidRPr="005B05B3" w:rsidRDefault="00D329BA" w:rsidP="6E2A98E2">
      <w:pPr>
        <w:spacing w:before="122" w:after="0"/>
        <w:rPr>
          <w:rFonts w:eastAsia="Aptos" w:cs="Aptos"/>
        </w:rPr>
      </w:pPr>
      <w:r w:rsidRPr="005B05B3">
        <w:rPr>
          <w:rFonts w:eastAsia="Aptos" w:cs="Aptos"/>
        </w:rPr>
        <w:t>M</w:t>
      </w:r>
      <w:r w:rsidR="00035D76" w:rsidRPr="005B05B3">
        <w:rPr>
          <w:rFonts w:eastAsia="Aptos" w:cs="Aptos"/>
        </w:rPr>
        <w:t xml:space="preserve">ost stakeholders were supportive of NDIS </w:t>
      </w:r>
      <w:r w:rsidR="00E30B48">
        <w:rPr>
          <w:rFonts w:eastAsia="Aptos" w:cs="Aptos"/>
        </w:rPr>
        <w:t>W</w:t>
      </w:r>
      <w:r w:rsidR="00035D76" w:rsidRPr="005B05B3">
        <w:rPr>
          <w:rFonts w:eastAsia="Aptos" w:cs="Aptos"/>
        </w:rPr>
        <w:t xml:space="preserve">orker </w:t>
      </w:r>
      <w:r w:rsidR="00E30B48">
        <w:rPr>
          <w:rFonts w:eastAsia="Aptos" w:cs="Aptos"/>
        </w:rPr>
        <w:t>S</w:t>
      </w:r>
      <w:r w:rsidR="00035D76" w:rsidRPr="005B05B3">
        <w:rPr>
          <w:rFonts w:eastAsia="Aptos" w:cs="Aptos"/>
        </w:rPr>
        <w:t>creening, recognising the importance of the safeguard to reduce criminal offending and predictably poor outcomes in service delivery.</w:t>
      </w:r>
      <w:r w:rsidR="009A4734" w:rsidRPr="005B05B3">
        <w:rPr>
          <w:rFonts w:eastAsia="Aptos" w:cs="Aptos"/>
        </w:rPr>
        <w:t xml:space="preserve"> However, national consistency is critical and that is not currently achieved.</w:t>
      </w:r>
    </w:p>
    <w:p w14:paraId="0252E56E" w14:textId="632A20D1" w:rsidR="00035D76" w:rsidRPr="005B05B3" w:rsidRDefault="5907381E" w:rsidP="2319A92E">
      <w:pPr>
        <w:spacing w:before="122" w:after="0"/>
        <w:ind w:left="720"/>
        <w:rPr>
          <w:rFonts w:eastAsia="Aptos" w:cs="Aptos"/>
        </w:rPr>
      </w:pPr>
      <w:r w:rsidRPr="00832E77">
        <w:rPr>
          <w:rStyle w:val="QuoteChar"/>
          <w:rFonts w:ascii="Aptos" w:hAnsi="Aptos"/>
        </w:rPr>
        <w:lastRenderedPageBreak/>
        <w:t>Expanding the requirement for worker screening and mandatory training to all NDIS workers relative to the types of supports being provided is a critical aspect to improve quality and safety within the scheme.</w:t>
      </w:r>
      <w:r w:rsidR="00035D76" w:rsidRPr="00832E77">
        <w:rPr>
          <w:rStyle w:val="FootnoteReference"/>
        </w:rPr>
        <w:footnoteReference w:id="187"/>
      </w:r>
    </w:p>
    <w:p w14:paraId="0ACA65F2" w14:textId="7D58ECAB" w:rsidR="00035D76" w:rsidRPr="005B05B3" w:rsidRDefault="00092614" w:rsidP="00035D76">
      <w:pPr>
        <w:spacing w:before="122" w:after="0"/>
        <w:rPr>
          <w:rFonts w:eastAsia="Aptos" w:cs="Aptos"/>
        </w:rPr>
      </w:pPr>
      <w:r w:rsidRPr="005B05B3">
        <w:rPr>
          <w:rFonts w:eastAsia="Aptos" w:cs="Aptos"/>
        </w:rPr>
        <w:t xml:space="preserve">But </w:t>
      </w:r>
      <w:r w:rsidR="00F51B01" w:rsidRPr="005B05B3">
        <w:rPr>
          <w:rFonts w:eastAsia="Aptos" w:cs="Aptos"/>
        </w:rPr>
        <w:t>stakeholders</w:t>
      </w:r>
      <w:r w:rsidR="00035D76" w:rsidRPr="005B05B3">
        <w:rPr>
          <w:rFonts w:eastAsia="Aptos" w:cs="Aptos"/>
        </w:rPr>
        <w:t xml:space="preserve"> were </w:t>
      </w:r>
      <w:r w:rsidRPr="005B05B3">
        <w:rPr>
          <w:rFonts w:eastAsia="Aptos" w:cs="Aptos"/>
        </w:rPr>
        <w:t xml:space="preserve">also </w:t>
      </w:r>
      <w:r w:rsidR="00035D76" w:rsidRPr="005B05B3">
        <w:rPr>
          <w:rFonts w:eastAsia="Aptos" w:cs="Aptos"/>
        </w:rPr>
        <w:t xml:space="preserve">clear that significant improvements need to be made and that the time, cost and </w:t>
      </w:r>
      <w:r w:rsidR="00035D76" w:rsidRPr="004B03C4">
        <w:rPr>
          <w:rFonts w:eastAsia="Aptos" w:cs="Aptos"/>
        </w:rPr>
        <w:t>differences between jurisdictions reduced the importance of this otherwise valued safeguard.</w:t>
      </w:r>
      <w:r w:rsidR="007D7D59" w:rsidRPr="004B03C4">
        <w:rPr>
          <w:rFonts w:eastAsia="Aptos" w:cs="Aptos"/>
        </w:rPr>
        <w:t xml:space="preserve"> </w:t>
      </w:r>
      <w:r w:rsidR="00C71A76" w:rsidRPr="004B03C4">
        <w:rPr>
          <w:rFonts w:eastAsia="Aptos" w:cs="Aptos"/>
        </w:rPr>
        <w:t>For instance,</w:t>
      </w:r>
      <w:r w:rsidR="008158F1" w:rsidRPr="004B03C4">
        <w:rPr>
          <w:rFonts w:eastAsia="Aptos" w:cs="Aptos"/>
        </w:rPr>
        <w:t xml:space="preserve"> </w:t>
      </w:r>
      <w:r w:rsidR="007118D8" w:rsidRPr="004B03C4">
        <w:rPr>
          <w:rFonts w:eastAsia="Aptos" w:cs="Aptos"/>
        </w:rPr>
        <w:t xml:space="preserve">one unregistered platform provider </w:t>
      </w:r>
      <w:r w:rsidR="00B03D01" w:rsidRPr="004B03C4">
        <w:rPr>
          <w:rFonts w:eastAsia="Aptos" w:cs="Aptos"/>
        </w:rPr>
        <w:t xml:space="preserve">suggested the </w:t>
      </w:r>
      <w:r w:rsidR="00AB7658" w:rsidRPr="004B03C4">
        <w:rPr>
          <w:rFonts w:eastAsia="Aptos" w:cs="Aptos"/>
        </w:rPr>
        <w:t>screening checks should be</w:t>
      </w:r>
      <w:r w:rsidR="00344CAB" w:rsidRPr="004B03C4">
        <w:rPr>
          <w:rFonts w:eastAsia="Aptos" w:cs="Aptos"/>
        </w:rPr>
        <w:t xml:space="preserve"> </w:t>
      </w:r>
      <w:r w:rsidR="00010430" w:rsidRPr="004B03C4">
        <w:rPr>
          <w:rFonts w:eastAsia="Aptos" w:cs="Aptos"/>
        </w:rPr>
        <w:t xml:space="preserve">mandatory for workers providing 1:1 supports, but the credential should be </w:t>
      </w:r>
      <w:r w:rsidR="00344CAB" w:rsidRPr="004B03C4">
        <w:rPr>
          <w:rFonts w:eastAsia="Aptos" w:cs="Aptos"/>
        </w:rPr>
        <w:t>portable</w:t>
      </w:r>
      <w:r w:rsidR="0072203E" w:rsidRPr="004B03C4">
        <w:rPr>
          <w:rFonts w:eastAsia="Aptos" w:cs="Aptos"/>
        </w:rPr>
        <w:t xml:space="preserve"> </w:t>
      </w:r>
      <w:r w:rsidR="0046764A" w:rsidRPr="004B03C4">
        <w:rPr>
          <w:rFonts w:eastAsia="Aptos" w:cs="Aptos"/>
        </w:rPr>
        <w:t>and valid in any state</w:t>
      </w:r>
      <w:r w:rsidR="0016533F" w:rsidRPr="004B03C4">
        <w:rPr>
          <w:rFonts w:eastAsia="Aptos" w:cs="Aptos"/>
        </w:rPr>
        <w:t xml:space="preserve"> to enable workers to transfer from one provider to </w:t>
      </w:r>
      <w:bookmarkStart w:id="97" w:name="_Hlk169709412"/>
      <w:bookmarkStart w:id="98" w:name="_Hlk169709506"/>
      <w:bookmarkEnd w:id="97"/>
      <w:bookmarkEnd w:id="98"/>
      <w:r w:rsidR="00F51B01" w:rsidRPr="004B03C4">
        <w:rPr>
          <w:rFonts w:eastAsia="Aptos" w:cs="Aptos"/>
        </w:rPr>
        <w:t>another</w:t>
      </w:r>
      <w:r w:rsidR="00F51B01" w:rsidRPr="004B03C4">
        <w:rPr>
          <w:rStyle w:val="CommentReference"/>
        </w:rPr>
        <w:t>.</w:t>
      </w:r>
      <w:r w:rsidR="00F51B01" w:rsidRPr="004B03C4">
        <w:rPr>
          <w:rFonts w:eastAsia="Aptos" w:cs="Aptos"/>
        </w:rPr>
        <w:t xml:space="preserve"> The</w:t>
      </w:r>
      <w:r w:rsidR="00035D76" w:rsidRPr="004B03C4">
        <w:rPr>
          <w:rFonts w:eastAsia="Aptos" w:cs="Aptos"/>
        </w:rPr>
        <w:t xml:space="preserve"> Taskforce is supportive of the NDIS Worker Screening Check for all workers employed</w:t>
      </w:r>
      <w:r w:rsidR="00035D76" w:rsidRPr="005B05B3">
        <w:rPr>
          <w:rFonts w:eastAsia="Aptos" w:cs="Aptos"/>
        </w:rPr>
        <w:t xml:space="preserve"> or engaged by NDIS </w:t>
      </w:r>
      <w:r w:rsidR="00C529E3" w:rsidRPr="005B05B3">
        <w:rPr>
          <w:rFonts w:eastAsia="Aptos" w:cs="Aptos"/>
        </w:rPr>
        <w:t>p</w:t>
      </w:r>
      <w:r w:rsidR="00035D76" w:rsidRPr="005B05B3">
        <w:rPr>
          <w:rFonts w:eastAsia="Aptos" w:cs="Aptos"/>
        </w:rPr>
        <w:t xml:space="preserve">roviders (as we propose it to be defined), in risk assessed roles for </w:t>
      </w:r>
      <w:r w:rsidR="00E30B48">
        <w:rPr>
          <w:rFonts w:eastAsia="Aptos" w:cs="Aptos"/>
        </w:rPr>
        <w:t>Advanced and General R</w:t>
      </w:r>
      <w:r w:rsidR="00035D76" w:rsidRPr="005B05B3">
        <w:rPr>
          <w:rFonts w:eastAsia="Aptos" w:cs="Aptos"/>
        </w:rPr>
        <w:t xml:space="preserve">egistration </w:t>
      </w:r>
      <w:r w:rsidR="00A04172" w:rsidRPr="005B05B3">
        <w:rPr>
          <w:rFonts w:eastAsia="Aptos" w:cs="Aptos"/>
        </w:rPr>
        <w:t>c</w:t>
      </w:r>
      <w:r w:rsidR="00035D76" w:rsidRPr="005B05B3">
        <w:rPr>
          <w:rFonts w:eastAsia="Aptos" w:cs="Aptos"/>
        </w:rPr>
        <w:t xml:space="preserve">ategories. </w:t>
      </w:r>
      <w:r w:rsidR="00E53DBD" w:rsidRPr="00E53DBD">
        <w:rPr>
          <w:rFonts w:eastAsia="Aptos" w:cs="Aptos"/>
        </w:rPr>
        <w:t xml:space="preserve">The Taskforce has heard that those with historical misdemeanours can be excluded from Worker Screening which is a barrier to the workforce. This should be considered in developing the approach. </w:t>
      </w:r>
      <w:r w:rsidR="00035D76" w:rsidRPr="005B05B3">
        <w:rPr>
          <w:rFonts w:eastAsia="Aptos" w:cs="Aptos"/>
        </w:rPr>
        <w:t>We do not make any recommendations to change the substance of the Screening Check in terms of intent or what is considered. We do recommend:</w:t>
      </w:r>
    </w:p>
    <w:p w14:paraId="11B5A638" w14:textId="549895B2" w:rsidR="00035D76" w:rsidRPr="005B05B3" w:rsidRDefault="00F463AD" w:rsidP="002248D1">
      <w:pPr>
        <w:pStyle w:val="ListParagraph"/>
        <w:numPr>
          <w:ilvl w:val="0"/>
          <w:numId w:val="62"/>
        </w:numPr>
        <w:spacing w:before="122" w:after="0" w:line="279" w:lineRule="auto"/>
        <w:rPr>
          <w:rFonts w:eastAsia="Aptos" w:cs="Aptos"/>
        </w:rPr>
      </w:pPr>
      <w:r w:rsidRPr="005B05B3">
        <w:rPr>
          <w:rFonts w:eastAsia="Aptos" w:cs="Aptos"/>
        </w:rPr>
        <w:t xml:space="preserve">that </w:t>
      </w:r>
      <w:r w:rsidR="00566062" w:rsidRPr="005B05B3">
        <w:rPr>
          <w:rFonts w:eastAsia="Aptos" w:cs="Aptos"/>
        </w:rPr>
        <w:t>Australian governments including the states and territories</w:t>
      </w:r>
      <w:r w:rsidR="00035D76" w:rsidRPr="005B05B3">
        <w:rPr>
          <w:rFonts w:eastAsia="Aptos" w:cs="Aptos"/>
        </w:rPr>
        <w:t xml:space="preserve"> improve information sharing between jurisdictions to ensure that the information considered in a screening assessment is complete, accurate and robust.</w:t>
      </w:r>
      <w:r w:rsidR="0045450D" w:rsidRPr="005B05B3">
        <w:rPr>
          <w:rStyle w:val="FootnoteReference"/>
          <w:rFonts w:eastAsia="Aptos" w:cs="Aptos"/>
        </w:rPr>
        <w:footnoteReference w:id="188"/>
      </w:r>
    </w:p>
    <w:p w14:paraId="00B679C1" w14:textId="42DA073A" w:rsidR="00035D76" w:rsidRPr="005B05B3" w:rsidRDefault="00F463AD" w:rsidP="002248D1">
      <w:pPr>
        <w:pStyle w:val="ListParagraph"/>
        <w:numPr>
          <w:ilvl w:val="0"/>
          <w:numId w:val="62"/>
        </w:numPr>
        <w:spacing w:before="122" w:after="0" w:line="279" w:lineRule="auto"/>
        <w:rPr>
          <w:rFonts w:eastAsia="Aptos" w:cs="Aptos"/>
        </w:rPr>
      </w:pPr>
      <w:r w:rsidRPr="005B05B3">
        <w:rPr>
          <w:rFonts w:eastAsia="Aptos" w:cs="Aptos"/>
        </w:rPr>
        <w:t xml:space="preserve"> a need to </w:t>
      </w:r>
      <w:r w:rsidR="00F51B01" w:rsidRPr="005B05B3">
        <w:rPr>
          <w:rFonts w:eastAsia="Aptos" w:cs="Aptos"/>
        </w:rPr>
        <w:t>develop</w:t>
      </w:r>
      <w:r w:rsidR="00035D76" w:rsidRPr="005B05B3">
        <w:rPr>
          <w:rFonts w:eastAsia="Aptos" w:cs="Aptos"/>
        </w:rPr>
        <w:t xml:space="preserve"> culturally safe rules or procedures to consider identification documents differences faced by First Nations people.</w:t>
      </w:r>
    </w:p>
    <w:p w14:paraId="7369988F" w14:textId="0CDEAC65" w:rsidR="00035D76" w:rsidRPr="005B05B3" w:rsidRDefault="05E450BF" w:rsidP="009F682D">
      <w:pPr>
        <w:pStyle w:val="TSDAltHeading3"/>
        <w:rPr>
          <w:rFonts w:cs="Aptos"/>
        </w:rPr>
      </w:pPr>
      <w:bookmarkStart w:id="99" w:name="_Toc170128759"/>
      <w:r w:rsidRPr="005B05B3">
        <w:t>Complaints</w:t>
      </w:r>
      <w:bookmarkEnd w:id="99"/>
    </w:p>
    <w:p w14:paraId="7F69678B" w14:textId="77777777" w:rsidR="001063A5" w:rsidRPr="005B05B3" w:rsidRDefault="001063A5" w:rsidP="004054D1">
      <w:pPr>
        <w:spacing w:line="278" w:lineRule="auto"/>
        <w:rPr>
          <w:rFonts w:eastAsia="Aptos" w:cs="Aptos"/>
        </w:rPr>
      </w:pPr>
      <w:r w:rsidRPr="005B05B3">
        <w:rPr>
          <w:rFonts w:eastAsia="Aptos" w:cs="Aptos"/>
        </w:rPr>
        <w:t>We recommend that all categories of registration be subject to the Complaints process and that a participant be able to make a complaint to the NDIS Commission wherever they spend their NDIS funding.</w:t>
      </w:r>
    </w:p>
    <w:p w14:paraId="350E8FAD" w14:textId="7091F6B0" w:rsidR="00035D76" w:rsidRPr="005B05B3" w:rsidRDefault="001063A5" w:rsidP="005B05B3">
      <w:pPr>
        <w:spacing w:line="278" w:lineRule="auto"/>
        <w:rPr>
          <w:rStyle w:val="QuoteChar"/>
          <w:rFonts w:ascii="Aptos" w:hAnsi="Aptos"/>
        </w:rPr>
      </w:pPr>
      <w:r w:rsidRPr="005B05B3">
        <w:rPr>
          <w:rFonts w:eastAsia="Aptos" w:cs="Aptos"/>
        </w:rPr>
        <w:t xml:space="preserve">However, we acknowledge that </w:t>
      </w:r>
      <w:r w:rsidR="00F51B01" w:rsidRPr="005B05B3">
        <w:rPr>
          <w:rFonts w:eastAsia="Aptos" w:cs="Aptos"/>
        </w:rPr>
        <w:t>the</w:t>
      </w:r>
      <w:r w:rsidR="00035D76" w:rsidRPr="005B05B3">
        <w:rPr>
          <w:rFonts w:eastAsia="Aptos" w:cs="Aptos"/>
        </w:rPr>
        <w:t xml:space="preserve"> current complaints system does not work and is not fit for purpose</w:t>
      </w:r>
      <w:r w:rsidR="00132D69" w:rsidRPr="005B05B3">
        <w:rPr>
          <w:rFonts w:eastAsia="Aptos" w:cs="Aptos"/>
        </w:rPr>
        <w:t>,</w:t>
      </w:r>
      <w:r w:rsidR="00035D76" w:rsidRPr="005B05B3">
        <w:rPr>
          <w:rFonts w:eastAsia="Aptos" w:cs="Aptos"/>
        </w:rPr>
        <w:t xml:space="preserve"> </w:t>
      </w:r>
      <w:r w:rsidR="00132D69" w:rsidRPr="005B05B3">
        <w:rPr>
          <w:rFonts w:eastAsia="Aptos" w:cs="Aptos"/>
        </w:rPr>
        <w:t>d</w:t>
      </w:r>
      <w:r w:rsidR="00035D76" w:rsidRPr="005B05B3">
        <w:rPr>
          <w:rFonts w:eastAsia="Aptos" w:cs="Aptos"/>
        </w:rPr>
        <w:t>espite its importance to the regulatory functions of the NDIS Commission</w:t>
      </w:r>
      <w:r w:rsidR="00132D69" w:rsidRPr="005B05B3">
        <w:rPr>
          <w:rFonts w:eastAsia="Aptos" w:cs="Aptos"/>
        </w:rPr>
        <w:t>.</w:t>
      </w:r>
      <w:r w:rsidR="00035D76" w:rsidRPr="005B05B3">
        <w:rPr>
          <w:rFonts w:eastAsia="Aptos" w:cs="Aptos"/>
        </w:rPr>
        <w:t xml:space="preserve"> </w:t>
      </w:r>
      <w:r w:rsidR="00132D69" w:rsidRPr="005B05B3">
        <w:rPr>
          <w:rFonts w:eastAsia="Aptos" w:cs="Aptos"/>
        </w:rPr>
        <w:t>T</w:t>
      </w:r>
      <w:r w:rsidR="00035D76" w:rsidRPr="005B05B3">
        <w:rPr>
          <w:rFonts w:eastAsia="Aptos" w:cs="Aptos"/>
        </w:rPr>
        <w:t xml:space="preserve">he Taskforce has been overwhelmingly concerned by the feedback from complainants and providers as to how </w:t>
      </w:r>
      <w:r w:rsidR="00035D76" w:rsidRPr="004B03C4">
        <w:rPr>
          <w:rFonts w:eastAsia="Aptos" w:cs="Aptos"/>
        </w:rPr>
        <w:t>this process works for them.</w:t>
      </w:r>
      <w:r w:rsidR="002E5C12" w:rsidRPr="004B03C4">
        <w:t xml:space="preserve"> </w:t>
      </w:r>
      <w:r w:rsidR="00B22A45">
        <w:t>T</w:t>
      </w:r>
      <w:r w:rsidR="004B03C4">
        <w:rPr>
          <w:rFonts w:eastAsia="Aptos" w:cs="Aptos"/>
        </w:rPr>
        <w:t>he Taskforce heard</w:t>
      </w:r>
      <w:r w:rsidR="005A2CC2" w:rsidRPr="004B03C4">
        <w:rPr>
          <w:rFonts w:eastAsia="Aptos" w:cs="Aptos"/>
        </w:rPr>
        <w:t xml:space="preserve"> from family member</w:t>
      </w:r>
      <w:r w:rsidR="00B22A45">
        <w:rPr>
          <w:rFonts w:eastAsia="Aptos" w:cs="Aptos"/>
        </w:rPr>
        <w:t>s</w:t>
      </w:r>
      <w:r w:rsidR="005A2CC2" w:rsidRPr="004B03C4">
        <w:rPr>
          <w:rFonts w:eastAsia="Aptos" w:cs="Aptos"/>
        </w:rPr>
        <w:t xml:space="preserve"> of NDIS Participant</w:t>
      </w:r>
      <w:r w:rsidR="00B22A45">
        <w:rPr>
          <w:rFonts w:eastAsia="Aptos" w:cs="Aptos"/>
        </w:rPr>
        <w:t>s</w:t>
      </w:r>
      <w:r w:rsidR="005A2CC2" w:rsidRPr="004B03C4">
        <w:rPr>
          <w:rFonts w:eastAsia="Aptos" w:cs="Aptos"/>
        </w:rPr>
        <w:t xml:space="preserve"> recommended a ‘complete overhaul’ of the NDIS</w:t>
      </w:r>
      <w:r w:rsidR="005A2CC2" w:rsidRPr="004B03C4">
        <w:t xml:space="preserve"> Commission</w:t>
      </w:r>
      <w:r w:rsidR="005A2CC2" w:rsidRPr="004B03C4">
        <w:rPr>
          <w:rStyle w:val="QuoteChar"/>
          <w:rFonts w:ascii="Aptos" w:hAnsi="Aptos"/>
        </w:rPr>
        <w:t>.</w:t>
      </w:r>
      <w:r w:rsidR="005A2CC2" w:rsidRPr="004B03C4">
        <w:rPr>
          <w:rStyle w:val="FootnoteReference"/>
          <w:rFonts w:eastAsia="Aptos" w:cs="Aptos"/>
        </w:rPr>
        <w:footnoteReference w:id="189"/>
      </w:r>
    </w:p>
    <w:p w14:paraId="727B4A32" w14:textId="3D628B0D" w:rsidR="64C14009" w:rsidRPr="005B05B3" w:rsidRDefault="64C14009" w:rsidP="2319A92E">
      <w:pPr>
        <w:spacing w:line="278" w:lineRule="auto"/>
        <w:ind w:left="720"/>
        <w:rPr>
          <w:rStyle w:val="QuoteChar"/>
          <w:rFonts w:ascii="Aptos" w:hAnsi="Aptos"/>
        </w:rPr>
      </w:pPr>
      <w:r w:rsidRPr="005A2CC2">
        <w:rPr>
          <w:rStyle w:val="QuoteChar"/>
          <w:rFonts w:ascii="Aptos" w:hAnsi="Aptos"/>
        </w:rPr>
        <w:lastRenderedPageBreak/>
        <w:t>There are also occasions where a complaint will be acknowledged however</w:t>
      </w:r>
      <w:r w:rsidR="004E6EC7" w:rsidRPr="005A2CC2">
        <w:rPr>
          <w:rStyle w:val="QuoteChar"/>
          <w:rFonts w:ascii="Aptos" w:hAnsi="Aptos"/>
        </w:rPr>
        <w:t>,</w:t>
      </w:r>
      <w:r w:rsidRPr="005A2CC2">
        <w:rPr>
          <w:rStyle w:val="QuoteChar"/>
          <w:rFonts w:ascii="Aptos" w:hAnsi="Aptos"/>
        </w:rPr>
        <w:t xml:space="preserve"> the voice of the provider is louder than the person with the disability and backed by legal advice and language that provides inequity in the process. It is also widely believed that the interests of the quality and safeguard commission officer is to close off the complaint as quickly as possible, with recommendations being often irrelevant and non-genuine in attempts to remedy the matter.</w:t>
      </w:r>
      <w:r w:rsidRPr="005A2CC2">
        <w:rPr>
          <w:rStyle w:val="FootnoteReference"/>
        </w:rPr>
        <w:footnoteReference w:id="190"/>
      </w:r>
    </w:p>
    <w:p w14:paraId="0AAAAA1B" w14:textId="2105CEA6" w:rsidR="00035D76" w:rsidRPr="005B05B3" w:rsidRDefault="00035D76" w:rsidP="00035D76">
      <w:pPr>
        <w:spacing w:line="278" w:lineRule="auto"/>
        <w:rPr>
          <w:rFonts w:eastAsia="Aptos" w:cs="Aptos"/>
        </w:rPr>
      </w:pPr>
      <w:r w:rsidRPr="005B05B3">
        <w:rPr>
          <w:rFonts w:eastAsia="Aptos" w:cs="Aptos"/>
        </w:rPr>
        <w:t>Similarly, the Disability Royal Commission also heard 'that there are people who are identified as at risk of experiencing violence, abuse, neglect or exploitation but do not have advocacy or support to make complaints and ensure incidents are reported to the NDIS Commission</w:t>
      </w:r>
      <w:r w:rsidR="002932DE">
        <w:rPr>
          <w:rFonts w:eastAsia="Aptos" w:cs="Aptos"/>
        </w:rPr>
        <w:t>.</w:t>
      </w:r>
      <w:r w:rsidRPr="005B05B3">
        <w:rPr>
          <w:rFonts w:eastAsia="Aptos" w:cs="Aptos"/>
        </w:rPr>
        <w:t>’</w:t>
      </w:r>
      <w:r w:rsidRPr="005B05B3">
        <w:rPr>
          <w:rStyle w:val="FootnoteReference"/>
          <w:rFonts w:eastAsia="Aptos" w:cs="Aptos"/>
        </w:rPr>
        <w:footnoteReference w:id="191"/>
      </w:r>
    </w:p>
    <w:p w14:paraId="00EF23B7" w14:textId="4ACA63CC" w:rsidR="00035D76" w:rsidRPr="005B05B3" w:rsidRDefault="00035D76" w:rsidP="0712D1ED">
      <w:pPr>
        <w:spacing w:line="278" w:lineRule="auto"/>
        <w:rPr>
          <w:rFonts w:eastAsia="Aptos" w:cs="Aptos"/>
        </w:rPr>
      </w:pPr>
      <w:r w:rsidRPr="005B05B3">
        <w:rPr>
          <w:rFonts w:eastAsia="Aptos" w:cs="Aptos"/>
        </w:rPr>
        <w:t xml:space="preserve">We have heard that complaints may not be acknowledged for 12 months or at all and that complainants have felt they were not </w:t>
      </w:r>
      <w:r w:rsidR="00443847" w:rsidRPr="005B05B3">
        <w:rPr>
          <w:rFonts w:eastAsia="Aptos" w:cs="Aptos"/>
        </w:rPr>
        <w:t>heard,</w:t>
      </w:r>
      <w:r w:rsidRPr="005B05B3">
        <w:rPr>
          <w:rFonts w:eastAsia="Aptos" w:cs="Aptos"/>
        </w:rPr>
        <w:t xml:space="preserve"> or NDIS </w:t>
      </w:r>
      <w:r w:rsidR="00C529E3" w:rsidRPr="005B05B3">
        <w:rPr>
          <w:rFonts w:eastAsia="Aptos" w:cs="Aptos"/>
        </w:rPr>
        <w:t>p</w:t>
      </w:r>
      <w:r w:rsidRPr="005B05B3">
        <w:rPr>
          <w:rFonts w:eastAsia="Aptos" w:cs="Aptos"/>
        </w:rPr>
        <w:t>roviders left unsure of the next steps.</w:t>
      </w:r>
      <w:r w:rsidR="00877B9F" w:rsidRPr="005B05B3">
        <w:rPr>
          <w:rFonts w:eastAsia="Aptos" w:cs="Aptos"/>
        </w:rPr>
        <w:t xml:space="preserve"> </w:t>
      </w:r>
      <w:r w:rsidR="617C303B" w:rsidRPr="005B05B3">
        <w:rPr>
          <w:rFonts w:eastAsia="Aptos" w:cs="Aptos"/>
        </w:rPr>
        <w:t xml:space="preserve">It has even been described by a </w:t>
      </w:r>
      <w:r w:rsidR="00C65AC8" w:rsidRPr="005B05B3">
        <w:rPr>
          <w:rFonts w:eastAsia="Aptos" w:cs="Aptos"/>
        </w:rPr>
        <w:t>p</w:t>
      </w:r>
      <w:r w:rsidR="617C303B" w:rsidRPr="005B05B3">
        <w:rPr>
          <w:rFonts w:eastAsia="Aptos" w:cs="Aptos"/>
        </w:rPr>
        <w:t xml:space="preserve">articipant as </w:t>
      </w:r>
      <w:r w:rsidR="00AE18BE" w:rsidRPr="005B05B3">
        <w:rPr>
          <w:rFonts w:eastAsia="Aptos" w:cs="Aptos"/>
        </w:rPr>
        <w:t>‘</w:t>
      </w:r>
      <w:r w:rsidR="617C303B" w:rsidRPr="005B05B3">
        <w:rPr>
          <w:rFonts w:eastAsia="Aptos" w:cs="Aptos"/>
        </w:rPr>
        <w:t>a big black hole</w:t>
      </w:r>
      <w:r w:rsidR="00AE18BE" w:rsidRPr="005B05B3">
        <w:rPr>
          <w:rFonts w:eastAsia="Aptos" w:cs="Aptos"/>
        </w:rPr>
        <w:t>’</w:t>
      </w:r>
      <w:r w:rsidR="617C303B" w:rsidRPr="005B05B3">
        <w:rPr>
          <w:rFonts w:eastAsia="Aptos" w:cs="Aptos"/>
        </w:rPr>
        <w:t>, referring to the absence of responses received when a complaint is made.</w:t>
      </w:r>
      <w:r w:rsidRPr="005B05B3">
        <w:rPr>
          <w:rStyle w:val="FootnoteReference"/>
          <w:rFonts w:eastAsia="Aptos" w:cs="Aptos"/>
        </w:rPr>
        <w:footnoteReference w:id="192"/>
      </w:r>
      <w:r w:rsidR="00A65D7C" w:rsidRPr="005B05B3">
        <w:rPr>
          <w:rFonts w:eastAsia="Aptos" w:cs="Aptos"/>
        </w:rPr>
        <w:t xml:space="preserve"> </w:t>
      </w:r>
      <w:r w:rsidR="00A65D7C" w:rsidRPr="004B03C4">
        <w:rPr>
          <w:rFonts w:eastAsia="Aptos" w:cs="Aptos"/>
        </w:rPr>
        <w:t>Other family members told us that they felt let down by the lack of communication from the NDIS Commission after reporting incidents.</w:t>
      </w:r>
      <w:r w:rsidR="00A65D7C" w:rsidRPr="005B05B3">
        <w:rPr>
          <w:rFonts w:eastAsia="Aptos" w:cs="Aptos"/>
        </w:rPr>
        <w:t xml:space="preserve"> </w:t>
      </w:r>
    </w:p>
    <w:p w14:paraId="4DE951D4" w14:textId="75588DA0" w:rsidR="00035D76" w:rsidRPr="005B05B3" w:rsidRDefault="4728C50B" w:rsidP="2319A92E">
      <w:pPr>
        <w:spacing w:line="278" w:lineRule="auto"/>
        <w:ind w:left="720"/>
        <w:rPr>
          <w:rFonts w:eastAsia="Aptos" w:cs="Aptos"/>
        </w:rPr>
      </w:pPr>
      <w:r w:rsidRPr="005A2CC2">
        <w:rPr>
          <w:rStyle w:val="QuoteChar"/>
          <w:rFonts w:ascii="Aptos" w:hAnsi="Aptos"/>
        </w:rPr>
        <w:t xml:space="preserve">Submitting complaints to the commission over these big providers does nothing, I have been involved with a few companies now as an employee and have witnessed first hand serious breaches of the NDIS Code of Conduct, </w:t>
      </w:r>
      <w:r w:rsidR="71A4F32E" w:rsidRPr="005A2CC2">
        <w:rPr>
          <w:rStyle w:val="QuoteChar"/>
          <w:rFonts w:ascii="Aptos" w:hAnsi="Aptos"/>
        </w:rPr>
        <w:t>NDIS</w:t>
      </w:r>
      <w:r w:rsidRPr="005A2CC2">
        <w:rPr>
          <w:rStyle w:val="QuoteChar"/>
          <w:rFonts w:ascii="Aptos" w:hAnsi="Aptos"/>
        </w:rPr>
        <w:t xml:space="preserve"> practice standards, major fraud within the plans, theft of participants dsp</w:t>
      </w:r>
      <w:r w:rsidR="009B59CE" w:rsidRPr="005A2CC2">
        <w:rPr>
          <w:rStyle w:val="QuoteChar"/>
          <w:rFonts w:ascii="Aptos" w:hAnsi="Aptos"/>
        </w:rPr>
        <w:t xml:space="preserve"> [sic]</w:t>
      </w:r>
      <w:r w:rsidRPr="005A2CC2">
        <w:rPr>
          <w:rStyle w:val="QuoteChar"/>
          <w:rFonts w:ascii="Aptos" w:hAnsi="Aptos"/>
        </w:rPr>
        <w:t xml:space="preserve"> money, assault on participants, emotional manipulation and blackmail, senior managers forging false incident reports, many many cases of coercive control and have submitted reports each and every time that goes absolutely nowhere.</w:t>
      </w:r>
      <w:r w:rsidR="00035D76" w:rsidRPr="005A2CC2">
        <w:rPr>
          <w:rStyle w:val="FootnoteReference"/>
          <w:rFonts w:eastAsia="Aptos" w:cs="Aptos"/>
        </w:rPr>
        <w:footnoteReference w:id="193"/>
      </w:r>
    </w:p>
    <w:p w14:paraId="504C8182" w14:textId="07B7EE5F" w:rsidR="00035D76" w:rsidRPr="005B05B3" w:rsidRDefault="00035D76" w:rsidP="00035D76">
      <w:pPr>
        <w:spacing w:line="278" w:lineRule="auto"/>
        <w:rPr>
          <w:rFonts w:eastAsia="Aptos" w:cs="Aptos"/>
        </w:rPr>
      </w:pPr>
      <w:r w:rsidRPr="005B05B3">
        <w:rPr>
          <w:rFonts w:eastAsia="Aptos" w:cs="Aptos"/>
        </w:rPr>
        <w:t>This is unacceptable given the scope and importance of complaints in this area.</w:t>
      </w:r>
    </w:p>
    <w:p w14:paraId="6903BE5B" w14:textId="362FD02B" w:rsidR="00B532AF" w:rsidRPr="00C04F70" w:rsidRDefault="00B532AF" w:rsidP="001B4BF0">
      <w:pPr>
        <w:pStyle w:val="Heading3"/>
        <w:spacing w:before="360" w:after="120"/>
      </w:pPr>
      <w:r w:rsidRPr="00C04F70">
        <w:t>Redesigning complaints</w:t>
      </w:r>
    </w:p>
    <w:p w14:paraId="57BF1830" w14:textId="77777777" w:rsidR="005729AF" w:rsidRPr="005B05B3" w:rsidRDefault="00035D76" w:rsidP="00035D76">
      <w:pPr>
        <w:spacing w:line="278" w:lineRule="auto"/>
        <w:rPr>
          <w:rFonts w:eastAsia="Aptos" w:cs="Aptos"/>
        </w:rPr>
      </w:pPr>
      <w:r w:rsidRPr="005B05B3">
        <w:rPr>
          <w:rFonts w:eastAsia="Aptos" w:cs="Aptos"/>
        </w:rPr>
        <w:t xml:space="preserve">We recommend that the entire complaints process be redesigned </w:t>
      </w:r>
      <w:r w:rsidR="00EC5462" w:rsidRPr="005B05B3">
        <w:rPr>
          <w:rFonts w:eastAsia="Aptos" w:cs="Aptos"/>
        </w:rPr>
        <w:t xml:space="preserve">to support our proposed registration model </w:t>
      </w:r>
      <w:r w:rsidRPr="005B05B3">
        <w:rPr>
          <w:rFonts w:eastAsia="Aptos" w:cs="Aptos"/>
        </w:rPr>
        <w:t xml:space="preserve">through a co-design process with people with disability. </w:t>
      </w:r>
    </w:p>
    <w:p w14:paraId="22113ECE" w14:textId="519BB2AC" w:rsidR="00035D76" w:rsidRPr="005B05B3" w:rsidRDefault="00035D76" w:rsidP="00035D76">
      <w:pPr>
        <w:spacing w:line="278" w:lineRule="auto"/>
        <w:rPr>
          <w:rFonts w:eastAsia="Aptos" w:cs="Aptos"/>
        </w:rPr>
      </w:pPr>
      <w:r w:rsidRPr="005B05B3">
        <w:rPr>
          <w:rFonts w:eastAsia="Aptos" w:cs="Aptos"/>
        </w:rPr>
        <w:t xml:space="preserve">Complaints should be permitted against NDIS providers or any place where NDIS funds are spent. However, it should be recognised within the process that complaints may need to be referred to other bodies who are appropriately able to respond in certain </w:t>
      </w:r>
      <w:r w:rsidRPr="005B05B3">
        <w:rPr>
          <w:rFonts w:eastAsia="Aptos" w:cs="Aptos"/>
        </w:rPr>
        <w:lastRenderedPageBreak/>
        <w:t xml:space="preserve">circumstances. For example, if the NDIS Commission receive a complaint about the quality of a good from a major retailer, the ACCC may have more suitable powers to respond and so the complaint should be referred. The legislative powers to enable this </w:t>
      </w:r>
      <w:r w:rsidR="005729AF" w:rsidRPr="005B05B3">
        <w:rPr>
          <w:rFonts w:eastAsia="Aptos" w:cs="Aptos"/>
        </w:rPr>
        <w:t xml:space="preserve">to </w:t>
      </w:r>
      <w:r w:rsidRPr="005B05B3">
        <w:rPr>
          <w:rFonts w:eastAsia="Aptos" w:cs="Aptos"/>
        </w:rPr>
        <w:t xml:space="preserve">occur are discussed in </w:t>
      </w:r>
      <w:hyperlink w:anchor="_Implementation" w:history="1">
        <w:r w:rsidRPr="008024AF">
          <w:rPr>
            <w:rStyle w:val="Hyperlink"/>
            <w:rFonts w:ascii="Aptos" w:eastAsia="Aptos" w:hAnsi="Aptos" w:cs="Aptos"/>
          </w:rPr>
          <w:t xml:space="preserve">Chapter </w:t>
        </w:r>
        <w:r w:rsidR="008024AF" w:rsidRPr="008024AF">
          <w:rPr>
            <w:rStyle w:val="Hyperlink"/>
            <w:rFonts w:ascii="Aptos" w:eastAsia="Aptos" w:hAnsi="Aptos" w:cs="Aptos"/>
          </w:rPr>
          <w:t>10</w:t>
        </w:r>
      </w:hyperlink>
      <w:r w:rsidRPr="005B05B3">
        <w:rPr>
          <w:rFonts w:eastAsia="Aptos" w:cs="Aptos"/>
        </w:rPr>
        <w:t>. The complaints process should be modelled on a best practice and tailored to best serve people with disability, including by being accessible and inclusive.</w:t>
      </w:r>
      <w:r w:rsidRPr="005B05B3">
        <w:rPr>
          <w:rStyle w:val="FootnoteReference"/>
          <w:rFonts w:eastAsia="Aptos" w:cs="Aptos"/>
        </w:rPr>
        <w:footnoteReference w:id="194"/>
      </w:r>
      <w:r w:rsidRPr="005B05B3">
        <w:rPr>
          <w:rFonts w:eastAsia="Aptos" w:cs="Aptos"/>
        </w:rPr>
        <w:t xml:space="preserve"> We recommend that priority be given within the process to acting on complaints quickly.</w:t>
      </w:r>
      <w:r w:rsidRPr="005B05B3">
        <w:rPr>
          <w:rStyle w:val="FootnoteReference"/>
          <w:rFonts w:eastAsia="Aptos" w:cs="Aptos"/>
        </w:rPr>
        <w:footnoteReference w:id="195"/>
      </w:r>
    </w:p>
    <w:p w14:paraId="1F2A4022" w14:textId="3BCB822B" w:rsidR="006012D5" w:rsidRPr="005B05B3" w:rsidRDefault="00035D76" w:rsidP="00035D76">
      <w:pPr>
        <w:spacing w:line="278" w:lineRule="auto"/>
        <w:rPr>
          <w:rFonts w:eastAsia="Aptos" w:cs="Aptos"/>
        </w:rPr>
      </w:pPr>
      <w:r w:rsidRPr="005B05B3">
        <w:rPr>
          <w:rFonts w:eastAsia="Aptos" w:cs="Aptos"/>
        </w:rPr>
        <w:t>The Taskforce acknowledges that there is currently a triage system in place at the NDIS Commission</w:t>
      </w:r>
      <w:r w:rsidRPr="005B05B3">
        <w:rPr>
          <w:rStyle w:val="FootnoteReference"/>
          <w:rFonts w:eastAsia="Aptos" w:cs="Aptos"/>
        </w:rPr>
        <w:footnoteReference w:id="196"/>
      </w:r>
      <w:r w:rsidRPr="005B05B3">
        <w:rPr>
          <w:rFonts w:eastAsia="Aptos" w:cs="Aptos"/>
        </w:rPr>
        <w:t xml:space="preserve">, but our recommendation goes further than triage. In our view, a complaint should be acknowledged within 7 days and unless exceptional circumstances apply, resolved within 21 days. </w:t>
      </w:r>
      <w:r w:rsidR="00322F6E" w:rsidRPr="005B05B3">
        <w:rPr>
          <w:rFonts w:eastAsia="Aptos" w:cs="Aptos"/>
        </w:rPr>
        <w:t>When a complaint is opened by the NDIS Commission, it should be given a complaint reference (shared with the complainant and</w:t>
      </w:r>
      <w:r w:rsidR="009A4734" w:rsidRPr="005B05B3">
        <w:rPr>
          <w:rFonts w:eastAsia="Aptos" w:cs="Aptos"/>
        </w:rPr>
        <w:t xml:space="preserve"> </w:t>
      </w:r>
      <w:r w:rsidR="00443847" w:rsidRPr="005B05B3">
        <w:rPr>
          <w:rFonts w:eastAsia="Aptos" w:cs="Aptos"/>
        </w:rPr>
        <w:t>respondent) where</w:t>
      </w:r>
      <w:r w:rsidR="009A4734" w:rsidRPr="005B05B3">
        <w:rPr>
          <w:rFonts w:eastAsia="Aptos" w:cs="Aptos"/>
        </w:rPr>
        <w:t xml:space="preserve"> appropriate and safe, the</w:t>
      </w:r>
      <w:r w:rsidR="00322F6E" w:rsidRPr="005B05B3">
        <w:rPr>
          <w:rFonts w:eastAsia="Aptos" w:cs="Aptos"/>
        </w:rPr>
        <w:t xml:space="preserve"> respondent) and a file opened. Having a record of all complaints is critical to regulatory intelligence and good practice.</w:t>
      </w:r>
    </w:p>
    <w:p w14:paraId="0AA331DE" w14:textId="2F4E1CCE" w:rsidR="00035D76" w:rsidRPr="005B05B3" w:rsidRDefault="00035D76" w:rsidP="00035D76">
      <w:pPr>
        <w:spacing w:line="278" w:lineRule="auto"/>
        <w:rPr>
          <w:rFonts w:eastAsia="Aptos" w:cs="Aptos"/>
        </w:rPr>
      </w:pPr>
      <w:r w:rsidRPr="005B05B3">
        <w:rPr>
          <w:rFonts w:eastAsia="Aptos" w:cs="Aptos"/>
        </w:rPr>
        <w:t xml:space="preserve">It is not in the interests of complainants, respondents or the Commission to have complaints be protracted and long-lasting. If available, resolutions and remedial action should be pursued promptly. A triage process should be built into that process but not at the expense of leaving complaints largely languishing if there is not an immediate threat of death or harm. We acknowledge that this recommendation will take significant system reform, which is discussed in more detail </w:t>
      </w:r>
      <w:r w:rsidR="0071785B">
        <w:rPr>
          <w:rFonts w:eastAsia="Aptos" w:cs="Aptos"/>
        </w:rPr>
        <w:t>in</w:t>
      </w:r>
      <w:r w:rsidRPr="005B05B3">
        <w:rPr>
          <w:rFonts w:eastAsia="Aptos" w:cs="Aptos"/>
        </w:rPr>
        <w:t xml:space="preserve"> </w:t>
      </w:r>
      <w:hyperlink w:anchor="_Implementation" w:history="1">
        <w:r w:rsidRPr="00674888">
          <w:rPr>
            <w:rStyle w:val="Hyperlink"/>
            <w:rFonts w:ascii="Aptos" w:eastAsia="Aptos" w:hAnsi="Aptos" w:cs="Aptos"/>
          </w:rPr>
          <w:t xml:space="preserve">Chapter </w:t>
        </w:r>
        <w:r w:rsidR="00674888" w:rsidRPr="00674888">
          <w:rPr>
            <w:rStyle w:val="Hyperlink"/>
            <w:rFonts w:ascii="Aptos" w:eastAsia="Aptos" w:hAnsi="Aptos" w:cs="Aptos"/>
          </w:rPr>
          <w:t>10</w:t>
        </w:r>
      </w:hyperlink>
      <w:r w:rsidRPr="005B05B3">
        <w:rPr>
          <w:rFonts w:eastAsia="Aptos" w:cs="Aptos"/>
        </w:rPr>
        <w:t xml:space="preserve">. </w:t>
      </w:r>
    </w:p>
    <w:p w14:paraId="31BCBAA3" w14:textId="0CCE8061" w:rsidR="00035D76" w:rsidRPr="005B05B3" w:rsidRDefault="00035D76" w:rsidP="00035D76">
      <w:pPr>
        <w:spacing w:line="278" w:lineRule="auto"/>
        <w:rPr>
          <w:rFonts w:eastAsia="Aptos" w:cs="Aptos"/>
          <w:highlight w:val="yellow"/>
        </w:rPr>
      </w:pPr>
      <w:r w:rsidRPr="005B05B3">
        <w:rPr>
          <w:rFonts w:eastAsia="Aptos" w:cs="Aptos"/>
        </w:rPr>
        <w:t>While there is information on the NDIS Commission about how to make a complaint and what the process is</w:t>
      </w:r>
      <w:r w:rsidR="0071785B">
        <w:rPr>
          <w:rFonts w:eastAsia="Aptos" w:cs="Aptos"/>
        </w:rPr>
        <w:t>,</w:t>
      </w:r>
      <w:r w:rsidRPr="005B05B3">
        <w:rPr>
          <w:rStyle w:val="FootnoteReference"/>
          <w:rFonts w:eastAsia="Aptos" w:cs="Aptos"/>
        </w:rPr>
        <w:footnoteReference w:id="197"/>
      </w:r>
      <w:r w:rsidRPr="005B05B3">
        <w:rPr>
          <w:rFonts w:eastAsia="Aptos" w:cs="Aptos"/>
        </w:rPr>
        <w:t xml:space="preserve"> the Taskforce recommend that the NDIS Commission publish a Practice Note or Guideline which sets out the process, timelines and handling of complaints.</w:t>
      </w:r>
    </w:p>
    <w:p w14:paraId="3050C067" w14:textId="77777777" w:rsidR="00035D76" w:rsidRPr="005B05B3" w:rsidRDefault="00035D76" w:rsidP="00035D76">
      <w:pPr>
        <w:spacing w:line="278" w:lineRule="auto"/>
        <w:rPr>
          <w:rFonts w:eastAsia="Aptos" w:cs="Aptos"/>
        </w:rPr>
      </w:pPr>
      <w:r w:rsidRPr="005B05B3">
        <w:rPr>
          <w:rFonts w:eastAsia="Aptos" w:cs="Aptos"/>
        </w:rPr>
        <w:t>The Taskforce notes that the Disability Royal Commission also heard evidence regarding concerns with complaints processes and made several recommendations to improve the responsiveness, awareness and procedures in response to concerns with complaints reporting and management including:</w:t>
      </w:r>
    </w:p>
    <w:p w14:paraId="24F20A4F" w14:textId="102E12B3" w:rsidR="00035D76" w:rsidRPr="005B05B3" w:rsidRDefault="00DD4FD8" w:rsidP="002248D1">
      <w:pPr>
        <w:pStyle w:val="ListParagraph"/>
        <w:numPr>
          <w:ilvl w:val="0"/>
          <w:numId w:val="26"/>
        </w:numPr>
        <w:spacing w:after="160" w:line="278" w:lineRule="auto"/>
        <w:rPr>
          <w:rFonts w:eastAsia="Aptos" w:cs="Aptos"/>
        </w:rPr>
      </w:pPr>
      <w:r w:rsidRPr="005B05B3">
        <w:rPr>
          <w:rFonts w:eastAsia="Aptos" w:cs="Aptos"/>
        </w:rPr>
        <w:lastRenderedPageBreak/>
        <w:t>m</w:t>
      </w:r>
      <w:r w:rsidR="08264A44" w:rsidRPr="005B05B3">
        <w:rPr>
          <w:rFonts w:eastAsia="Aptos" w:cs="Aptos"/>
        </w:rPr>
        <w:t>aking complaints processes more accessible (recommendation 10.20)</w:t>
      </w:r>
      <w:r w:rsidR="00035D76" w:rsidRPr="005B05B3">
        <w:rPr>
          <w:rStyle w:val="FootnoteReference"/>
          <w:rFonts w:eastAsia="Aptos" w:cs="Aptos"/>
        </w:rPr>
        <w:footnoteReference w:id="198"/>
      </w:r>
    </w:p>
    <w:p w14:paraId="2E0D55B0" w14:textId="77777777" w:rsidR="00605C75" w:rsidRDefault="00DD4FD8" w:rsidP="002248D1">
      <w:pPr>
        <w:pStyle w:val="ListParagraph"/>
        <w:numPr>
          <w:ilvl w:val="0"/>
          <w:numId w:val="26"/>
        </w:numPr>
        <w:spacing w:after="160" w:line="278" w:lineRule="auto"/>
        <w:rPr>
          <w:rFonts w:eastAsia="Aptos" w:cs="Aptos"/>
        </w:rPr>
      </w:pPr>
      <w:r w:rsidRPr="005B05B3">
        <w:rPr>
          <w:rFonts w:eastAsia="Aptos" w:cs="Aptos"/>
        </w:rPr>
        <w:t>i</w:t>
      </w:r>
      <w:r w:rsidR="08264A44" w:rsidRPr="005B05B3">
        <w:rPr>
          <w:rFonts w:eastAsia="Aptos" w:cs="Aptos"/>
        </w:rPr>
        <w:t>mproving complaint handling procedures and responses (recommendation 10.18)</w:t>
      </w:r>
      <w:r w:rsidR="00035D76" w:rsidRPr="005B05B3">
        <w:rPr>
          <w:rStyle w:val="FootnoteReference"/>
          <w:rFonts w:eastAsia="Aptos" w:cs="Aptos"/>
        </w:rPr>
        <w:footnoteReference w:id="199"/>
      </w:r>
    </w:p>
    <w:p w14:paraId="748238D6" w14:textId="6D1D7E28" w:rsidR="00035D76" w:rsidRPr="005B05B3" w:rsidRDefault="00605C75" w:rsidP="002248D1">
      <w:pPr>
        <w:pStyle w:val="ListParagraph"/>
        <w:numPr>
          <w:ilvl w:val="0"/>
          <w:numId w:val="26"/>
        </w:numPr>
        <w:spacing w:after="160" w:line="278" w:lineRule="auto"/>
        <w:rPr>
          <w:rFonts w:eastAsia="Aptos" w:cs="Aptos"/>
        </w:rPr>
      </w:pPr>
      <w:r>
        <w:rPr>
          <w:rFonts w:eastAsia="Aptos" w:cs="Aptos"/>
        </w:rPr>
        <w:t>i</w:t>
      </w:r>
      <w:r w:rsidR="08264A44" w:rsidRPr="005B05B3">
        <w:rPr>
          <w:rFonts w:eastAsia="Aptos" w:cs="Aptos"/>
        </w:rPr>
        <w:t>ssue complaint handling and investigative practice guidelines (recommendation 10.15)</w:t>
      </w:r>
      <w:r w:rsidR="00035D76" w:rsidRPr="005B05B3">
        <w:rPr>
          <w:rStyle w:val="FootnoteReference"/>
          <w:rFonts w:eastAsia="Aptos" w:cs="Aptos"/>
        </w:rPr>
        <w:footnoteReference w:id="200"/>
      </w:r>
    </w:p>
    <w:p w14:paraId="42CB562A" w14:textId="7AA2645F" w:rsidR="00035D76" w:rsidRPr="005B05B3" w:rsidRDefault="00DD4FD8" w:rsidP="002248D1">
      <w:pPr>
        <w:pStyle w:val="ListParagraph"/>
        <w:numPr>
          <w:ilvl w:val="0"/>
          <w:numId w:val="26"/>
        </w:numPr>
        <w:spacing w:after="160" w:line="278" w:lineRule="auto"/>
        <w:rPr>
          <w:rFonts w:eastAsia="Aptos" w:cs="Aptos"/>
        </w:rPr>
      </w:pPr>
      <w:r w:rsidRPr="005B05B3">
        <w:rPr>
          <w:rFonts w:eastAsia="Aptos" w:cs="Aptos"/>
        </w:rPr>
        <w:t>i</w:t>
      </w:r>
      <w:r w:rsidR="08264A44" w:rsidRPr="005B05B3">
        <w:rPr>
          <w:rFonts w:eastAsia="Aptos" w:cs="Aptos"/>
        </w:rPr>
        <w:t>mproving information sharing across prescribed bodies (recommendation 10.28)</w:t>
      </w:r>
      <w:r w:rsidR="00035D76" w:rsidRPr="005B05B3">
        <w:rPr>
          <w:rStyle w:val="FootnoteReference"/>
          <w:rFonts w:eastAsia="Aptos" w:cs="Aptos"/>
        </w:rPr>
        <w:footnoteReference w:id="201"/>
      </w:r>
    </w:p>
    <w:p w14:paraId="0DB55CCE" w14:textId="7FEA60CA" w:rsidR="00035D76" w:rsidRPr="005B05B3" w:rsidRDefault="00DD4FD8" w:rsidP="002248D1">
      <w:pPr>
        <w:pStyle w:val="ListParagraph"/>
        <w:numPr>
          <w:ilvl w:val="0"/>
          <w:numId w:val="26"/>
        </w:numPr>
        <w:spacing w:after="160" w:line="278" w:lineRule="auto"/>
        <w:rPr>
          <w:rFonts w:eastAsia="Aptos" w:cs="Aptos"/>
        </w:rPr>
      </w:pPr>
      <w:r w:rsidRPr="005B05B3">
        <w:rPr>
          <w:rFonts w:eastAsia="Aptos" w:cs="Aptos"/>
        </w:rPr>
        <w:t>d</w:t>
      </w:r>
      <w:r w:rsidR="08264A44" w:rsidRPr="005B05B3">
        <w:rPr>
          <w:rFonts w:eastAsia="Aptos" w:cs="Aptos"/>
        </w:rPr>
        <w:t>eveloping model policies and procedures for complaints (and incidents) recommendation 10.14)</w:t>
      </w:r>
      <w:r w:rsidR="00605C75">
        <w:rPr>
          <w:rFonts w:eastAsia="Aptos" w:cs="Aptos"/>
        </w:rPr>
        <w:t>.</w:t>
      </w:r>
      <w:r w:rsidR="00035D76" w:rsidRPr="005B05B3">
        <w:rPr>
          <w:rStyle w:val="FootnoteReference"/>
          <w:rFonts w:eastAsia="Aptos" w:cs="Aptos"/>
        </w:rPr>
        <w:footnoteReference w:id="202"/>
      </w:r>
    </w:p>
    <w:p w14:paraId="01B6129F" w14:textId="454FD093" w:rsidR="00035D76" w:rsidRPr="005B05B3" w:rsidRDefault="00035D76" w:rsidP="00035D76">
      <w:pPr>
        <w:spacing w:line="278" w:lineRule="auto"/>
        <w:rPr>
          <w:rFonts w:eastAsia="Aptos" w:cs="Aptos"/>
        </w:rPr>
      </w:pPr>
      <w:r w:rsidRPr="005B05B3">
        <w:rPr>
          <w:rFonts w:eastAsia="Aptos" w:cs="Aptos"/>
        </w:rPr>
        <w:t xml:space="preserve">Acceptance and implementation of these recommendations would provide important improvements to the </w:t>
      </w:r>
      <w:bookmarkStart w:id="100" w:name="_Int_tB7QK1pH"/>
      <w:r w:rsidRPr="005B05B3">
        <w:rPr>
          <w:rFonts w:eastAsia="Aptos" w:cs="Aptos"/>
        </w:rPr>
        <w:t>complaints</w:t>
      </w:r>
      <w:bookmarkEnd w:id="100"/>
      <w:r w:rsidRPr="005B05B3">
        <w:rPr>
          <w:rFonts w:eastAsia="Aptos" w:cs="Aptos"/>
        </w:rPr>
        <w:t xml:space="preserve"> functions.</w:t>
      </w:r>
    </w:p>
    <w:p w14:paraId="40F511B0" w14:textId="22016A46" w:rsidR="00035D76" w:rsidRPr="005B05B3" w:rsidRDefault="00035D76" w:rsidP="00035D76">
      <w:pPr>
        <w:spacing w:line="278" w:lineRule="auto"/>
        <w:rPr>
          <w:rFonts w:eastAsia="Aptos" w:cs="Aptos"/>
        </w:rPr>
      </w:pPr>
      <w:r w:rsidRPr="005B05B3">
        <w:rPr>
          <w:rFonts w:eastAsia="Aptos" w:cs="Aptos"/>
        </w:rPr>
        <w:t>Importantly, we</w:t>
      </w:r>
      <w:r w:rsidR="003F75AB" w:rsidRPr="005B05B3">
        <w:rPr>
          <w:rFonts w:eastAsia="Aptos" w:cs="Aptos"/>
        </w:rPr>
        <w:t xml:space="preserve"> </w:t>
      </w:r>
      <w:r w:rsidRPr="005B05B3">
        <w:rPr>
          <w:rFonts w:eastAsia="Aptos" w:cs="Aptos"/>
        </w:rPr>
        <w:t>are of the view that the NDIS Commission come up with a solution to respond to the complaints currently outstanding, which we acknowledge may be up to 10</w:t>
      </w:r>
      <w:r w:rsidR="002C5C52" w:rsidRPr="005B05B3">
        <w:rPr>
          <w:rFonts w:eastAsia="Aptos" w:cs="Aptos"/>
        </w:rPr>
        <w:t>,</w:t>
      </w:r>
      <w:r w:rsidRPr="005B05B3">
        <w:rPr>
          <w:rFonts w:eastAsia="Aptos" w:cs="Aptos"/>
        </w:rPr>
        <w:t>000 complaints.</w:t>
      </w:r>
    </w:p>
    <w:p w14:paraId="6722B11D" w14:textId="334D43D3" w:rsidR="00035D76" w:rsidRPr="005B05B3" w:rsidRDefault="00035D76" w:rsidP="009F682D">
      <w:pPr>
        <w:pStyle w:val="TSDAltHeading3"/>
      </w:pPr>
      <w:bookmarkStart w:id="101" w:name="_Toc170128760"/>
      <w:r w:rsidRPr="005B05B3">
        <w:t>Incident reporting</w:t>
      </w:r>
      <w:bookmarkEnd w:id="101"/>
    </w:p>
    <w:p w14:paraId="38F1934E" w14:textId="68CF6A6F" w:rsidR="00035D76" w:rsidRPr="005B05B3" w:rsidRDefault="00035D76" w:rsidP="00035D76">
      <w:pPr>
        <w:spacing w:line="278" w:lineRule="auto"/>
        <w:rPr>
          <w:rFonts w:eastAsia="Aptos" w:cs="Aptos"/>
        </w:rPr>
      </w:pPr>
      <w:r w:rsidRPr="005B05B3">
        <w:rPr>
          <w:rFonts w:eastAsia="Aptos" w:cs="Aptos"/>
        </w:rPr>
        <w:t xml:space="preserve">Incident reporting is a critical </w:t>
      </w:r>
      <w:r w:rsidR="00104592" w:rsidRPr="005B05B3">
        <w:rPr>
          <w:rFonts w:eastAsia="Aptos" w:cs="Aptos"/>
        </w:rPr>
        <w:t>P</w:t>
      </w:r>
      <w:r w:rsidRPr="005B05B3">
        <w:rPr>
          <w:rFonts w:eastAsia="Aptos" w:cs="Aptos"/>
        </w:rPr>
        <w:t xml:space="preserve">rovider </w:t>
      </w:r>
      <w:r w:rsidR="00104592" w:rsidRPr="005B05B3">
        <w:rPr>
          <w:rFonts w:eastAsia="Aptos" w:cs="Aptos"/>
        </w:rPr>
        <w:t>O</w:t>
      </w:r>
      <w:r w:rsidRPr="005B05B3">
        <w:rPr>
          <w:rFonts w:eastAsia="Aptos" w:cs="Aptos"/>
        </w:rPr>
        <w:t>bligation that will be attached to all High-Risk and Medium-Risk registration categories.</w:t>
      </w:r>
    </w:p>
    <w:p w14:paraId="26ACF526" w14:textId="77777777" w:rsidR="00035D76" w:rsidRPr="005B05B3" w:rsidRDefault="00035D76" w:rsidP="00035D76">
      <w:pPr>
        <w:spacing w:line="278" w:lineRule="auto"/>
      </w:pPr>
      <w:r w:rsidRPr="005B05B3">
        <w:rPr>
          <w:rFonts w:eastAsia="Aptos" w:cs="Aptos"/>
        </w:rPr>
        <w:t>Under the current approach to incident reporting, unregistered providers are not required to notify the NDIS Commission of ‘reportable incidents’.</w:t>
      </w:r>
      <w:r w:rsidRPr="005B05B3">
        <w:rPr>
          <w:rStyle w:val="FootnoteReference"/>
          <w:rFonts w:eastAsia="Aptos" w:cs="Aptos"/>
        </w:rPr>
        <w:footnoteReference w:id="203"/>
      </w:r>
      <w:r w:rsidRPr="005B05B3">
        <w:rPr>
          <w:rFonts w:eastAsia="Aptos" w:cs="Aptos"/>
        </w:rPr>
        <w:t xml:space="preserve"> Reportable incidents require </w:t>
      </w:r>
      <w:r w:rsidRPr="005B05B3">
        <w:t>registered NDIS providers to notify all reportable incidents (including allegations) to the NDIS Commission, even where the registered NDIS provider believes it has acted and responded appropriately.</w:t>
      </w:r>
      <w:r w:rsidRPr="005B05B3">
        <w:rPr>
          <w:rStyle w:val="FootnoteReference"/>
        </w:rPr>
        <w:footnoteReference w:id="204"/>
      </w:r>
    </w:p>
    <w:p w14:paraId="5445762A" w14:textId="7833043B" w:rsidR="00035D76" w:rsidRPr="005B05B3" w:rsidRDefault="00035D76" w:rsidP="00035D76">
      <w:pPr>
        <w:spacing w:line="278" w:lineRule="auto"/>
        <w:rPr>
          <w:rFonts w:eastAsia="Aptos" w:cs="Aptos"/>
        </w:rPr>
      </w:pPr>
      <w:r w:rsidRPr="005B05B3">
        <w:t xml:space="preserve">The </w:t>
      </w:r>
      <w:r w:rsidR="00436356" w:rsidRPr="005B05B3">
        <w:t>R</w:t>
      </w:r>
      <w:r w:rsidRPr="005B05B3">
        <w:t xml:space="preserve">ules also place obligations on registered providers to report incidents within a specified timeframe: 24 hours of when the registered provider is made aware of the incident, except for the unauthorised use of a restrictive practice that has not resulted </w:t>
      </w:r>
      <w:r w:rsidRPr="005B05B3">
        <w:lastRenderedPageBreak/>
        <w:t>in serious injury, which must be reported within 5 days, as is required for other unauthorised use of restrictive practices.</w:t>
      </w:r>
      <w:r w:rsidRPr="005B05B3">
        <w:rPr>
          <w:rStyle w:val="FootnoteReference"/>
        </w:rPr>
        <w:footnoteReference w:id="205"/>
      </w:r>
    </w:p>
    <w:p w14:paraId="07D30E6A" w14:textId="77777777" w:rsidR="00035D76" w:rsidRPr="005B05B3" w:rsidRDefault="00035D76" w:rsidP="00035D76">
      <w:pPr>
        <w:spacing w:line="278" w:lineRule="auto"/>
        <w:rPr>
          <w:rFonts w:eastAsia="Aptos" w:cs="Aptos"/>
        </w:rPr>
      </w:pPr>
      <w:r w:rsidRPr="005B05B3">
        <w:rPr>
          <w:rFonts w:eastAsia="Aptos" w:cs="Aptos"/>
        </w:rPr>
        <w:t xml:space="preserve">The Taskforce is supportive of the current approach to reportable incidents as provided in section 73Z of the NDIS Act and </w:t>
      </w:r>
      <w:r w:rsidRPr="005B05B3">
        <w:rPr>
          <w:rFonts w:eastAsia="Aptos" w:cs="Aptos"/>
          <w:i/>
          <w:iCs/>
        </w:rPr>
        <w:t>NDIS (Incident Management and Reportable Incidents) Rules 2018</w:t>
      </w:r>
      <w:r w:rsidRPr="005B05B3">
        <w:rPr>
          <w:rFonts w:eastAsia="Aptos" w:cs="Aptos"/>
        </w:rPr>
        <w:t xml:space="preserve">. </w:t>
      </w:r>
      <w:r w:rsidRPr="005B05B3">
        <w:rPr>
          <w:rStyle w:val="FootnoteReference"/>
          <w:rFonts w:eastAsia="Aptos" w:cs="Aptos"/>
        </w:rPr>
        <w:footnoteReference w:id="206"/>
      </w:r>
    </w:p>
    <w:p w14:paraId="1346EED8" w14:textId="2CD26AA9" w:rsidR="00035D76" w:rsidRPr="005B05B3" w:rsidRDefault="00035D76" w:rsidP="64F6C189">
      <w:pPr>
        <w:spacing w:line="278" w:lineRule="auto"/>
        <w:rPr>
          <w:rFonts w:eastAsia="Aptos" w:cs="Aptos"/>
        </w:rPr>
      </w:pPr>
      <w:r w:rsidRPr="005B05B3">
        <w:rPr>
          <w:rFonts w:eastAsia="Aptos" w:cs="Aptos"/>
        </w:rPr>
        <w:t xml:space="preserve">The Taskforce notes the importance of incident reporting being </w:t>
      </w:r>
      <w:r w:rsidR="00481DF3" w:rsidRPr="005B05B3">
        <w:rPr>
          <w:rFonts w:eastAsia="Aptos" w:cs="Aptos"/>
        </w:rPr>
        <w:t xml:space="preserve">separate but </w:t>
      </w:r>
      <w:r w:rsidRPr="005B05B3">
        <w:rPr>
          <w:rFonts w:eastAsia="Aptos" w:cs="Aptos"/>
        </w:rPr>
        <w:t>complementary to the complaints function. We also want to be clear that</w:t>
      </w:r>
      <w:r w:rsidR="00740DE2">
        <w:rPr>
          <w:rFonts w:eastAsia="Aptos" w:cs="Aptos"/>
        </w:rPr>
        <w:t>, where relevant,</w:t>
      </w:r>
      <w:r w:rsidR="0071785B">
        <w:rPr>
          <w:rFonts w:eastAsia="Aptos" w:cs="Aptos"/>
        </w:rPr>
        <w:t xml:space="preserve"> </w:t>
      </w:r>
      <w:r w:rsidRPr="005B05B3">
        <w:rPr>
          <w:rFonts w:eastAsia="Aptos" w:cs="Aptos"/>
        </w:rPr>
        <w:t>incident reporting must have an interface with law enforcement and coronial agencies. In particular, we want to ensure that the incident management and reportable incident system supports proper criminal investigation.</w:t>
      </w:r>
      <w:r w:rsidR="006D76D7" w:rsidRPr="005B05B3">
        <w:rPr>
          <w:rFonts w:eastAsia="Aptos" w:cs="Aptos"/>
        </w:rPr>
        <w:t xml:space="preserve"> </w:t>
      </w:r>
      <w:r w:rsidRPr="005B05B3">
        <w:rPr>
          <w:rFonts w:eastAsia="Aptos" w:cs="Aptos"/>
        </w:rPr>
        <w:t>Making an incident report should not be seen as an alternative to responding to unlawful behaviour or allegations of criminal offending. The Taskforce has been concerned about sentiments shared that a reported incident of criminal offending such as rape or assault to the NDIS Commission has been interpreted as reducing the criminality of the incident.</w:t>
      </w:r>
    </w:p>
    <w:p w14:paraId="474FC665" w14:textId="17A343C5" w:rsidR="00035D76" w:rsidRPr="005B05B3" w:rsidRDefault="11E82DEC" w:rsidP="2319A92E">
      <w:pPr>
        <w:spacing w:line="278" w:lineRule="auto"/>
        <w:ind w:left="720"/>
        <w:rPr>
          <w:rFonts w:eastAsia="Aptos" w:cs="Aptos"/>
        </w:rPr>
      </w:pPr>
      <w:r w:rsidRPr="005A2CC2">
        <w:rPr>
          <w:rStyle w:val="QuoteChar"/>
          <w:rFonts w:ascii="Aptos" w:hAnsi="Aptos"/>
        </w:rPr>
        <w:t>It is also important to note that illegal activity and other things regulated within mainstream society should not be merely considered ‘incidents’ in a disability context. For example, if illegal activity occurs, this is a Police matter. No matter how equipped the NDIS Q&amp;SC becomes, they should never replace mainstream regulatory systems. If mainstream systems are not equipped to adequately support people with disability, this is a separate issue that needs critical attention</w:t>
      </w:r>
      <w:r w:rsidR="00035D76" w:rsidRPr="005A2CC2">
        <w:rPr>
          <w:rStyle w:val="QuoteChar"/>
          <w:rFonts w:ascii="Aptos" w:hAnsi="Aptos"/>
        </w:rPr>
        <w:t>.</w:t>
      </w:r>
      <w:r w:rsidR="00035D76" w:rsidRPr="005A2CC2">
        <w:rPr>
          <w:rStyle w:val="FootnoteReference"/>
          <w:rFonts w:eastAsia="Aptos" w:cs="Aptos"/>
        </w:rPr>
        <w:footnoteReference w:id="207"/>
      </w:r>
    </w:p>
    <w:p w14:paraId="1BFAE5FF" w14:textId="41D3E408" w:rsidR="00035D76" w:rsidRPr="005B05B3" w:rsidRDefault="00035D76" w:rsidP="00035D76">
      <w:pPr>
        <w:spacing w:line="278" w:lineRule="auto"/>
        <w:rPr>
          <w:rFonts w:eastAsia="Aptos" w:cs="Aptos"/>
        </w:rPr>
      </w:pPr>
      <w:r w:rsidRPr="005B05B3">
        <w:rPr>
          <w:rFonts w:eastAsia="Aptos" w:cs="Aptos"/>
        </w:rPr>
        <w:t>The NDIS Commission is responsible for regulating the behaviour of providers and their appropriateness for providing NDIS services. Working closely with police and other bodies is imperative for the NDIS Commission but should not be seen as an alternative or replacement.</w:t>
      </w:r>
    </w:p>
    <w:p w14:paraId="035621B6" w14:textId="007D31AE" w:rsidR="00035D76" w:rsidRPr="005B05B3" w:rsidRDefault="00035D76" w:rsidP="00035D76">
      <w:pPr>
        <w:spacing w:line="278" w:lineRule="auto"/>
        <w:rPr>
          <w:rStyle w:val="FootnoteReference"/>
          <w:rFonts w:eastAsia="Aptos" w:cs="Aptos"/>
        </w:rPr>
      </w:pPr>
      <w:r w:rsidRPr="005B05B3">
        <w:rPr>
          <w:rFonts w:eastAsia="Aptos" w:cs="Aptos"/>
        </w:rPr>
        <w:t xml:space="preserve">The Taskforce confirms support for incidents to continue to be acts, omissions, events or circumstances that occur in connection with providing supports or services to a person with disability and </w:t>
      </w:r>
      <w:r w:rsidR="00443847" w:rsidRPr="005B05B3">
        <w:rPr>
          <w:rFonts w:eastAsia="Aptos" w:cs="Aptos"/>
        </w:rPr>
        <w:t>have or</w:t>
      </w:r>
      <w:r w:rsidRPr="005B05B3">
        <w:rPr>
          <w:rFonts w:eastAsia="Aptos" w:cs="Aptos"/>
        </w:rPr>
        <w:t xml:space="preserve"> could have caused harm to the person with disability. As is consistent with section 73Z of the NDIS Act, incidents captured by the incident reporting requirement would include but not be limited to:</w:t>
      </w:r>
    </w:p>
    <w:p w14:paraId="1A57EDD4" w14:textId="77777777" w:rsidR="00035D76" w:rsidRPr="001B4BF0" w:rsidRDefault="00035D76" w:rsidP="001B4BF0">
      <w:pPr>
        <w:pStyle w:val="ListParagraph"/>
        <w:numPr>
          <w:ilvl w:val="0"/>
          <w:numId w:val="85"/>
        </w:numPr>
      </w:pPr>
      <w:r w:rsidRPr="001B4BF0">
        <w:lastRenderedPageBreak/>
        <w:t>Death</w:t>
      </w:r>
    </w:p>
    <w:p w14:paraId="3A4BA606" w14:textId="77777777" w:rsidR="00035D76" w:rsidRPr="001B4BF0" w:rsidRDefault="00035D76" w:rsidP="001B4BF0">
      <w:pPr>
        <w:pStyle w:val="ListParagraph"/>
        <w:numPr>
          <w:ilvl w:val="0"/>
          <w:numId w:val="85"/>
        </w:numPr>
      </w:pPr>
      <w:r w:rsidRPr="001B4BF0">
        <w:t>Serious injury</w:t>
      </w:r>
    </w:p>
    <w:p w14:paraId="032CFD04" w14:textId="77777777" w:rsidR="00035D76" w:rsidRPr="001B4BF0" w:rsidRDefault="00035D76" w:rsidP="001B4BF0">
      <w:pPr>
        <w:pStyle w:val="ListParagraph"/>
        <w:numPr>
          <w:ilvl w:val="0"/>
          <w:numId w:val="85"/>
        </w:numPr>
      </w:pPr>
      <w:r w:rsidRPr="001B4BF0">
        <w:t>Sexual abuse</w:t>
      </w:r>
    </w:p>
    <w:p w14:paraId="6FF324D8" w14:textId="77777777" w:rsidR="00035D76" w:rsidRPr="001B4BF0" w:rsidRDefault="00035D76" w:rsidP="001B4BF0">
      <w:pPr>
        <w:pStyle w:val="ListParagraph"/>
        <w:numPr>
          <w:ilvl w:val="0"/>
          <w:numId w:val="85"/>
        </w:numPr>
      </w:pPr>
      <w:r w:rsidRPr="001B4BF0">
        <w:t>Serious illness</w:t>
      </w:r>
    </w:p>
    <w:p w14:paraId="5DD95A9F" w14:textId="60E0FA7C" w:rsidR="00035D76" w:rsidRPr="001B4BF0" w:rsidRDefault="00035D76" w:rsidP="001B4BF0">
      <w:pPr>
        <w:pStyle w:val="ListParagraph"/>
        <w:numPr>
          <w:ilvl w:val="0"/>
          <w:numId w:val="85"/>
        </w:numPr>
      </w:pPr>
      <w:r w:rsidRPr="001B4BF0">
        <w:t>Assault</w:t>
      </w:r>
    </w:p>
    <w:p w14:paraId="4E40DA6A" w14:textId="77777777" w:rsidR="00035D76" w:rsidRPr="001B4BF0" w:rsidRDefault="00035D76" w:rsidP="001B4BF0">
      <w:pPr>
        <w:pStyle w:val="ListParagraph"/>
        <w:numPr>
          <w:ilvl w:val="0"/>
          <w:numId w:val="85"/>
        </w:numPr>
      </w:pPr>
      <w:r w:rsidRPr="001B4BF0">
        <w:t>Theft</w:t>
      </w:r>
    </w:p>
    <w:p w14:paraId="2907F1B8" w14:textId="77777777" w:rsidR="00035D76" w:rsidRPr="001B4BF0" w:rsidRDefault="00035D76" w:rsidP="001B4BF0">
      <w:pPr>
        <w:pStyle w:val="ListParagraph"/>
        <w:numPr>
          <w:ilvl w:val="0"/>
          <w:numId w:val="85"/>
        </w:numPr>
      </w:pPr>
      <w:r w:rsidRPr="001B4BF0">
        <w:t>Robbery</w:t>
      </w:r>
    </w:p>
    <w:p w14:paraId="094F8477" w14:textId="77777777" w:rsidR="00035D76" w:rsidRPr="001B4BF0" w:rsidRDefault="00035D76" w:rsidP="001B4BF0">
      <w:pPr>
        <w:pStyle w:val="ListParagraph"/>
        <w:numPr>
          <w:ilvl w:val="0"/>
          <w:numId w:val="85"/>
        </w:numPr>
      </w:pPr>
      <w:r w:rsidRPr="001B4BF0">
        <w:t>Property damage</w:t>
      </w:r>
    </w:p>
    <w:p w14:paraId="4A998FF6" w14:textId="77777777" w:rsidR="00035D76" w:rsidRPr="001B4BF0" w:rsidRDefault="00035D76" w:rsidP="001B4BF0">
      <w:pPr>
        <w:pStyle w:val="ListParagraph"/>
        <w:numPr>
          <w:ilvl w:val="0"/>
          <w:numId w:val="85"/>
        </w:numPr>
      </w:pPr>
      <w:r w:rsidRPr="001B4BF0">
        <w:t>Diverse behaviours</w:t>
      </w:r>
    </w:p>
    <w:p w14:paraId="0C9B2FAF" w14:textId="53539E3A" w:rsidR="00FE4D57" w:rsidRPr="005B05B3" w:rsidRDefault="00035D76" w:rsidP="00035D76">
      <w:pPr>
        <w:spacing w:line="278" w:lineRule="auto"/>
      </w:pPr>
      <w:r w:rsidRPr="005B05B3">
        <w:rPr>
          <w:rFonts w:eastAsia="Aptos" w:cs="Aptos"/>
        </w:rPr>
        <w:t>Importantly, the Taskforce supports inquiries being conducted by the Commissioner in relation to reportable incidents.</w:t>
      </w:r>
      <w:r w:rsidRPr="005B05B3">
        <w:rPr>
          <w:rFonts w:eastAsia="Aptos" w:cs="Aptos"/>
          <w:sz w:val="19"/>
          <w:szCs w:val="19"/>
        </w:rPr>
        <w:t xml:space="preserve"> </w:t>
      </w:r>
      <w:r w:rsidRPr="005B05B3">
        <w:rPr>
          <w:rFonts w:eastAsia="Aptos" w:cs="Aptos"/>
        </w:rPr>
        <w:t>Under current arrangements, the Commissioner is able to disclose information to other persons or bodies determines if the Commissioner considers that it is in the public interest to do so, subject to procedural steps under the NDIS Rules.</w:t>
      </w:r>
      <w:r w:rsidRPr="005B05B3">
        <w:rPr>
          <w:rFonts w:eastAsia="Aptos" w:cs="Aptos"/>
          <w:vertAlign w:val="superscript"/>
        </w:rPr>
        <w:footnoteReference w:id="208"/>
      </w:r>
      <w:r w:rsidRPr="005B05B3">
        <w:rPr>
          <w:rFonts w:eastAsia="Aptos" w:cs="Aptos"/>
          <w:vertAlign w:val="superscript"/>
        </w:rPr>
        <w:t xml:space="preserve"> </w:t>
      </w:r>
      <w:r w:rsidRPr="005B05B3">
        <w:rPr>
          <w:rFonts w:eastAsia="Aptos" w:cs="Aptos"/>
        </w:rPr>
        <w:t>However, the Taskforce has heard that referrals and arrangements to share information with other regulators to reduce the risk of abuse and neglect are not working effectively and could be enhanced</w:t>
      </w:r>
      <w:r w:rsidRPr="005B05B3">
        <w:t xml:space="preserve">. </w:t>
      </w:r>
    </w:p>
    <w:p w14:paraId="0034BC31" w14:textId="1F7656BC" w:rsidR="00035D76" w:rsidRPr="005B05B3" w:rsidRDefault="00035D76" w:rsidP="00035D76">
      <w:pPr>
        <w:spacing w:line="278" w:lineRule="auto"/>
        <w:rPr>
          <w:rFonts w:eastAsia="Aptos" w:cs="Aptos"/>
        </w:rPr>
      </w:pPr>
      <w:r w:rsidRPr="005B05B3">
        <w:rPr>
          <w:rFonts w:eastAsia="Aptos" w:cs="Aptos"/>
        </w:rPr>
        <w:t>The Taskforce supports the recommendations of the Disability Royal Commission to facilitate the sharing of information between the NDIS Commission and a wider range of state and territory safeguarding bodies to support the safety of NDIS participants</w:t>
      </w:r>
      <w:r w:rsidR="00F20CD3">
        <w:rPr>
          <w:rFonts w:eastAsia="Aptos" w:cs="Aptos"/>
        </w:rPr>
        <w:t>.</w:t>
      </w:r>
      <w:r w:rsidRPr="005B05B3">
        <w:rPr>
          <w:rStyle w:val="FootnoteReference"/>
          <w:rFonts w:eastAsia="Aptos" w:cs="Aptos"/>
        </w:rPr>
        <w:footnoteReference w:id="209"/>
      </w:r>
      <w:r w:rsidRPr="005B05B3">
        <w:rPr>
          <w:rFonts w:eastAsia="Aptos" w:cs="Aptos"/>
        </w:rPr>
        <w:t xml:space="preserve"> The Taskforce recommends that legislative amendment be considered to ensure referral of incidents to other bodies such as the police, ACCC or Ombudsman in appropriate circumstances.</w:t>
      </w:r>
    </w:p>
    <w:p w14:paraId="0B39F664" w14:textId="6375B260" w:rsidR="00243903" w:rsidRPr="005B05B3" w:rsidRDefault="00035D76" w:rsidP="00035D76">
      <w:pPr>
        <w:spacing w:line="278" w:lineRule="auto"/>
        <w:rPr>
          <w:rFonts w:eastAsia="Aptos" w:cs="Aptos"/>
        </w:rPr>
      </w:pPr>
      <w:r w:rsidRPr="005B05B3">
        <w:rPr>
          <w:rFonts w:eastAsia="Aptos" w:cs="Aptos"/>
        </w:rPr>
        <w:t xml:space="preserve">Operationally, the Taskforce wishes to be clear that </w:t>
      </w:r>
      <w:r w:rsidR="00BB798E">
        <w:rPr>
          <w:rFonts w:eastAsia="Aptos" w:cs="Aptos"/>
        </w:rPr>
        <w:t>incident reports</w:t>
      </w:r>
      <w:r w:rsidR="00BB798E" w:rsidRPr="005B05B3">
        <w:rPr>
          <w:rFonts w:eastAsia="Aptos" w:cs="Aptos"/>
        </w:rPr>
        <w:t xml:space="preserve"> </w:t>
      </w:r>
      <w:r w:rsidRPr="005B05B3">
        <w:rPr>
          <w:rFonts w:eastAsia="Aptos" w:cs="Aptos"/>
        </w:rPr>
        <w:t xml:space="preserve">are expected to </w:t>
      </w:r>
      <w:r w:rsidR="00BB798E">
        <w:rPr>
          <w:rFonts w:eastAsia="Aptos" w:cs="Aptos"/>
        </w:rPr>
        <w:t>be made</w:t>
      </w:r>
      <w:r w:rsidR="00BB798E" w:rsidRPr="005B05B3">
        <w:rPr>
          <w:rFonts w:eastAsia="Aptos" w:cs="Aptos"/>
        </w:rPr>
        <w:t xml:space="preserve"> </w:t>
      </w:r>
      <w:r w:rsidRPr="005B05B3">
        <w:rPr>
          <w:rFonts w:eastAsia="Aptos" w:cs="Aptos"/>
        </w:rPr>
        <w:t xml:space="preserve">instantaneously and by the staff who </w:t>
      </w:r>
      <w:r w:rsidR="00AF6AFD" w:rsidRPr="005B05B3">
        <w:rPr>
          <w:rFonts w:eastAsia="Aptos" w:cs="Aptos"/>
        </w:rPr>
        <w:t xml:space="preserve">were </w:t>
      </w:r>
      <w:r w:rsidRPr="005B05B3">
        <w:rPr>
          <w:rFonts w:eastAsia="Aptos" w:cs="Aptos"/>
        </w:rPr>
        <w:t xml:space="preserve">present. The Taskforce has been concerned </w:t>
      </w:r>
      <w:r w:rsidR="00BE55B0" w:rsidRPr="005B05B3">
        <w:rPr>
          <w:rFonts w:eastAsia="Aptos" w:cs="Aptos"/>
        </w:rPr>
        <w:t>of</w:t>
      </w:r>
      <w:r w:rsidR="008A3DD8" w:rsidRPr="005B05B3">
        <w:rPr>
          <w:rFonts w:eastAsia="Aptos" w:cs="Aptos"/>
        </w:rPr>
        <w:t xml:space="preserve"> anecdotes </w:t>
      </w:r>
      <w:r w:rsidR="00BE55B0" w:rsidRPr="005B05B3">
        <w:rPr>
          <w:rFonts w:eastAsia="Aptos" w:cs="Aptos"/>
        </w:rPr>
        <w:t>of</w:t>
      </w:r>
      <w:r w:rsidRPr="005B05B3">
        <w:rPr>
          <w:rFonts w:eastAsia="Aptos" w:cs="Aptos"/>
        </w:rPr>
        <w:t xml:space="preserve"> incident reporting being left for the next person on shift or from management. Where a staff member is required to add additional time to their shift, they should be paid for this. Importantly, where a person receives support from multiple staff on rotating shifts, a </w:t>
      </w:r>
      <w:r w:rsidR="00243903" w:rsidRPr="005B05B3">
        <w:rPr>
          <w:rFonts w:eastAsia="Aptos" w:cs="Aptos"/>
        </w:rPr>
        <w:t>‘</w:t>
      </w:r>
      <w:r w:rsidRPr="005B05B3">
        <w:rPr>
          <w:rFonts w:eastAsia="Aptos" w:cs="Aptos"/>
        </w:rPr>
        <w:t>handover</w:t>
      </w:r>
      <w:r w:rsidR="00243903" w:rsidRPr="005B05B3">
        <w:rPr>
          <w:rFonts w:eastAsia="Aptos" w:cs="Aptos"/>
        </w:rPr>
        <w:t>’</w:t>
      </w:r>
      <w:r w:rsidRPr="005B05B3">
        <w:rPr>
          <w:rFonts w:eastAsia="Aptos" w:cs="Aptos"/>
        </w:rPr>
        <w:t xml:space="preserve"> should include the incident report. </w:t>
      </w:r>
    </w:p>
    <w:p w14:paraId="022465E4" w14:textId="35C487CC" w:rsidR="00035D76" w:rsidRPr="005B05B3" w:rsidRDefault="00035D76" w:rsidP="00035D76">
      <w:pPr>
        <w:spacing w:line="278" w:lineRule="auto"/>
        <w:rPr>
          <w:rFonts w:eastAsia="Aptos" w:cs="Aptos"/>
        </w:rPr>
      </w:pPr>
      <w:r w:rsidRPr="005B05B3">
        <w:rPr>
          <w:rFonts w:eastAsia="Aptos" w:cs="Aptos"/>
        </w:rPr>
        <w:t xml:space="preserve">In </w:t>
      </w:r>
      <w:hyperlink w:anchor="_NDIS_Provider_Obligations" w:history="1">
        <w:r w:rsidRPr="00603BF3">
          <w:rPr>
            <w:rStyle w:val="Hyperlink"/>
            <w:rFonts w:ascii="Aptos" w:eastAsia="Aptos" w:hAnsi="Aptos" w:cs="Aptos"/>
          </w:rPr>
          <w:t xml:space="preserve">Chapter </w:t>
        </w:r>
        <w:r w:rsidR="00603BF3" w:rsidRPr="00603BF3">
          <w:rPr>
            <w:rStyle w:val="Hyperlink"/>
            <w:rFonts w:ascii="Aptos" w:eastAsia="Aptos" w:hAnsi="Aptos" w:cs="Aptos"/>
          </w:rPr>
          <w:t>8</w:t>
        </w:r>
      </w:hyperlink>
      <w:r w:rsidRPr="005B05B3">
        <w:rPr>
          <w:rFonts w:eastAsia="Aptos" w:cs="Aptos"/>
        </w:rPr>
        <w:t>, we make recommendations for staff to be paid for their time when required to provide handovers or other work-related activities outside of their shift. These recommendations extend to the proposed approach to incident reporting.</w:t>
      </w:r>
    </w:p>
    <w:p w14:paraId="596835AC" w14:textId="60F50853" w:rsidR="00035D76" w:rsidRPr="005B05B3" w:rsidRDefault="00035D76" w:rsidP="009F682D">
      <w:pPr>
        <w:pStyle w:val="TSDAltHeading3"/>
      </w:pPr>
      <w:bookmarkStart w:id="102" w:name="_Toc170128761"/>
      <w:r w:rsidRPr="005B05B3">
        <w:lastRenderedPageBreak/>
        <w:t>Practice Standards</w:t>
      </w:r>
      <w:bookmarkEnd w:id="102"/>
    </w:p>
    <w:p w14:paraId="0DDFF3AF" w14:textId="77777777" w:rsidR="00035D76" w:rsidRPr="005B05B3" w:rsidRDefault="00035D76" w:rsidP="00035D76">
      <w:pPr>
        <w:spacing w:line="278" w:lineRule="auto"/>
        <w:rPr>
          <w:rFonts w:eastAsia="Aptos" w:cs="Aptos"/>
        </w:rPr>
      </w:pPr>
      <w:r w:rsidRPr="005B05B3">
        <w:rPr>
          <w:rFonts w:eastAsia="Aptos" w:cs="Aptos"/>
        </w:rPr>
        <w:t>NDIS Practice Standards are an important quality assurance measure established pursuant to section 73T of the NDIS Act and may deal with:</w:t>
      </w:r>
    </w:p>
    <w:p w14:paraId="63943F23" w14:textId="77777777" w:rsidR="00035D76" w:rsidRPr="005B05B3" w:rsidRDefault="00035D76" w:rsidP="002248D1">
      <w:pPr>
        <w:pStyle w:val="ListParagraph"/>
        <w:numPr>
          <w:ilvl w:val="0"/>
          <w:numId w:val="63"/>
        </w:numPr>
        <w:spacing w:after="160" w:line="278" w:lineRule="auto"/>
        <w:rPr>
          <w:rFonts w:eastAsia="Aptos" w:cs="Aptos"/>
        </w:rPr>
      </w:pPr>
      <w:r w:rsidRPr="005B05B3">
        <w:rPr>
          <w:rFonts w:eastAsia="Aptos" w:cs="Aptos"/>
        </w:rPr>
        <w:t>Standards to be complied with to become a registered NDIS provider</w:t>
      </w:r>
    </w:p>
    <w:p w14:paraId="49471541" w14:textId="77777777" w:rsidR="00035D76" w:rsidRPr="005B05B3" w:rsidRDefault="00035D76" w:rsidP="002248D1">
      <w:pPr>
        <w:pStyle w:val="ListParagraph"/>
        <w:numPr>
          <w:ilvl w:val="0"/>
          <w:numId w:val="63"/>
        </w:numPr>
        <w:spacing w:after="160" w:line="278" w:lineRule="auto"/>
        <w:rPr>
          <w:rFonts w:eastAsia="Aptos" w:cs="Aptos"/>
        </w:rPr>
      </w:pPr>
      <w:r w:rsidRPr="005B05B3">
        <w:rPr>
          <w:rFonts w:eastAsia="Aptos" w:cs="Aptos"/>
        </w:rPr>
        <w:t>Standards to be complied with to remain a registered NDIS provider</w:t>
      </w:r>
    </w:p>
    <w:p w14:paraId="47073BE6" w14:textId="77777777" w:rsidR="00035D76" w:rsidRPr="005B05B3" w:rsidRDefault="00035D76" w:rsidP="002248D1">
      <w:pPr>
        <w:pStyle w:val="ListParagraph"/>
        <w:numPr>
          <w:ilvl w:val="1"/>
          <w:numId w:val="63"/>
        </w:numPr>
        <w:spacing w:after="160" w:line="278" w:lineRule="auto"/>
        <w:rPr>
          <w:rFonts w:eastAsia="Aptos" w:cs="Aptos"/>
        </w:rPr>
      </w:pPr>
      <w:r w:rsidRPr="005B05B3">
        <w:rPr>
          <w:rFonts w:eastAsia="Aptos" w:cs="Aptos"/>
        </w:rPr>
        <w:t>Matters relating to assessing compliance with the standards</w:t>
      </w:r>
    </w:p>
    <w:p w14:paraId="7B91C5DC" w14:textId="77777777" w:rsidR="00035D76" w:rsidRPr="005B05B3" w:rsidRDefault="00035D76" w:rsidP="002248D1">
      <w:pPr>
        <w:pStyle w:val="ListParagraph"/>
        <w:numPr>
          <w:ilvl w:val="1"/>
          <w:numId w:val="63"/>
        </w:numPr>
        <w:spacing w:after="160" w:line="278" w:lineRule="auto"/>
        <w:rPr>
          <w:rFonts w:eastAsia="Aptos" w:cs="Aptos"/>
        </w:rPr>
      </w:pPr>
      <w:r w:rsidRPr="005B05B3">
        <w:rPr>
          <w:rFonts w:eastAsia="Aptos" w:cs="Aptos"/>
        </w:rPr>
        <w:t>Matters relating to the screening of workers employed or otherwise engaged by registered NDIS providers or of members of key personnel of registered NDIS providers.</w:t>
      </w:r>
      <w:r w:rsidRPr="005B05B3">
        <w:rPr>
          <w:rStyle w:val="FootnoteReference"/>
          <w:rFonts w:eastAsia="Aptos" w:cs="Aptos"/>
        </w:rPr>
        <w:footnoteReference w:id="210"/>
      </w:r>
    </w:p>
    <w:p w14:paraId="22608AED" w14:textId="77777777" w:rsidR="00035D76" w:rsidRPr="005B05B3" w:rsidRDefault="00035D76" w:rsidP="00035D76">
      <w:pPr>
        <w:spacing w:line="278" w:lineRule="auto"/>
        <w:rPr>
          <w:rFonts w:eastAsia="Aptos" w:cs="Aptos"/>
        </w:rPr>
      </w:pPr>
      <w:r w:rsidRPr="005B05B3">
        <w:rPr>
          <w:rFonts w:eastAsia="Aptos" w:cs="Aptos"/>
        </w:rPr>
        <w:t xml:space="preserve">The </w:t>
      </w:r>
      <w:r w:rsidRPr="005B05B3">
        <w:rPr>
          <w:rFonts w:eastAsia="Aptos" w:cs="Aptos"/>
          <w:i/>
          <w:iCs/>
        </w:rPr>
        <w:t xml:space="preserve">NDIS (Provider Registration and Practice Standards) Rules 2018 </w:t>
      </w:r>
      <w:r w:rsidRPr="005B05B3">
        <w:rPr>
          <w:rFonts w:eastAsia="Aptos" w:cs="Aptos"/>
        </w:rPr>
        <w:t>set out the NDIS Practice Standards that apply to registered NDIS Providers.</w:t>
      </w:r>
      <w:r w:rsidRPr="005B05B3">
        <w:rPr>
          <w:rStyle w:val="FootnoteReference"/>
          <w:rFonts w:eastAsia="Aptos" w:cs="Aptos"/>
        </w:rPr>
        <w:footnoteReference w:id="211"/>
      </w:r>
      <w:r w:rsidRPr="005B05B3">
        <w:rPr>
          <w:rFonts w:eastAsia="Aptos" w:cs="Aptos"/>
        </w:rPr>
        <w:t xml:space="preserve"> Current material from the NDIS Commission explains succinctly:</w:t>
      </w:r>
    </w:p>
    <w:p w14:paraId="6CBE5F44" w14:textId="77777777" w:rsidR="00035D76" w:rsidRPr="005B05B3" w:rsidRDefault="00035D76" w:rsidP="00035D76">
      <w:pPr>
        <w:spacing w:line="278" w:lineRule="auto"/>
        <w:ind w:left="720"/>
        <w:rPr>
          <w:rFonts w:eastAsia="Aptos" w:cs="Aptos"/>
          <w:i/>
          <w:iCs/>
        </w:rPr>
      </w:pPr>
      <w:r w:rsidRPr="005B05B3">
        <w:rPr>
          <w:rFonts w:eastAsia="Aptos" w:cs="Aptos"/>
          <w:i/>
          <w:iCs/>
        </w:rPr>
        <w:t>The NDIS Practice Standards specify the quality standards to be met by registered NDIS providers to provide supports and services to NDIS Participants. Together with the NDIS Code of Conduct, the NDIS Practice Standards build NDIS Participants’ awareness of what quality service provision they should expect from registered NDIS providers.</w:t>
      </w:r>
      <w:r w:rsidRPr="007A1733">
        <w:rPr>
          <w:rStyle w:val="FootnoteReference"/>
          <w:rFonts w:eastAsia="Aptos" w:cs="Aptos"/>
        </w:rPr>
        <w:footnoteReference w:id="212"/>
      </w:r>
    </w:p>
    <w:p w14:paraId="5E59A43E" w14:textId="2D1585EB" w:rsidR="00035D76" w:rsidRPr="005B05B3" w:rsidRDefault="00035D76" w:rsidP="00035D76">
      <w:pPr>
        <w:spacing w:line="278" w:lineRule="auto"/>
        <w:rPr>
          <w:rFonts w:eastAsia="Aptos" w:cs="Aptos"/>
          <w:i/>
          <w:iCs/>
        </w:rPr>
      </w:pPr>
      <w:r w:rsidRPr="005B05B3">
        <w:rPr>
          <w:rFonts w:eastAsia="Aptos" w:cs="Aptos"/>
        </w:rPr>
        <w:t>The NDIS Practice Standards consist of a core module</w:t>
      </w:r>
      <w:r w:rsidRPr="005B05B3">
        <w:rPr>
          <w:rStyle w:val="FootnoteReference"/>
          <w:rFonts w:eastAsia="Aptos" w:cs="Aptos"/>
        </w:rPr>
        <w:footnoteReference w:id="213"/>
      </w:r>
      <w:r w:rsidRPr="005B05B3">
        <w:rPr>
          <w:rFonts w:eastAsia="Aptos" w:cs="Aptos"/>
        </w:rPr>
        <w:t xml:space="preserve"> and several supplementary modules</w:t>
      </w:r>
      <w:r w:rsidRPr="005B05B3">
        <w:rPr>
          <w:rStyle w:val="FootnoteReference"/>
          <w:rFonts w:eastAsia="Aptos" w:cs="Aptos"/>
        </w:rPr>
        <w:footnoteReference w:id="214"/>
      </w:r>
      <w:r w:rsidRPr="005B05B3">
        <w:rPr>
          <w:rFonts w:eastAsia="Aptos" w:cs="Aptos"/>
        </w:rPr>
        <w:t xml:space="preserve"> that apply depending on the types of supports and services delivered, and the organisational structure of the </w:t>
      </w:r>
      <w:r w:rsidR="002661C9" w:rsidRPr="005B05B3">
        <w:rPr>
          <w:rFonts w:eastAsia="Aptos" w:cs="Aptos"/>
        </w:rPr>
        <w:t>p</w:t>
      </w:r>
      <w:r w:rsidRPr="005B05B3">
        <w:rPr>
          <w:rFonts w:eastAsia="Aptos" w:cs="Aptos"/>
        </w:rPr>
        <w:t>rovider.</w:t>
      </w:r>
      <w:r w:rsidRPr="005B05B3">
        <w:rPr>
          <w:rStyle w:val="FootnoteReference"/>
          <w:rFonts w:eastAsia="Aptos" w:cs="Aptos"/>
        </w:rPr>
        <w:footnoteReference w:id="215"/>
      </w:r>
      <w:r w:rsidRPr="005B05B3">
        <w:rPr>
          <w:rFonts w:eastAsia="Aptos" w:cs="Aptos"/>
        </w:rPr>
        <w:t xml:space="preserve"> The </w:t>
      </w:r>
      <w:r w:rsidR="002232F7" w:rsidRPr="005B05B3">
        <w:rPr>
          <w:rFonts w:eastAsia="Aptos" w:cs="Aptos"/>
        </w:rPr>
        <w:t>c</w:t>
      </w:r>
      <w:r w:rsidRPr="005B05B3">
        <w:rPr>
          <w:rFonts w:eastAsia="Aptos" w:cs="Aptos"/>
        </w:rPr>
        <w:t>ore module covers:</w:t>
      </w:r>
    </w:p>
    <w:p w14:paraId="2FFED7FC" w14:textId="77777777" w:rsidR="00035D76" w:rsidRPr="005B05B3" w:rsidRDefault="00035D76" w:rsidP="002248D1">
      <w:pPr>
        <w:pStyle w:val="ListParagraph"/>
        <w:numPr>
          <w:ilvl w:val="0"/>
          <w:numId w:val="64"/>
        </w:numPr>
        <w:spacing w:after="160" w:line="278" w:lineRule="auto"/>
        <w:rPr>
          <w:rFonts w:eastAsia="Aptos" w:cs="Aptos"/>
        </w:rPr>
      </w:pPr>
      <w:r w:rsidRPr="005B05B3">
        <w:rPr>
          <w:rFonts w:eastAsia="Aptos" w:cs="Aptos"/>
        </w:rPr>
        <w:t>Rights of participants and responsibilities of providers</w:t>
      </w:r>
    </w:p>
    <w:p w14:paraId="5EB0A2E1" w14:textId="77777777" w:rsidR="00035D76" w:rsidRPr="005B05B3" w:rsidRDefault="00035D76" w:rsidP="002248D1">
      <w:pPr>
        <w:pStyle w:val="ListParagraph"/>
        <w:numPr>
          <w:ilvl w:val="0"/>
          <w:numId w:val="64"/>
        </w:numPr>
        <w:spacing w:after="160" w:line="278" w:lineRule="auto"/>
        <w:rPr>
          <w:rFonts w:eastAsia="Aptos" w:cs="Aptos"/>
        </w:rPr>
      </w:pPr>
      <w:r w:rsidRPr="005B05B3">
        <w:rPr>
          <w:rFonts w:eastAsia="Aptos" w:cs="Aptos"/>
        </w:rPr>
        <w:t>Governance and operational management</w:t>
      </w:r>
    </w:p>
    <w:p w14:paraId="396584C1" w14:textId="2DBF5DCA" w:rsidR="00035D76" w:rsidRPr="005B05B3" w:rsidRDefault="00035D76" w:rsidP="002248D1">
      <w:pPr>
        <w:pStyle w:val="ListParagraph"/>
        <w:numPr>
          <w:ilvl w:val="0"/>
          <w:numId w:val="64"/>
        </w:numPr>
        <w:spacing w:after="160" w:line="278" w:lineRule="auto"/>
        <w:rPr>
          <w:rFonts w:eastAsia="Aptos" w:cs="Aptos"/>
        </w:rPr>
      </w:pPr>
      <w:r w:rsidRPr="005B05B3">
        <w:rPr>
          <w:rFonts w:eastAsia="Aptos" w:cs="Aptos"/>
        </w:rPr>
        <w:t>The delivery of support, and</w:t>
      </w:r>
    </w:p>
    <w:p w14:paraId="06A2B2FD" w14:textId="77777777" w:rsidR="00035D76" w:rsidRPr="005B05B3" w:rsidRDefault="00035D76" w:rsidP="002248D1">
      <w:pPr>
        <w:pStyle w:val="ListParagraph"/>
        <w:numPr>
          <w:ilvl w:val="0"/>
          <w:numId w:val="64"/>
        </w:numPr>
        <w:spacing w:after="160" w:line="278" w:lineRule="auto"/>
        <w:rPr>
          <w:rFonts w:eastAsia="Aptos" w:cs="Aptos"/>
        </w:rPr>
      </w:pPr>
      <w:r w:rsidRPr="005B05B3">
        <w:rPr>
          <w:rFonts w:eastAsia="Aptos" w:cs="Aptos"/>
        </w:rPr>
        <w:t>The environment in which supports are delivered</w:t>
      </w:r>
    </w:p>
    <w:p w14:paraId="2AB94357" w14:textId="77777777" w:rsidR="00035D76" w:rsidRPr="005B05B3" w:rsidRDefault="00035D76" w:rsidP="00035D76">
      <w:pPr>
        <w:spacing w:line="278" w:lineRule="auto"/>
        <w:rPr>
          <w:rFonts w:eastAsia="Aptos" w:cs="Aptos"/>
        </w:rPr>
      </w:pPr>
      <w:r w:rsidRPr="005B05B3">
        <w:rPr>
          <w:rFonts w:eastAsia="Aptos" w:cs="Aptos"/>
        </w:rPr>
        <w:t>S</w:t>
      </w:r>
      <w:r w:rsidRPr="005B05B3">
        <w:t>upplementary models cover:</w:t>
      </w:r>
    </w:p>
    <w:p w14:paraId="2059399F" w14:textId="77777777" w:rsidR="00035D76" w:rsidRPr="005B05B3" w:rsidRDefault="08264A44" w:rsidP="002248D1">
      <w:pPr>
        <w:pStyle w:val="ListParagraph"/>
        <w:numPr>
          <w:ilvl w:val="0"/>
          <w:numId w:val="65"/>
        </w:numPr>
        <w:spacing w:after="160" w:line="278" w:lineRule="auto"/>
        <w:rPr>
          <w:rFonts w:eastAsia="Aptos" w:cs="Aptos"/>
        </w:rPr>
      </w:pPr>
      <w:r w:rsidRPr="005B05B3">
        <w:rPr>
          <w:rFonts w:eastAsia="Aptos" w:cs="Aptos"/>
        </w:rPr>
        <w:t>High intensity daily personal activities</w:t>
      </w:r>
    </w:p>
    <w:p w14:paraId="1A045A83" w14:textId="77777777" w:rsidR="00035D76" w:rsidRPr="005B05B3" w:rsidRDefault="08264A44" w:rsidP="002248D1">
      <w:pPr>
        <w:pStyle w:val="ListParagraph"/>
        <w:numPr>
          <w:ilvl w:val="0"/>
          <w:numId w:val="65"/>
        </w:numPr>
        <w:spacing w:after="160" w:line="278" w:lineRule="auto"/>
        <w:rPr>
          <w:rFonts w:eastAsia="Aptos" w:cs="Aptos"/>
        </w:rPr>
      </w:pPr>
      <w:r w:rsidRPr="005B05B3">
        <w:rPr>
          <w:rFonts w:eastAsia="Aptos" w:cs="Aptos"/>
        </w:rPr>
        <w:t>Specialist behaviour support, including implementing behaviour support plans</w:t>
      </w:r>
    </w:p>
    <w:p w14:paraId="34110D96" w14:textId="77777777" w:rsidR="00035D76" w:rsidRPr="005B05B3" w:rsidRDefault="08264A44" w:rsidP="002248D1">
      <w:pPr>
        <w:pStyle w:val="ListParagraph"/>
        <w:numPr>
          <w:ilvl w:val="0"/>
          <w:numId w:val="65"/>
        </w:numPr>
        <w:spacing w:after="160" w:line="278" w:lineRule="auto"/>
        <w:rPr>
          <w:rFonts w:eastAsia="Aptos" w:cs="Aptos"/>
        </w:rPr>
      </w:pPr>
      <w:r w:rsidRPr="005B05B3">
        <w:rPr>
          <w:rFonts w:eastAsia="Aptos" w:cs="Aptos"/>
        </w:rPr>
        <w:lastRenderedPageBreak/>
        <w:t>Early childhood supports</w:t>
      </w:r>
    </w:p>
    <w:p w14:paraId="29B4E8D3" w14:textId="778FDAB0" w:rsidR="004E2998" w:rsidRPr="005B05B3" w:rsidRDefault="08264A44" w:rsidP="002248D1">
      <w:pPr>
        <w:pStyle w:val="ListParagraph"/>
        <w:numPr>
          <w:ilvl w:val="0"/>
          <w:numId w:val="65"/>
        </w:numPr>
        <w:spacing w:after="160" w:line="278" w:lineRule="auto"/>
        <w:rPr>
          <w:rFonts w:eastAsia="Aptos" w:cs="Aptos"/>
        </w:rPr>
      </w:pPr>
      <w:r w:rsidRPr="005B05B3">
        <w:rPr>
          <w:rFonts w:eastAsia="Aptos" w:cs="Aptos"/>
        </w:rPr>
        <w:t>Specialised support coordination</w:t>
      </w:r>
    </w:p>
    <w:p w14:paraId="5E07A2B5" w14:textId="77777777" w:rsidR="00035D76" w:rsidRPr="005B05B3" w:rsidRDefault="08264A44" w:rsidP="002248D1">
      <w:pPr>
        <w:pStyle w:val="ListParagraph"/>
        <w:numPr>
          <w:ilvl w:val="0"/>
          <w:numId w:val="65"/>
        </w:numPr>
        <w:spacing w:after="160" w:line="278" w:lineRule="auto"/>
        <w:rPr>
          <w:rStyle w:val="FootnoteReference"/>
          <w:rFonts w:eastAsia="Aptos" w:cs="Aptos"/>
        </w:rPr>
      </w:pPr>
      <w:r w:rsidRPr="005B05B3">
        <w:rPr>
          <w:rFonts w:eastAsia="Aptos" w:cs="Aptos"/>
        </w:rPr>
        <w:t>Specialist disability accommodation.</w:t>
      </w:r>
      <w:r w:rsidR="00035D76" w:rsidRPr="005B05B3">
        <w:rPr>
          <w:rStyle w:val="FootnoteReference"/>
          <w:rFonts w:eastAsia="Aptos" w:cs="Aptos"/>
        </w:rPr>
        <w:footnoteReference w:id="216"/>
      </w:r>
    </w:p>
    <w:p w14:paraId="65F9E892" w14:textId="64C59416" w:rsidR="00035D76" w:rsidRPr="005B05B3" w:rsidRDefault="00035D76" w:rsidP="00035D76">
      <w:pPr>
        <w:spacing w:line="278" w:lineRule="auto"/>
        <w:rPr>
          <w:rFonts w:eastAsia="Aptos" w:cs="Aptos"/>
        </w:rPr>
      </w:pPr>
      <w:r w:rsidRPr="005B05B3">
        <w:rPr>
          <w:rFonts w:eastAsia="Aptos" w:cs="Aptos"/>
        </w:rPr>
        <w:t>For each outcome in the modules, the NDIS Commission has prepared quality indicators that approved auditors use to assess compliance with the NDIS Practice Standards.</w:t>
      </w:r>
    </w:p>
    <w:p w14:paraId="3F5C1BAE" w14:textId="0ACEFD77" w:rsidR="00035D76" w:rsidRPr="005B05B3" w:rsidRDefault="00035D76" w:rsidP="00035D76">
      <w:pPr>
        <w:spacing w:line="278" w:lineRule="auto"/>
        <w:rPr>
          <w:rFonts w:eastAsia="Aptos" w:cs="Aptos"/>
        </w:rPr>
      </w:pPr>
      <w:r w:rsidRPr="005B05B3">
        <w:rPr>
          <w:rFonts w:eastAsia="Aptos" w:cs="Aptos"/>
        </w:rPr>
        <w:t>Notably, in November 2021, three new Practice Standards and associated Quality Indictors for mealtime management, severe dysphagia management, and emergency and disaster management commenced.</w:t>
      </w:r>
      <w:r w:rsidRPr="005B05B3">
        <w:rPr>
          <w:rStyle w:val="FootnoteReference"/>
          <w:rFonts w:eastAsia="Aptos" w:cs="Aptos"/>
        </w:rPr>
        <w:footnoteReference w:id="217"/>
      </w:r>
    </w:p>
    <w:p w14:paraId="4B9EB89A" w14:textId="29E6AED1" w:rsidR="00035D76" w:rsidRPr="005B05B3" w:rsidRDefault="00035D76" w:rsidP="00035D76">
      <w:pPr>
        <w:spacing w:line="278" w:lineRule="auto"/>
        <w:rPr>
          <w:rStyle w:val="FootnoteReference"/>
          <w:rFonts w:eastAsia="Aptos" w:cs="Aptos"/>
        </w:rPr>
      </w:pPr>
      <w:r w:rsidRPr="005B05B3">
        <w:rPr>
          <w:rFonts w:eastAsia="Aptos" w:cs="Aptos"/>
        </w:rPr>
        <w:t xml:space="preserve">The Taskforce observes that Practice Standards are an ideal way for the Commissioner to address emerging issues facing participants or providers. For example, amendments to the NDIS Practice Standards and Quality Indicators were introduced to mealtime management and severe dysphagia management in response to findings of the 2019 report titled </w:t>
      </w:r>
      <w:r w:rsidR="00AE18BE" w:rsidRPr="005B05B3">
        <w:rPr>
          <w:rFonts w:eastAsia="Aptos" w:cs="Aptos"/>
        </w:rPr>
        <w:t>‘</w:t>
      </w:r>
      <w:r w:rsidRPr="005B05B3">
        <w:rPr>
          <w:rFonts w:eastAsia="Aptos" w:cs="Aptos"/>
        </w:rPr>
        <w:t>Scoping review of causes and contributors to deaths of people with disability in Australia</w:t>
      </w:r>
      <w:r w:rsidR="00AE18BE" w:rsidRPr="005B05B3">
        <w:rPr>
          <w:rFonts w:eastAsia="Aptos" w:cs="Aptos"/>
        </w:rPr>
        <w:t>’</w:t>
      </w:r>
      <w:r w:rsidRPr="005B05B3">
        <w:rPr>
          <w:rFonts w:eastAsia="Aptos" w:cs="Aptos"/>
        </w:rPr>
        <w:t>.</w:t>
      </w:r>
      <w:r w:rsidR="000E525C">
        <w:rPr>
          <w:rStyle w:val="FootnoteReference"/>
          <w:rFonts w:eastAsia="Aptos" w:cs="Aptos"/>
        </w:rPr>
        <w:footnoteReference w:id="218"/>
      </w:r>
      <w:r>
        <w:rPr>
          <w:rFonts w:eastAsia="Aptos" w:cs="Aptos"/>
          <w:sz w:val="19"/>
          <w:szCs w:val="19"/>
        </w:rPr>
        <w:t xml:space="preserve"> </w:t>
      </w:r>
      <w:r w:rsidRPr="005B05B3">
        <w:rPr>
          <w:rFonts w:eastAsia="Aptos" w:cs="Aptos"/>
        </w:rPr>
        <w:t>We acknowledge that this is an important function and would remain so going forward.</w:t>
      </w:r>
    </w:p>
    <w:p w14:paraId="2457C51D" w14:textId="58D91381" w:rsidR="00035D76" w:rsidRPr="005B05B3" w:rsidRDefault="00035D76" w:rsidP="00035D76">
      <w:pPr>
        <w:spacing w:line="278" w:lineRule="auto"/>
      </w:pPr>
      <w:r w:rsidRPr="005B05B3">
        <w:t xml:space="preserve">The Taskforce did not receive significant feedback from participants or providers on the effectiveness of the Practice Standards. Our view of the current Practice Standards </w:t>
      </w:r>
      <w:r w:rsidR="008B3E00" w:rsidRPr="005B05B3">
        <w:t xml:space="preserve">is that they </w:t>
      </w:r>
      <w:r w:rsidRPr="005B05B3">
        <w:t>are suitable to meet expectations of a human</w:t>
      </w:r>
      <w:r w:rsidR="002925D1" w:rsidRPr="005B05B3">
        <w:t xml:space="preserve"> </w:t>
      </w:r>
      <w:r w:rsidRPr="005B05B3">
        <w:t>rights focussed regulator and would suit our proposed model if applied to all NDIS Providers in accordance with our proposed definition. We do recommend that Practice Standards be co-designed going forward and suggest that this be included as a requirement in the Rules.</w:t>
      </w:r>
    </w:p>
    <w:p w14:paraId="5631A687" w14:textId="77777777" w:rsidR="00035D76" w:rsidRPr="005B05B3" w:rsidRDefault="00035D76" w:rsidP="00035D76">
      <w:pPr>
        <w:spacing w:line="278" w:lineRule="auto"/>
      </w:pPr>
      <w:r w:rsidRPr="005B05B3">
        <w:t>Practice Standards are an obligation for High-Risk and Medium-Risk registration categories.</w:t>
      </w:r>
    </w:p>
    <w:p w14:paraId="4A8B6F85" w14:textId="04C8A607" w:rsidR="001A12E9" w:rsidRPr="005B05B3" w:rsidRDefault="001A12E9" w:rsidP="003D35AB">
      <w:pPr>
        <w:pStyle w:val="Heading3"/>
        <w:spacing w:before="360" w:after="120"/>
      </w:pPr>
      <w:r w:rsidRPr="005B05B3">
        <w:t>New types of Provider Obligations</w:t>
      </w:r>
    </w:p>
    <w:p w14:paraId="49CE5D56" w14:textId="3960EC25" w:rsidR="00035D76" w:rsidRPr="005B05B3" w:rsidRDefault="00035D76" w:rsidP="009F682D">
      <w:pPr>
        <w:pStyle w:val="TSDAltHeading3"/>
      </w:pPr>
      <w:bookmarkStart w:id="103" w:name="_Toc170128762"/>
      <w:r w:rsidRPr="005B05B3">
        <w:t>Regular Check Ins with NDIS Commission</w:t>
      </w:r>
      <w:bookmarkEnd w:id="103"/>
    </w:p>
    <w:p w14:paraId="0CDF9359" w14:textId="0A8E4134" w:rsidR="00035D76" w:rsidRPr="005B05B3" w:rsidRDefault="00035D76" w:rsidP="00035D76">
      <w:pPr>
        <w:spacing w:line="278" w:lineRule="auto"/>
      </w:pPr>
      <w:r w:rsidRPr="005B05B3">
        <w:t>A new Provider Obligation is recommended by the Taskforce for s</w:t>
      </w:r>
      <w:r w:rsidR="62455E23" w:rsidRPr="005B05B3">
        <w:t>elf-directed supports</w:t>
      </w:r>
      <w:r w:rsidRPr="005B05B3">
        <w:t xml:space="preserve">; a check in with the NDIS Commission. Acknowledging that </w:t>
      </w:r>
      <w:r w:rsidR="1675DA01" w:rsidRPr="005B05B3">
        <w:t>due</w:t>
      </w:r>
      <w:r w:rsidRPr="005B05B3">
        <w:t xml:space="preserve"> to </w:t>
      </w:r>
      <w:r w:rsidR="1675DA01" w:rsidRPr="005B05B3">
        <w:t xml:space="preserve">the nature of </w:t>
      </w:r>
      <w:r w:rsidR="00FD7F6F">
        <w:br/>
      </w:r>
      <w:r w:rsidR="000B8499" w:rsidRPr="005B05B3">
        <w:lastRenderedPageBreak/>
        <w:t>self-directed supports</w:t>
      </w:r>
      <w:r w:rsidRPr="005B05B3">
        <w:t xml:space="preserve">, the Taskforce believes that it is important for the NDIS Commission to regularly check in with those </w:t>
      </w:r>
      <w:r w:rsidR="00C529E3" w:rsidRPr="005B05B3">
        <w:t>p</w:t>
      </w:r>
      <w:r w:rsidRPr="005B05B3">
        <w:t>roviders.</w:t>
      </w:r>
    </w:p>
    <w:p w14:paraId="78246E68" w14:textId="1FD9D322" w:rsidR="00035D76" w:rsidRPr="005B05B3" w:rsidRDefault="00035D76" w:rsidP="00035D76">
      <w:pPr>
        <w:spacing w:line="278" w:lineRule="auto"/>
      </w:pPr>
      <w:r w:rsidRPr="005B05B3">
        <w:t xml:space="preserve">The Check-In process </w:t>
      </w:r>
      <w:r w:rsidR="39154BA4" w:rsidRPr="005B05B3">
        <w:t>sh</w:t>
      </w:r>
      <w:r w:rsidRPr="005B05B3">
        <w:t xml:space="preserve">ould be co-designed with the disability community. The Taskforce anticipate that it will be flexible and respectful of a </w:t>
      </w:r>
      <w:r w:rsidR="00C65AC8" w:rsidRPr="005B05B3">
        <w:t>p</w:t>
      </w:r>
      <w:r w:rsidRPr="005B05B3">
        <w:t xml:space="preserve">articipant’s right to privacy. However, as an Obligation, it is requirement of gaining and maintaining registration. As such, if a </w:t>
      </w:r>
      <w:r w:rsidR="007265EA" w:rsidRPr="005B05B3">
        <w:t>p</w:t>
      </w:r>
      <w:r w:rsidRPr="005B05B3">
        <w:t xml:space="preserve">articipant registered in the </w:t>
      </w:r>
      <w:r w:rsidR="11474377" w:rsidRPr="005B05B3">
        <w:t>self-directed</w:t>
      </w:r>
      <w:r w:rsidRPr="005B05B3">
        <w:t xml:space="preserve"> category does not meet this Obligation, registration can be suspended or revoked.</w:t>
      </w:r>
    </w:p>
    <w:p w14:paraId="4D2D42A8" w14:textId="1592BCC7" w:rsidR="46F2F21A" w:rsidRPr="005B05B3" w:rsidRDefault="46F2F21A" w:rsidP="009F682D">
      <w:pPr>
        <w:pStyle w:val="TSDAltHeading3"/>
      </w:pPr>
      <w:r w:rsidRPr="005B05B3">
        <w:t>Performance measurement</w:t>
      </w:r>
    </w:p>
    <w:p w14:paraId="3717A0B5" w14:textId="27DDF48C" w:rsidR="162E5085" w:rsidRPr="005B05B3" w:rsidRDefault="69C34A9E" w:rsidP="162E5085">
      <w:pPr>
        <w:spacing w:line="278" w:lineRule="auto"/>
      </w:pPr>
      <w:r w:rsidRPr="005B05B3">
        <w:t>As proposed by the NDIS Review, performance management is proposed to measure and publish metrics of registered provider performance.</w:t>
      </w:r>
      <w:r w:rsidRPr="005B05B3">
        <w:rPr>
          <w:rStyle w:val="FootnoteReference"/>
        </w:rPr>
        <w:footnoteReference w:id="219"/>
      </w:r>
      <w:r w:rsidRPr="005B05B3">
        <w:t xml:space="preserve"> The </w:t>
      </w:r>
      <w:r w:rsidR="35B45183" w:rsidRPr="005B05B3">
        <w:t>NDIS Review describe that the performance measurement</w:t>
      </w:r>
      <w:r w:rsidR="1E87D95C" w:rsidRPr="005B05B3">
        <w:t>:</w:t>
      </w:r>
    </w:p>
    <w:p w14:paraId="483AB545" w14:textId="402BCBFF" w:rsidR="162E5085" w:rsidRPr="005B05B3" w:rsidRDefault="35B45183" w:rsidP="4106EA5E">
      <w:pPr>
        <w:spacing w:line="278" w:lineRule="auto"/>
        <w:ind w:left="720"/>
      </w:pPr>
      <w:r w:rsidRPr="00A7517B">
        <w:rPr>
          <w:i/>
        </w:rPr>
        <w:t>should include an initial focus on quality and safety and be designed to incentivise improvements by providers and drive greater competition on quality. It should be supported by accessible and useful information to support people with disability i</w:t>
      </w:r>
      <w:r w:rsidR="596EEC50" w:rsidRPr="00A7517B">
        <w:rPr>
          <w:i/>
        </w:rPr>
        <w:t>n making choices about provides. Over time, this should incorporate measurement of outcomes, and be accompanied by consequences for good and poor performance</w:t>
      </w:r>
      <w:r w:rsidR="596EEC50" w:rsidRPr="00A7517B">
        <w:rPr>
          <w:i/>
          <w:iCs/>
        </w:rPr>
        <w:t>.</w:t>
      </w:r>
      <w:r w:rsidR="69C34A9E" w:rsidRPr="00A7517B">
        <w:rPr>
          <w:rStyle w:val="FootnoteReference"/>
        </w:rPr>
        <w:footnoteReference w:id="220"/>
      </w:r>
    </w:p>
    <w:p w14:paraId="0B73A3FB" w14:textId="3480059E" w:rsidR="005C5577" w:rsidRPr="005B05B3" w:rsidRDefault="3A760F5C" w:rsidP="211E343B">
      <w:pPr>
        <w:spacing w:line="278" w:lineRule="auto"/>
      </w:pPr>
      <w:r w:rsidRPr="005B05B3">
        <w:t xml:space="preserve">The Taskforce explored this concept during engagement with stakeholders and there was a general agreement that having quality ratings would be helpful for Participants choosing services. </w:t>
      </w:r>
    </w:p>
    <w:p w14:paraId="71DBF38D" w14:textId="2989D03F" w:rsidR="005C5577" w:rsidRPr="00DD0BCE" w:rsidRDefault="002B167C" w:rsidP="002B167C">
      <w:pPr>
        <w:pStyle w:val="Quote"/>
        <w:rPr>
          <w:i w:val="0"/>
          <w:iCs w:val="0"/>
        </w:rPr>
      </w:pPr>
      <w:r w:rsidRPr="00B22A45">
        <w:t>Market rating scales akin to My Aged Care star ratings can empower participants to make informed choices about service providers, thereby driving continuous improvement and accountability within the NDIS sector.</w:t>
      </w:r>
      <w:r w:rsidRPr="00B22A45">
        <w:rPr>
          <w:rStyle w:val="FootnoteReference"/>
        </w:rPr>
        <w:t xml:space="preserve"> </w:t>
      </w:r>
      <w:r w:rsidRPr="00DD0BCE">
        <w:rPr>
          <w:rStyle w:val="FootnoteReference"/>
          <w:i w:val="0"/>
          <w:iCs w:val="0"/>
        </w:rPr>
        <w:footnoteReference w:id="221"/>
      </w:r>
    </w:p>
    <w:p w14:paraId="6CBB695A" w14:textId="77777777" w:rsidR="00C356C2" w:rsidRDefault="3A760F5C" w:rsidP="005B05B3">
      <w:pPr>
        <w:spacing w:line="278" w:lineRule="auto"/>
      </w:pPr>
      <w:r w:rsidRPr="00B22A45">
        <w:t>Some told us that this would not be helpful or useful in how th</w:t>
      </w:r>
      <w:r w:rsidR="08FF3933" w:rsidRPr="00B22A45">
        <w:t>ey choose</w:t>
      </w:r>
      <w:r w:rsidR="08FF3933" w:rsidRPr="005B05B3">
        <w:t xml:space="preserve"> services because they look more for values-based metrics than qualitative </w:t>
      </w:r>
      <w:r w:rsidR="00F51B01" w:rsidRPr="005B05B3">
        <w:t>measures</w:t>
      </w:r>
      <w:r w:rsidR="00F51B01" w:rsidRPr="005B05B3">
        <w:rPr>
          <w:rStyle w:val="CommentReference"/>
        </w:rPr>
        <w:t>.</w:t>
      </w:r>
      <w:r w:rsidR="00F51B01" w:rsidRPr="005B05B3">
        <w:t xml:space="preserve"> </w:t>
      </w:r>
    </w:p>
    <w:p w14:paraId="6B4D12F7" w14:textId="6724540A" w:rsidR="211E343B" w:rsidRPr="005B05B3" w:rsidRDefault="08FF3933" w:rsidP="211E343B">
      <w:pPr>
        <w:spacing w:line="278" w:lineRule="auto"/>
      </w:pPr>
      <w:r w:rsidRPr="005B05B3">
        <w:t>The Taskforce also met with the UK Care Quality Commission, the regulator for disability and</w:t>
      </w:r>
      <w:r w:rsidR="4EC3A78F" w:rsidRPr="005B05B3">
        <w:t xml:space="preserve"> health services in the UK.</w:t>
      </w:r>
      <w:r w:rsidR="3A760F5C" w:rsidRPr="005B05B3">
        <w:rPr>
          <w:rStyle w:val="FootnoteReference"/>
        </w:rPr>
        <w:footnoteReference w:id="222"/>
      </w:r>
      <w:r w:rsidR="4EC3A78F" w:rsidRPr="005B05B3">
        <w:t xml:space="preserve"> </w:t>
      </w:r>
      <w:r w:rsidR="00E05F84" w:rsidRPr="005B05B3">
        <w:t xml:space="preserve">The </w:t>
      </w:r>
      <w:r w:rsidR="4EC3A78F" w:rsidRPr="005B05B3">
        <w:t>UK Care Quality Commission have a performance measurement system and reported that it was an important tool for regulating the market.</w:t>
      </w:r>
      <w:r w:rsidR="3A760F5C" w:rsidRPr="005B05B3">
        <w:rPr>
          <w:rStyle w:val="FootnoteReference"/>
        </w:rPr>
        <w:footnoteReference w:id="223"/>
      </w:r>
    </w:p>
    <w:p w14:paraId="1899E2DB" w14:textId="4D166DF8" w:rsidR="211E343B" w:rsidRPr="005B05B3" w:rsidRDefault="4EC3A78F" w:rsidP="211E343B">
      <w:pPr>
        <w:spacing w:line="278" w:lineRule="auto"/>
      </w:pPr>
      <w:r w:rsidRPr="005B05B3">
        <w:lastRenderedPageBreak/>
        <w:t xml:space="preserve">Overall, the Taskforce is supportive of Performance Measure for Advanced, General and Basic Registration. However, the design and implementation of this </w:t>
      </w:r>
      <w:r w:rsidR="0075763F" w:rsidRPr="005B05B3">
        <w:t>p</w:t>
      </w:r>
      <w:r w:rsidRPr="005B05B3">
        <w:t xml:space="preserve">rovider </w:t>
      </w:r>
      <w:r w:rsidR="0075763F" w:rsidRPr="005B05B3">
        <w:t>o</w:t>
      </w:r>
      <w:r w:rsidRPr="005B05B3">
        <w:t xml:space="preserve">bligation should be </w:t>
      </w:r>
      <w:r w:rsidR="5E6E2C06" w:rsidRPr="005B05B3">
        <w:t>co-designed with the disability community and sector to ensure that it provides useful and meaningful measurement.</w:t>
      </w:r>
    </w:p>
    <w:p w14:paraId="28AC8B03" w14:textId="77777777" w:rsidR="00035D76" w:rsidRPr="005B05B3" w:rsidRDefault="05E450BF" w:rsidP="001B4BF0">
      <w:pPr>
        <w:pStyle w:val="TSDAltHeading2"/>
        <w:spacing w:before="360"/>
      </w:pPr>
      <w:bookmarkStart w:id="104" w:name="_Toc170128763"/>
      <w:bookmarkStart w:id="105" w:name="_Toc170808370"/>
      <w:bookmarkStart w:id="106" w:name="_Toc173318068"/>
      <w:r w:rsidRPr="005B05B3">
        <w:t>Provider Processes</w:t>
      </w:r>
      <w:bookmarkEnd w:id="104"/>
      <w:bookmarkEnd w:id="105"/>
      <w:bookmarkEnd w:id="106"/>
    </w:p>
    <w:p w14:paraId="7E5DB5E5" w14:textId="607BF288" w:rsidR="00035D76" w:rsidRPr="005B05B3" w:rsidRDefault="00035D76" w:rsidP="00035D76">
      <w:r w:rsidRPr="005B05B3">
        <w:t>To ensure compliance with the Provider Obligations, the Taskforce have identified the following Provider Processes that need to be undertaken</w:t>
      </w:r>
      <w:r w:rsidR="00C80994">
        <w:t>.</w:t>
      </w:r>
    </w:p>
    <w:p w14:paraId="5E910828" w14:textId="7CBBDEEB" w:rsidR="72B68D96" w:rsidRPr="005B05B3" w:rsidRDefault="72B68D96" w:rsidP="009F682D">
      <w:pPr>
        <w:pStyle w:val="TSDAltHeading3"/>
      </w:pPr>
      <w:r w:rsidRPr="005B05B3">
        <w:t>Application</w:t>
      </w:r>
    </w:p>
    <w:p w14:paraId="12D1A34E" w14:textId="4FC89B2B" w:rsidR="29E83B5F" w:rsidRPr="005B05B3" w:rsidRDefault="72B68D96" w:rsidP="00DC2D94">
      <w:r w:rsidRPr="005B05B3">
        <w:t xml:space="preserve">The </w:t>
      </w:r>
      <w:r w:rsidR="00462E13" w:rsidRPr="005B05B3">
        <w:t>p</w:t>
      </w:r>
      <w:r w:rsidRPr="005B05B3">
        <w:t xml:space="preserve">rovider will complete an online application form, </w:t>
      </w:r>
      <w:r w:rsidR="00AB1F8A" w:rsidRPr="005B05B3">
        <w:t>that could be</w:t>
      </w:r>
      <w:r w:rsidRPr="005B05B3">
        <w:t xml:space="preserve"> integrated with centralised online platform and NDIS payments system (Actions 10.1 and 10.3)</w:t>
      </w:r>
      <w:r w:rsidR="00563BC1" w:rsidRPr="005B05B3">
        <w:t>, when these are developed</w:t>
      </w:r>
      <w:r w:rsidRPr="005B05B3">
        <w:t xml:space="preserve"> to provide the NDIA and NDIS Commission </w:t>
      </w:r>
      <w:r w:rsidR="2FA4501D" w:rsidRPr="005B05B3">
        <w:t>with visibility of all providers and data on payments.</w:t>
      </w:r>
    </w:p>
    <w:p w14:paraId="24299EC8" w14:textId="28F2EA67" w:rsidR="3D4B47B4" w:rsidRPr="005B05B3" w:rsidRDefault="2ACE86B1">
      <w:r w:rsidRPr="005B05B3">
        <w:t xml:space="preserve">Those registered for self-directed supports will have the </w:t>
      </w:r>
      <w:r w:rsidR="007265EA" w:rsidRPr="005B05B3">
        <w:t>p</w:t>
      </w:r>
      <w:r w:rsidRPr="005B05B3">
        <w:t xml:space="preserve">articipant (or representative) complete the application to be a self-directed support provider, </w:t>
      </w:r>
      <w:r w:rsidR="00E46972" w:rsidRPr="005B05B3">
        <w:t xml:space="preserve">that could be integrated </w:t>
      </w:r>
      <w:r w:rsidRPr="005B05B3">
        <w:t>with a centralised online platform and NDIS payments system</w:t>
      </w:r>
      <w:r w:rsidR="00E46972" w:rsidRPr="005B05B3">
        <w:t>, when these are developed</w:t>
      </w:r>
      <w:r w:rsidR="008F6E74">
        <w:t>.</w:t>
      </w:r>
    </w:p>
    <w:p w14:paraId="6C182127" w14:textId="18621058" w:rsidR="00035D76" w:rsidRPr="005B05B3" w:rsidRDefault="00035D76" w:rsidP="009F682D">
      <w:pPr>
        <w:pStyle w:val="TSDAltHeading3"/>
      </w:pPr>
      <w:bookmarkStart w:id="107" w:name="_Toc170128764"/>
      <w:r w:rsidRPr="005B05B3">
        <w:t xml:space="preserve">Identification </w:t>
      </w:r>
      <w:r w:rsidR="00611A4A" w:rsidRPr="005B05B3">
        <w:t>v</w:t>
      </w:r>
      <w:r w:rsidRPr="005B05B3">
        <w:t>erification</w:t>
      </w:r>
      <w:bookmarkEnd w:id="107"/>
    </w:p>
    <w:p w14:paraId="74BCC4E2" w14:textId="743EBE17" w:rsidR="00035D76" w:rsidRPr="005B05B3" w:rsidRDefault="00035D76" w:rsidP="00035D76">
      <w:pPr>
        <w:spacing w:line="278" w:lineRule="auto"/>
        <w:rPr>
          <w:rFonts w:eastAsia="Aptos" w:cs="Aptos"/>
        </w:rPr>
      </w:pPr>
      <w:r w:rsidRPr="005B05B3">
        <w:rPr>
          <w:rFonts w:eastAsia="Aptos" w:cs="Aptos"/>
        </w:rPr>
        <w:t xml:space="preserve">All </w:t>
      </w:r>
      <w:r w:rsidR="00C529E3" w:rsidRPr="005B05B3">
        <w:rPr>
          <w:rFonts w:eastAsia="Aptos" w:cs="Aptos"/>
        </w:rPr>
        <w:t>p</w:t>
      </w:r>
      <w:r w:rsidRPr="005B05B3">
        <w:rPr>
          <w:rFonts w:eastAsia="Aptos" w:cs="Aptos"/>
        </w:rPr>
        <w:t>roviders</w:t>
      </w:r>
      <w:r w:rsidR="6DC71198" w:rsidRPr="005B05B3">
        <w:rPr>
          <w:rFonts w:eastAsia="Aptos" w:cs="Aptos"/>
        </w:rPr>
        <w:t xml:space="preserve"> required to registered</w:t>
      </w:r>
      <w:r w:rsidRPr="005B05B3">
        <w:rPr>
          <w:rFonts w:eastAsia="Aptos" w:cs="Aptos"/>
        </w:rPr>
        <w:t xml:space="preserve">, including those </w:t>
      </w:r>
      <w:r w:rsidR="5C2F19E1" w:rsidRPr="005B05B3">
        <w:rPr>
          <w:rFonts w:eastAsia="Aptos" w:cs="Aptos"/>
        </w:rPr>
        <w:t>registered fo</w:t>
      </w:r>
      <w:r w:rsidR="08314B4A" w:rsidRPr="005B05B3">
        <w:rPr>
          <w:rFonts w:eastAsia="Aptos" w:cs="Aptos"/>
        </w:rPr>
        <w:t>r</w:t>
      </w:r>
      <w:r w:rsidR="5C2F19E1" w:rsidRPr="005B05B3">
        <w:rPr>
          <w:rFonts w:eastAsia="Aptos" w:cs="Aptos"/>
        </w:rPr>
        <w:t xml:space="preserve"> self-directed</w:t>
      </w:r>
      <w:r w:rsidRPr="005B05B3">
        <w:rPr>
          <w:rFonts w:eastAsia="Aptos" w:cs="Aptos"/>
        </w:rPr>
        <w:t xml:space="preserve"> </w:t>
      </w:r>
      <w:r w:rsidR="0E7EF27C" w:rsidRPr="005B05B3">
        <w:rPr>
          <w:rFonts w:eastAsia="Aptos" w:cs="Aptos"/>
        </w:rPr>
        <w:t xml:space="preserve">supports </w:t>
      </w:r>
      <w:r w:rsidRPr="005B05B3">
        <w:rPr>
          <w:rFonts w:eastAsia="Aptos" w:cs="Aptos"/>
        </w:rPr>
        <w:t>will have their identification verified.</w:t>
      </w:r>
    </w:p>
    <w:p w14:paraId="08DA0BB7" w14:textId="3A33B4CF" w:rsidR="00035D76" w:rsidRPr="005B05B3" w:rsidRDefault="00035D76" w:rsidP="00AA376C">
      <w:pPr>
        <w:spacing w:line="276" w:lineRule="auto"/>
        <w:rPr>
          <w:rFonts w:eastAsia="Aptos" w:cs="Aptos"/>
        </w:rPr>
      </w:pPr>
      <w:r w:rsidRPr="005B05B3">
        <w:rPr>
          <w:rFonts w:eastAsia="Aptos" w:cs="Aptos"/>
        </w:rPr>
        <w:t>If applying to become a registered provider under existing processes, an entity must provide details including ABN, contact details and corporate structure. A provider must also engage an auditor to compete an audit assessment (specific to the services they wish to provide). The NDIS Commission then completes its suitability assessment of both the provider and key personnel having regard to whether provider</w:t>
      </w:r>
      <w:r w:rsidRPr="005B05B3">
        <w:rPr>
          <w:rStyle w:val="FootnoteReference"/>
          <w:rFonts w:eastAsia="Aptos" w:cs="Aptos"/>
        </w:rPr>
        <w:footnoteReference w:id="224"/>
      </w:r>
      <w:r w:rsidRPr="005B05B3">
        <w:rPr>
          <w:rFonts w:eastAsia="Aptos" w:cs="Aptos"/>
        </w:rPr>
        <w:t xml:space="preserve"> or personnel</w:t>
      </w:r>
      <w:r w:rsidR="00F27F6C">
        <w:rPr>
          <w:rFonts w:eastAsia="Aptos" w:cs="Aptos"/>
        </w:rPr>
        <w:t>.</w:t>
      </w:r>
      <w:r w:rsidRPr="005B05B3">
        <w:rPr>
          <w:rStyle w:val="FootnoteReference"/>
          <w:rFonts w:eastAsia="Aptos" w:cs="Aptos"/>
        </w:rPr>
        <w:footnoteReference w:id="225"/>
      </w:r>
    </w:p>
    <w:p w14:paraId="30001777" w14:textId="77777777" w:rsidR="00035D76" w:rsidRPr="005B05B3" w:rsidRDefault="00035D76" w:rsidP="002248D1">
      <w:pPr>
        <w:numPr>
          <w:ilvl w:val="0"/>
          <w:numId w:val="9"/>
        </w:numPr>
        <w:shd w:val="clear" w:color="auto" w:fill="FFFFFF"/>
        <w:spacing w:before="100" w:beforeAutospacing="1" w:after="100" w:afterAutospacing="1" w:line="276" w:lineRule="auto"/>
        <w:rPr>
          <w:rFonts w:eastAsia="Aptos" w:cs="Aptos"/>
        </w:rPr>
      </w:pPr>
      <w:r w:rsidRPr="005B05B3">
        <w:rPr>
          <w:rFonts w:eastAsia="Aptos" w:cs="Aptos"/>
        </w:rPr>
        <w:t>has previously been a registered NDIS provider</w:t>
      </w:r>
    </w:p>
    <w:p w14:paraId="0E90FB9D" w14:textId="77777777" w:rsidR="00035D76" w:rsidRPr="005B05B3" w:rsidRDefault="00035D76" w:rsidP="002248D1">
      <w:pPr>
        <w:numPr>
          <w:ilvl w:val="0"/>
          <w:numId w:val="9"/>
        </w:numPr>
        <w:shd w:val="clear" w:color="auto" w:fill="FFFFFF"/>
        <w:spacing w:before="100" w:beforeAutospacing="1" w:after="100" w:afterAutospacing="1" w:line="276" w:lineRule="auto"/>
        <w:rPr>
          <w:rFonts w:eastAsia="Aptos" w:cs="Aptos"/>
        </w:rPr>
      </w:pPr>
      <w:r w:rsidRPr="005B05B3">
        <w:rPr>
          <w:rFonts w:eastAsia="Aptos" w:cs="Aptos"/>
        </w:rPr>
        <w:t>had a </w:t>
      </w:r>
      <w:hyperlink r:id="rId30" w:anchor="paragraph-id-2772" w:history="1">
        <w:r w:rsidRPr="005B05B3">
          <w:rPr>
            <w:rFonts w:eastAsia="Aptos" w:cs="Aptos"/>
          </w:rPr>
          <w:t>banning order</w:t>
        </w:r>
      </w:hyperlink>
      <w:r w:rsidRPr="005B05B3">
        <w:rPr>
          <w:rFonts w:eastAsia="Aptos" w:cs="Aptos"/>
        </w:rPr>
        <w:t> in place</w:t>
      </w:r>
    </w:p>
    <w:p w14:paraId="6B115F2B" w14:textId="77777777" w:rsidR="00035D76" w:rsidRPr="005B05B3" w:rsidRDefault="00035D76" w:rsidP="002248D1">
      <w:pPr>
        <w:numPr>
          <w:ilvl w:val="0"/>
          <w:numId w:val="9"/>
        </w:numPr>
        <w:shd w:val="clear" w:color="auto" w:fill="FFFFFF"/>
        <w:spacing w:before="100" w:beforeAutospacing="1" w:after="100" w:afterAutospacing="1" w:line="276" w:lineRule="auto"/>
        <w:rPr>
          <w:rFonts w:eastAsia="Aptos" w:cs="Aptos"/>
        </w:rPr>
      </w:pPr>
      <w:r w:rsidRPr="005B05B3">
        <w:rPr>
          <w:rFonts w:eastAsia="Aptos" w:cs="Aptos"/>
        </w:rPr>
        <w:t>any past convictions for an indictable offence</w:t>
      </w:r>
    </w:p>
    <w:p w14:paraId="147CEA1D" w14:textId="77777777" w:rsidR="00035D76" w:rsidRPr="005B05B3" w:rsidRDefault="00035D76" w:rsidP="002248D1">
      <w:pPr>
        <w:numPr>
          <w:ilvl w:val="0"/>
          <w:numId w:val="9"/>
        </w:numPr>
        <w:shd w:val="clear" w:color="auto" w:fill="FFFFFF"/>
        <w:spacing w:before="100" w:beforeAutospacing="1" w:after="100" w:afterAutospacing="1" w:line="276" w:lineRule="auto"/>
        <w:rPr>
          <w:rFonts w:eastAsia="Aptos" w:cs="Aptos"/>
        </w:rPr>
      </w:pPr>
      <w:r w:rsidRPr="005B05B3">
        <w:rPr>
          <w:rFonts w:eastAsia="Aptos" w:cs="Aptos"/>
        </w:rPr>
        <w:t>been insolvent under administration</w:t>
      </w:r>
    </w:p>
    <w:p w14:paraId="172E06D2" w14:textId="3B79AD25" w:rsidR="00035D76" w:rsidRPr="005B05B3" w:rsidRDefault="00035D76" w:rsidP="002248D1">
      <w:pPr>
        <w:numPr>
          <w:ilvl w:val="0"/>
          <w:numId w:val="9"/>
        </w:numPr>
        <w:shd w:val="clear" w:color="auto" w:fill="FFFFFF"/>
        <w:spacing w:before="100" w:beforeAutospacing="1" w:after="100" w:afterAutospacing="1" w:line="276" w:lineRule="auto"/>
        <w:rPr>
          <w:rFonts w:eastAsia="Aptos" w:cs="Aptos"/>
        </w:rPr>
      </w:pPr>
      <w:r w:rsidRPr="005B05B3">
        <w:rPr>
          <w:rFonts w:eastAsia="Aptos" w:cs="Aptos"/>
        </w:rPr>
        <w:lastRenderedPageBreak/>
        <w:t xml:space="preserve">had adverse findings or enforcement action taken by any relevant authorities (these include </w:t>
      </w:r>
      <w:r w:rsidRPr="005B05B3">
        <w:t xml:space="preserve">bodies </w:t>
      </w:r>
      <w:r w:rsidR="00457E62" w:rsidRPr="005B05B3">
        <w:t>‘</w:t>
      </w:r>
      <w:r w:rsidRPr="005B05B3">
        <w:t>with responsibilities relating to the quality or regulation of services provided to people with disability, older people or children</w:t>
      </w:r>
      <w:r w:rsidR="00457E62" w:rsidRPr="005B05B3">
        <w:t>’</w:t>
      </w:r>
      <w:r w:rsidR="0077198E" w:rsidRPr="005B05B3">
        <w:t>)</w:t>
      </w:r>
    </w:p>
    <w:p w14:paraId="5BC8672D" w14:textId="45F4494B" w:rsidR="00035D76" w:rsidRPr="005B05B3" w:rsidRDefault="00035D76" w:rsidP="002248D1">
      <w:pPr>
        <w:numPr>
          <w:ilvl w:val="0"/>
          <w:numId w:val="9"/>
        </w:numPr>
        <w:shd w:val="clear" w:color="auto" w:fill="FFFFFF"/>
        <w:spacing w:before="100" w:beforeAutospacing="1" w:after="100" w:afterAutospacing="1" w:line="276" w:lineRule="auto"/>
        <w:rPr>
          <w:rFonts w:eastAsia="Aptos" w:cs="Aptos"/>
        </w:rPr>
      </w:pPr>
      <w:r w:rsidRPr="005B05B3">
        <w:rPr>
          <w:rFonts w:eastAsia="Aptos" w:cs="Aptos"/>
        </w:rPr>
        <w:t xml:space="preserve">adverse findings or enforcement action </w:t>
      </w:r>
      <w:r w:rsidRPr="005B05B3">
        <w:t>following an investigation by other bodies including: (i) the Australian Securities and Investment Commission; (ii) the Australian Charities and Not-for-profits Commission; (iii) the Australian Competition and Consumer Commission; (iv) the Australian Prudential Regulation Authority; (v) the Australian Crime Commission; (vi) AUSTRAC; (vii) an equivalent State or Territory</w:t>
      </w:r>
    </w:p>
    <w:p w14:paraId="6D708EA5" w14:textId="77777777" w:rsidR="00035D76" w:rsidRPr="005B05B3" w:rsidRDefault="00035D76" w:rsidP="002248D1">
      <w:pPr>
        <w:numPr>
          <w:ilvl w:val="0"/>
          <w:numId w:val="9"/>
        </w:numPr>
        <w:shd w:val="clear" w:color="auto" w:fill="FFFFFF"/>
        <w:spacing w:before="100" w:beforeAutospacing="1" w:after="100" w:afterAutospacing="1" w:line="276" w:lineRule="auto"/>
        <w:rPr>
          <w:rFonts w:eastAsia="Aptos" w:cs="Aptos"/>
        </w:rPr>
      </w:pPr>
      <w:r w:rsidRPr="005B05B3">
        <w:rPr>
          <w:rFonts w:eastAsia="Aptos" w:cs="Aptos"/>
        </w:rPr>
        <w:t>been the subject of findings or judgement in relation to fraud, misrepresentation, or dishonesty</w:t>
      </w:r>
    </w:p>
    <w:p w14:paraId="7C26A5C3" w14:textId="61469FE2" w:rsidR="4470E432" w:rsidRPr="005B05B3" w:rsidRDefault="00035D76" w:rsidP="002248D1">
      <w:pPr>
        <w:numPr>
          <w:ilvl w:val="0"/>
          <w:numId w:val="9"/>
        </w:numPr>
        <w:shd w:val="clear" w:color="auto" w:fill="FFFFFF"/>
        <w:spacing w:before="100" w:beforeAutospacing="1" w:after="100" w:afterAutospacing="1" w:line="276" w:lineRule="auto"/>
        <w:rPr>
          <w:rFonts w:eastAsia="Aptos" w:cs="Aptos"/>
        </w:rPr>
      </w:pPr>
      <w:r w:rsidRPr="005B05B3">
        <w:rPr>
          <w:rFonts w:eastAsia="Aptos" w:cs="Aptos"/>
        </w:rPr>
        <w:t>been disqualified from managing corporations.</w:t>
      </w:r>
      <w:r w:rsidRPr="005B05B3">
        <w:rPr>
          <w:rStyle w:val="FootnoteReference"/>
          <w:rFonts w:eastAsia="Aptos" w:cs="Aptos"/>
        </w:rPr>
        <w:footnoteReference w:id="226"/>
      </w:r>
    </w:p>
    <w:p w14:paraId="47FA0AC3" w14:textId="121512A8" w:rsidR="00035D76" w:rsidRPr="005B05B3" w:rsidRDefault="00035D76" w:rsidP="00035D76">
      <w:pPr>
        <w:spacing w:line="278" w:lineRule="auto"/>
        <w:rPr>
          <w:rFonts w:eastAsia="Aptos" w:cs="Aptos"/>
        </w:rPr>
      </w:pPr>
      <w:r w:rsidRPr="005B05B3">
        <w:rPr>
          <w:rFonts w:eastAsia="Aptos" w:cs="Aptos"/>
        </w:rPr>
        <w:t xml:space="preserve">This will include the identification of key personnel. The Taskforce has been alarmed by </w:t>
      </w:r>
      <w:r w:rsidR="0077718C" w:rsidRPr="005B05B3">
        <w:rPr>
          <w:rFonts w:eastAsia="Aptos" w:cs="Aptos"/>
        </w:rPr>
        <w:t xml:space="preserve">information </w:t>
      </w:r>
      <w:r w:rsidRPr="005B05B3">
        <w:rPr>
          <w:rFonts w:eastAsia="Aptos" w:cs="Aptos"/>
        </w:rPr>
        <w:t xml:space="preserve">received from </w:t>
      </w:r>
      <w:r w:rsidR="0077718C" w:rsidRPr="005B05B3">
        <w:rPr>
          <w:rFonts w:eastAsia="Aptos" w:cs="Aptos"/>
        </w:rPr>
        <w:t xml:space="preserve">members of </w:t>
      </w:r>
      <w:r w:rsidRPr="005B05B3">
        <w:rPr>
          <w:rFonts w:eastAsia="Aptos" w:cs="Aptos"/>
        </w:rPr>
        <w:t>the Fraud Fusion Taskforce that in the current system, the identification of businesses and individuals is not verified.</w:t>
      </w:r>
      <w:r w:rsidRPr="005B05B3">
        <w:rPr>
          <w:rStyle w:val="FootnoteReference"/>
          <w:rFonts w:eastAsia="Aptos" w:cs="Aptos"/>
        </w:rPr>
        <w:footnoteReference w:id="227"/>
      </w:r>
      <w:r w:rsidRPr="005B05B3">
        <w:rPr>
          <w:rFonts w:eastAsia="Aptos" w:cs="Aptos"/>
        </w:rPr>
        <w:t xml:space="preserve"> </w:t>
      </w:r>
      <w:r w:rsidR="00BB798E">
        <w:rPr>
          <w:rFonts w:eastAsia="Aptos" w:cs="Aptos"/>
        </w:rPr>
        <w:t xml:space="preserve">Current requirements for </w:t>
      </w:r>
      <w:r w:rsidR="00890ABE">
        <w:rPr>
          <w:rFonts w:eastAsia="Aptos" w:cs="Aptos"/>
        </w:rPr>
        <w:t>t</w:t>
      </w:r>
      <w:r w:rsidRPr="005B05B3">
        <w:rPr>
          <w:rFonts w:eastAsia="Aptos" w:cs="Aptos"/>
        </w:rPr>
        <w:t xml:space="preserve">his leaves a gap </w:t>
      </w:r>
      <w:r w:rsidR="6DB32E87" w:rsidRPr="005B05B3">
        <w:rPr>
          <w:rFonts w:eastAsia="Aptos" w:cs="Aptos"/>
        </w:rPr>
        <w:t>that</w:t>
      </w:r>
      <w:r w:rsidRPr="005B05B3">
        <w:rPr>
          <w:rFonts w:eastAsia="Aptos" w:cs="Aptos"/>
        </w:rPr>
        <w:t xml:space="preserve"> is exploited with fake providers or fake profiles being created to act fraudulently and take money from the NDIS. To assist in closing this gap, identification will be an important component of registration. Existing systems that are reliable and strong, such as myGov and Single Touch Payroll may be used to verify identification where appropriate.</w:t>
      </w:r>
    </w:p>
    <w:p w14:paraId="3EC5B55B" w14:textId="4BD90DE0" w:rsidR="006A244B" w:rsidRPr="005B05B3" w:rsidRDefault="5CD01E27" w:rsidP="4470E432">
      <w:pPr>
        <w:spacing w:line="278" w:lineRule="auto"/>
        <w:rPr>
          <w:rFonts w:eastAsia="Aptos" w:cs="Aptos"/>
        </w:rPr>
      </w:pPr>
      <w:r w:rsidRPr="005B05B3">
        <w:rPr>
          <w:rFonts w:eastAsia="Aptos" w:cs="Aptos"/>
        </w:rPr>
        <w:t>To ensu</w:t>
      </w:r>
      <w:r w:rsidR="2D4747FF" w:rsidRPr="005B05B3">
        <w:rPr>
          <w:rFonts w:eastAsia="Aptos" w:cs="Aptos"/>
        </w:rPr>
        <w:t>r</w:t>
      </w:r>
      <w:r w:rsidRPr="005B05B3">
        <w:rPr>
          <w:rFonts w:eastAsia="Aptos" w:cs="Aptos"/>
        </w:rPr>
        <w:t xml:space="preserve">e consistency in Identity Proofing and Credentials across </w:t>
      </w:r>
      <w:r w:rsidR="00462E13" w:rsidRPr="005B05B3">
        <w:rPr>
          <w:rFonts w:eastAsia="Aptos" w:cs="Aptos"/>
        </w:rPr>
        <w:t>i</w:t>
      </w:r>
      <w:r w:rsidRPr="005B05B3">
        <w:rPr>
          <w:rFonts w:eastAsia="Aptos" w:cs="Aptos"/>
        </w:rPr>
        <w:t>ndividual/</w:t>
      </w:r>
      <w:r w:rsidR="00462E13" w:rsidRPr="005B05B3">
        <w:rPr>
          <w:rFonts w:eastAsia="Aptos" w:cs="Aptos"/>
        </w:rPr>
        <w:t>p</w:t>
      </w:r>
      <w:r w:rsidRPr="005B05B3">
        <w:rPr>
          <w:rFonts w:eastAsia="Aptos" w:cs="Aptos"/>
        </w:rPr>
        <w:t xml:space="preserve">rovider jurisdictional spaces. The identities and the digital credentials associated with </w:t>
      </w:r>
      <w:r w:rsidR="00462E13" w:rsidRPr="005B05B3">
        <w:rPr>
          <w:rFonts w:eastAsia="Aptos" w:cs="Aptos"/>
        </w:rPr>
        <w:t>p</w:t>
      </w:r>
      <w:r w:rsidRPr="005B05B3">
        <w:rPr>
          <w:rFonts w:eastAsia="Aptos" w:cs="Aptos"/>
        </w:rPr>
        <w:t xml:space="preserve">rovider </w:t>
      </w:r>
      <w:r w:rsidR="00B60990" w:rsidRPr="005B05B3">
        <w:rPr>
          <w:rFonts w:eastAsia="Aptos" w:cs="Aptos"/>
        </w:rPr>
        <w:t>e</w:t>
      </w:r>
      <w:r w:rsidRPr="005B05B3">
        <w:rPr>
          <w:rFonts w:eastAsia="Aptos" w:cs="Aptos"/>
        </w:rPr>
        <w:t>ntities must be reconcilable against real in</w:t>
      </w:r>
      <w:r w:rsidR="10051C70" w:rsidRPr="005B05B3">
        <w:rPr>
          <w:rFonts w:eastAsia="Aptos" w:cs="Aptos"/>
        </w:rPr>
        <w:t xml:space="preserve">dividuals and real </w:t>
      </w:r>
      <w:r w:rsidR="11BFFA07" w:rsidRPr="005B05B3">
        <w:rPr>
          <w:rFonts w:eastAsia="Aptos" w:cs="Aptos"/>
        </w:rPr>
        <w:t>entities</w:t>
      </w:r>
      <w:r w:rsidR="10051C70" w:rsidRPr="005B05B3">
        <w:rPr>
          <w:rFonts w:eastAsia="Aptos" w:cs="Aptos"/>
        </w:rPr>
        <w:t xml:space="preserve"> in the economy. Government must be confident that people associated with an entity are real human beings who are known in other parts of the economy (e.g. </w:t>
      </w:r>
      <w:r w:rsidR="00860E82" w:rsidRPr="005B05B3">
        <w:rPr>
          <w:rFonts w:eastAsia="Aptos" w:cs="Aptos"/>
        </w:rPr>
        <w:t>d</w:t>
      </w:r>
      <w:r w:rsidR="10051C70" w:rsidRPr="005B05B3">
        <w:rPr>
          <w:rFonts w:eastAsia="Aptos" w:cs="Aptos"/>
        </w:rPr>
        <w:t xml:space="preserve">ocument </w:t>
      </w:r>
      <w:r w:rsidR="00860E82" w:rsidRPr="005B05B3">
        <w:rPr>
          <w:rFonts w:eastAsia="Aptos" w:cs="Aptos"/>
        </w:rPr>
        <w:t>v</w:t>
      </w:r>
      <w:r w:rsidR="10051C70" w:rsidRPr="005B05B3">
        <w:rPr>
          <w:rFonts w:eastAsia="Aptos" w:cs="Aptos"/>
        </w:rPr>
        <w:t xml:space="preserve">erification </w:t>
      </w:r>
      <w:r w:rsidR="005A5E59" w:rsidRPr="005B05B3">
        <w:rPr>
          <w:rFonts w:eastAsia="Aptos" w:cs="Aptos"/>
        </w:rPr>
        <w:t>c</w:t>
      </w:r>
      <w:r w:rsidR="10051C70" w:rsidRPr="005B05B3">
        <w:rPr>
          <w:rFonts w:eastAsia="Aptos" w:cs="Aptos"/>
        </w:rPr>
        <w:t xml:space="preserve">hecks, TFN matching, Director ID etc.). </w:t>
      </w:r>
    </w:p>
    <w:p w14:paraId="2F08EF0A" w14:textId="77777777" w:rsidR="00642379" w:rsidRPr="005B05B3" w:rsidRDefault="2E89DB4E" w:rsidP="4470E432">
      <w:pPr>
        <w:spacing w:line="278" w:lineRule="auto"/>
        <w:rPr>
          <w:rFonts w:eastAsia="Aptos" w:cs="Aptos"/>
        </w:rPr>
      </w:pPr>
      <w:r w:rsidRPr="005B05B3">
        <w:rPr>
          <w:rFonts w:eastAsia="Aptos" w:cs="Aptos"/>
        </w:rPr>
        <w:t>Co-design with the disability community will be required to develop this because of issues raised with the Taskforce abou</w:t>
      </w:r>
      <w:r w:rsidR="561B15D0" w:rsidRPr="005B05B3">
        <w:rPr>
          <w:rFonts w:eastAsia="Aptos" w:cs="Aptos"/>
        </w:rPr>
        <w:t>t</w:t>
      </w:r>
      <w:r w:rsidRPr="005B05B3">
        <w:rPr>
          <w:rFonts w:eastAsia="Aptos" w:cs="Aptos"/>
        </w:rPr>
        <w:t xml:space="preserve"> Participants and their family members not having identification documents such as driver’s licences or passports.</w:t>
      </w:r>
    </w:p>
    <w:p w14:paraId="4F231BF7" w14:textId="599C628A" w:rsidR="5CD01E27" w:rsidRPr="005B05B3" w:rsidRDefault="00642379" w:rsidP="001D5DC8">
      <w:pPr>
        <w:pStyle w:val="Quote"/>
      </w:pPr>
      <w:r w:rsidRPr="003D5E90">
        <w:t xml:space="preserve">We have not been able to utilise the NDIS Commission worker screening database. Although the worker screening data base is available to self </w:t>
      </w:r>
      <w:r w:rsidRPr="003D5E90">
        <w:lastRenderedPageBreak/>
        <w:t>managers, it requires a driver’s licence or a passport to satisfy identity requirements. As I don’t drive, I was unable to meet these requirements.</w:t>
      </w:r>
      <w:r w:rsidR="5CD01E27" w:rsidRPr="00DD0BCE">
        <w:rPr>
          <w:rStyle w:val="FootnoteReference"/>
          <w:rFonts w:eastAsia="Aptos" w:cs="Aptos"/>
          <w:i w:val="0"/>
          <w:iCs w:val="0"/>
        </w:rPr>
        <w:footnoteReference w:id="228"/>
      </w:r>
    </w:p>
    <w:p w14:paraId="5E7BC7B6" w14:textId="77777777" w:rsidR="00035D76" w:rsidRPr="005B05B3" w:rsidRDefault="00035D76" w:rsidP="00035D76">
      <w:pPr>
        <w:spacing w:line="278" w:lineRule="auto"/>
        <w:rPr>
          <w:rFonts w:eastAsia="Aptos" w:cs="Aptos"/>
        </w:rPr>
      </w:pPr>
      <w:r w:rsidRPr="005B05B3">
        <w:rPr>
          <w:rFonts w:eastAsia="Aptos" w:cs="Aptos"/>
        </w:rPr>
        <w:t>When changes are made to key personnel or the business, the NDIS Commission should be notified within a specific timeframe and no more than 21 days. The NDIS Commission must have access to real time data of the identification information to ensure accuracy and enable checks to be performed.</w:t>
      </w:r>
      <w:r w:rsidRPr="005B05B3">
        <w:rPr>
          <w:rStyle w:val="FootnoteReference"/>
          <w:rFonts w:eastAsia="Aptos" w:cs="Aptos"/>
        </w:rPr>
        <w:footnoteReference w:id="229"/>
      </w:r>
    </w:p>
    <w:p w14:paraId="4DA96809" w14:textId="0BFD8849" w:rsidR="00035D76" w:rsidRPr="005B05B3" w:rsidRDefault="00035D76" w:rsidP="009F682D">
      <w:pPr>
        <w:pStyle w:val="TSDAltHeading3"/>
      </w:pPr>
      <w:bookmarkStart w:id="108" w:name="_Toc170128765"/>
      <w:r w:rsidRPr="005B05B3">
        <w:t>Code of Conduct attestation</w:t>
      </w:r>
      <w:bookmarkEnd w:id="108"/>
    </w:p>
    <w:p w14:paraId="7708EFB7" w14:textId="6B7742A5" w:rsidR="00035D76" w:rsidRPr="005B05B3" w:rsidRDefault="00035D76" w:rsidP="00035D76">
      <w:r w:rsidRPr="005B05B3">
        <w:t xml:space="preserve">Acknowledging that the current Code of Conduct is reportedly poorly understood and known, but also recognising the importance of the Code of Conduct in delivering quality and safe disability support services, under the proposed model, </w:t>
      </w:r>
      <w:r w:rsidR="00C529E3" w:rsidRPr="005B05B3">
        <w:t>p</w:t>
      </w:r>
      <w:r w:rsidRPr="005B05B3">
        <w:t>roviders need to provide a Code of Conduct attestation, including those delivering low-risk supports. The Taskforce recommend</w:t>
      </w:r>
      <w:r w:rsidR="4AA35C46" w:rsidRPr="005B05B3">
        <w:t>s</w:t>
      </w:r>
      <w:r w:rsidRPr="005B05B3">
        <w:t xml:space="preserve"> that this be an online form (with hard copy options) available from the NDIS Commission for the </w:t>
      </w:r>
      <w:r w:rsidR="005349B8" w:rsidRPr="005B05B3">
        <w:t>p</w:t>
      </w:r>
      <w:r w:rsidRPr="005B05B3">
        <w:t xml:space="preserve">rovider and </w:t>
      </w:r>
      <w:r w:rsidR="005349B8" w:rsidRPr="005B05B3">
        <w:t>w</w:t>
      </w:r>
      <w:r w:rsidRPr="005B05B3">
        <w:t xml:space="preserve">orkers (within the </w:t>
      </w:r>
      <w:r w:rsidR="006257B7" w:rsidRPr="005B05B3">
        <w:t>p</w:t>
      </w:r>
      <w:r w:rsidRPr="005B05B3">
        <w:t>rovider) to complete to confirm they have read and understood</w:t>
      </w:r>
      <w:r w:rsidR="01F4ACC2" w:rsidRPr="005B05B3">
        <w:t xml:space="preserve"> and confirm their ongoing commitment to adhering to</w:t>
      </w:r>
      <w:r w:rsidRPr="005B05B3">
        <w:t xml:space="preserve"> the Code of Conduct. Each worker should be required, as part of the attestation, to answer some short form, multiple choice questions to demonstrate their comprehension of the Code of Conduct.</w:t>
      </w:r>
    </w:p>
    <w:p w14:paraId="2CE14681" w14:textId="77777777" w:rsidR="00035D76" w:rsidRPr="005B05B3" w:rsidRDefault="00035D76" w:rsidP="00035D76">
      <w:r w:rsidRPr="005B05B3">
        <w:t>It is important that the attestation be available in different languages and accessible formats.</w:t>
      </w:r>
    </w:p>
    <w:p w14:paraId="595A827A" w14:textId="419BAB0A" w:rsidR="00035D76" w:rsidRPr="005B05B3" w:rsidRDefault="00035D76" w:rsidP="009F682D">
      <w:pPr>
        <w:pStyle w:val="TSDAltHeading3"/>
      </w:pPr>
      <w:bookmarkStart w:id="109" w:name="_Toc170128766"/>
      <w:r w:rsidRPr="005B05B3">
        <w:t>Worker screening attestation</w:t>
      </w:r>
      <w:bookmarkEnd w:id="109"/>
    </w:p>
    <w:p w14:paraId="004C6455" w14:textId="6401A261" w:rsidR="00035D76" w:rsidRPr="005B05B3" w:rsidRDefault="00035D76" w:rsidP="00035D76">
      <w:r w:rsidRPr="005B05B3">
        <w:t xml:space="preserve">All </w:t>
      </w:r>
      <w:r w:rsidR="00C529E3" w:rsidRPr="005B05B3">
        <w:t>p</w:t>
      </w:r>
      <w:r w:rsidRPr="005B05B3">
        <w:t xml:space="preserve">roviders or </w:t>
      </w:r>
      <w:r w:rsidR="006A244B" w:rsidRPr="005B05B3">
        <w:t>w</w:t>
      </w:r>
      <w:r w:rsidRPr="005B05B3">
        <w:t xml:space="preserve">orkers that have undergone </w:t>
      </w:r>
      <w:r w:rsidR="00091258" w:rsidRPr="005B05B3">
        <w:t>w</w:t>
      </w:r>
      <w:r w:rsidRPr="005B05B3">
        <w:t xml:space="preserve">orker </w:t>
      </w:r>
      <w:r w:rsidR="00091258" w:rsidRPr="005B05B3">
        <w:t>s</w:t>
      </w:r>
      <w:r w:rsidRPr="005B05B3">
        <w:t>creening in accordance with their Provider Obligation, must provide the NDIS Commission with confirmation of the screening including names of the worker or personnel, expiry of check and role in the organisation.</w:t>
      </w:r>
    </w:p>
    <w:p w14:paraId="0DB1B479" w14:textId="77777777" w:rsidR="00035D76" w:rsidRPr="005B05B3" w:rsidRDefault="00035D76" w:rsidP="00035D76">
      <w:r w:rsidRPr="005B05B3">
        <w:t>Real time data should be available to the NDIS Commission as to the employment status of the worker or changes in their screening status (which would be available via the National Database, operated by the NDIS Commission).</w:t>
      </w:r>
    </w:p>
    <w:p w14:paraId="75654425" w14:textId="0C876789" w:rsidR="00035D76" w:rsidRPr="005B05B3" w:rsidRDefault="00035D76" w:rsidP="009F682D">
      <w:pPr>
        <w:pStyle w:val="TSDAltHeading3"/>
      </w:pPr>
      <w:bookmarkStart w:id="110" w:name="_Toc170128767"/>
      <w:r w:rsidRPr="005B05B3">
        <w:t xml:space="preserve">Audits by the </w:t>
      </w:r>
      <w:r w:rsidR="00611A4A" w:rsidRPr="005B05B3">
        <w:t>C</w:t>
      </w:r>
      <w:r w:rsidRPr="005B05B3">
        <w:t xml:space="preserve">ommission and </w:t>
      </w:r>
      <w:r w:rsidR="00611A4A" w:rsidRPr="005B05B3">
        <w:t>a</w:t>
      </w:r>
      <w:r w:rsidRPr="005B05B3">
        <w:t xml:space="preserve">udits by </w:t>
      </w:r>
      <w:r w:rsidR="00E547BA" w:rsidRPr="005B05B3">
        <w:t>a</w:t>
      </w:r>
      <w:r w:rsidRPr="005B05B3">
        <w:t xml:space="preserve">pproved </w:t>
      </w:r>
      <w:r w:rsidR="00E547BA" w:rsidRPr="005B05B3">
        <w:t>q</w:t>
      </w:r>
      <w:r w:rsidRPr="005B05B3">
        <w:t xml:space="preserve">uality </w:t>
      </w:r>
      <w:r w:rsidR="00E547BA" w:rsidRPr="005B05B3">
        <w:t>a</w:t>
      </w:r>
      <w:r w:rsidRPr="005B05B3">
        <w:t>uditor</w:t>
      </w:r>
      <w:bookmarkEnd w:id="110"/>
    </w:p>
    <w:p w14:paraId="68979A18" w14:textId="068044E9" w:rsidR="00035D76" w:rsidRPr="005B05B3" w:rsidRDefault="00035D76" w:rsidP="20E66040">
      <w:pPr>
        <w:spacing w:line="278" w:lineRule="auto"/>
        <w:rPr>
          <w:rFonts w:eastAsia="Aptos" w:cs="Aptos"/>
        </w:rPr>
      </w:pPr>
      <w:r w:rsidRPr="005B05B3">
        <w:rPr>
          <w:rFonts w:eastAsia="Aptos" w:cs="Aptos"/>
        </w:rPr>
        <w:t xml:space="preserve">Currently, registered providers are subject to audits. Even though there is a risk-proportionate approach to auditing that distinguishes between high and low-risk </w:t>
      </w:r>
      <w:r w:rsidRPr="005B05B3">
        <w:rPr>
          <w:rFonts w:eastAsia="Aptos" w:cs="Aptos"/>
        </w:rPr>
        <w:lastRenderedPageBreak/>
        <w:t>supports through the implementation of verification and certification audits, the Taskforce has heard that the current audit process is not suitable.</w:t>
      </w:r>
    </w:p>
    <w:p w14:paraId="508D13A5" w14:textId="73DDAD96" w:rsidR="00035D76" w:rsidRPr="005B05B3" w:rsidRDefault="785669E0" w:rsidP="00FA0B19">
      <w:pPr>
        <w:pStyle w:val="Quote"/>
      </w:pPr>
      <w:r w:rsidRPr="005B05B3">
        <w:t>The audit process is not keeping anyone safe and not enforcing the conditions of registration. Auditors however</w:t>
      </w:r>
      <w:r w:rsidR="004E6EC7" w:rsidRPr="005B05B3">
        <w:t>,</w:t>
      </w:r>
      <w:r w:rsidRPr="005B05B3">
        <w:t xml:space="preserve"> are making a lot of money and the providers just have to wait (up to 18 months or more for any response from the commission) I think any new process to address this needs to be first and foremost, resourced appropriately. Timely actions are what will keep participants safe.</w:t>
      </w:r>
      <w:r w:rsidR="00035D76" w:rsidRPr="00DD0BCE">
        <w:rPr>
          <w:rStyle w:val="FootnoteReference"/>
          <w:i w:val="0"/>
          <w:iCs w:val="0"/>
        </w:rPr>
        <w:footnoteReference w:id="230"/>
      </w:r>
    </w:p>
    <w:p w14:paraId="6A2B6CA0" w14:textId="3A12C197" w:rsidR="00035D76" w:rsidRPr="005B05B3" w:rsidRDefault="00035D76" w:rsidP="3C61BE87">
      <w:pPr>
        <w:spacing w:line="278" w:lineRule="auto"/>
        <w:rPr>
          <w:rFonts w:eastAsia="Aptos" w:cs="Aptos"/>
        </w:rPr>
      </w:pPr>
      <w:r w:rsidRPr="005B05B3">
        <w:rPr>
          <w:rFonts w:eastAsia="Aptos" w:cs="Aptos"/>
        </w:rPr>
        <w:t>We have heard that audits are extremely costly, take a long time, and are in some cases conducted by inexperienced or poorly skilled auditors and at times do not audit the right settings to determine quality and safety in services</w:t>
      </w:r>
      <w:r w:rsidR="7B33EFC5" w:rsidRPr="005B05B3">
        <w:rPr>
          <w:rFonts w:eastAsia="Aptos" w:cs="Aptos"/>
        </w:rPr>
        <w:t>.</w:t>
      </w:r>
    </w:p>
    <w:p w14:paraId="29B5DA80" w14:textId="436D6338" w:rsidR="00035D76" w:rsidRPr="005B05B3" w:rsidRDefault="7B33EFC5" w:rsidP="2319A92E">
      <w:pPr>
        <w:spacing w:line="278" w:lineRule="auto"/>
        <w:ind w:left="720"/>
        <w:rPr>
          <w:rFonts w:eastAsia="Aptos" w:cs="Aptos"/>
        </w:rPr>
      </w:pPr>
      <w:r w:rsidRPr="005B05B3">
        <w:rPr>
          <w:rStyle w:val="QuoteChar"/>
          <w:rFonts w:ascii="Aptos" w:hAnsi="Aptos"/>
        </w:rPr>
        <w:t>Our experience is the system relies on audit and the audit process is conducted by accountants or new entrants following an accountant’s script – focus areas are business based rather than focused on participant welfare and outcomes (e.g. no auditor has ever commented on progress notes, suitability of participant goals, frequency of therapy or any matter related to scheme involvement).</w:t>
      </w:r>
      <w:r w:rsidR="00035D76" w:rsidRPr="005B05B3">
        <w:rPr>
          <w:rStyle w:val="FootnoteReference"/>
          <w:rFonts w:eastAsia="Aptos" w:cs="Aptos"/>
        </w:rPr>
        <w:footnoteReference w:id="231"/>
      </w:r>
    </w:p>
    <w:p w14:paraId="48F444DF" w14:textId="2B746F8E" w:rsidR="00035D76" w:rsidRPr="005B05B3" w:rsidRDefault="00035D76" w:rsidP="00035D76">
      <w:pPr>
        <w:spacing w:line="278" w:lineRule="auto"/>
        <w:rPr>
          <w:rFonts w:eastAsia="Aptos" w:cs="Aptos"/>
        </w:rPr>
      </w:pPr>
      <w:r w:rsidRPr="005B05B3">
        <w:rPr>
          <w:rFonts w:eastAsia="Aptos" w:cs="Aptos"/>
        </w:rPr>
        <w:t>We have also heard that for rural and remote areas, including Central Australia, the costs of the audits are very high due to cost of travel to those areas.</w:t>
      </w:r>
    </w:p>
    <w:p w14:paraId="6E94F071" w14:textId="2CE852C9" w:rsidR="41B19BFF" w:rsidRPr="005B05B3" w:rsidRDefault="41B19BFF" w:rsidP="2319A92E">
      <w:pPr>
        <w:spacing w:line="278" w:lineRule="auto"/>
        <w:ind w:left="720"/>
        <w:rPr>
          <w:rStyle w:val="QuoteChar"/>
          <w:rFonts w:ascii="Aptos" w:hAnsi="Aptos"/>
        </w:rPr>
      </w:pPr>
      <w:r w:rsidRPr="005B05B3">
        <w:rPr>
          <w:rStyle w:val="QuoteChar"/>
          <w:rFonts w:ascii="Aptos" w:hAnsi="Aptos"/>
        </w:rPr>
        <w:t>As a registered provider, the [</w:t>
      </w:r>
      <w:r w:rsidR="006257B7" w:rsidRPr="005B05B3">
        <w:rPr>
          <w:rStyle w:val="QuoteChar"/>
          <w:rFonts w:ascii="Aptos" w:hAnsi="Aptos"/>
        </w:rPr>
        <w:t>p</w:t>
      </w:r>
      <w:r w:rsidRPr="005B05B3">
        <w:rPr>
          <w:rStyle w:val="QuoteChar"/>
          <w:rFonts w:ascii="Aptos" w:hAnsi="Aptos"/>
        </w:rPr>
        <w:t>rovider]</w:t>
      </w:r>
      <w:r w:rsidR="109A9CD2" w:rsidRPr="005B05B3">
        <w:rPr>
          <w:rStyle w:val="QuoteChar"/>
          <w:rFonts w:ascii="Aptos" w:hAnsi="Aptos"/>
        </w:rPr>
        <w:t xml:space="preserve"> team</w:t>
      </w:r>
      <w:r w:rsidRPr="005B05B3">
        <w:rPr>
          <w:rStyle w:val="QuoteChar"/>
          <w:rFonts w:ascii="Aptos" w:hAnsi="Aptos"/>
        </w:rPr>
        <w:t xml:space="preserve"> is currently subject to audits which are expensive in both time and direct costs. Regular audits cost around $10,000 and because of the remoteness of Alice Springs, we are also charged for airfares and accommodation for auditors. Audits require lengthy time spent in preparation as well as time during the actual audit period. So, too, do the mid-term audits. Because of the unique situation of A</w:t>
      </w:r>
      <w:r w:rsidRPr="005B05B3">
        <w:rPr>
          <w:rStyle w:val="QuoteChar"/>
        </w:rPr>
        <w:t>ṉ</w:t>
      </w:r>
      <w:r w:rsidRPr="005B05B3">
        <w:rPr>
          <w:rStyle w:val="QuoteChar"/>
          <w:rFonts w:ascii="Aptos" w:hAnsi="Aptos"/>
        </w:rPr>
        <w:t>angu, each and every audit also involves considerable time orientating auditors in order to give them some understanding of the remote situation and the unique social and cultural requirements of A</w:t>
      </w:r>
      <w:r w:rsidRPr="005B05B3">
        <w:rPr>
          <w:rStyle w:val="QuoteChar"/>
        </w:rPr>
        <w:t>ṉ</w:t>
      </w:r>
      <w:r w:rsidRPr="005B05B3">
        <w:rPr>
          <w:rStyle w:val="QuoteChar"/>
          <w:rFonts w:ascii="Aptos" w:hAnsi="Aptos"/>
        </w:rPr>
        <w:t>angu living in a traditional way in remote communities.</w:t>
      </w:r>
      <w:r w:rsidRPr="005B05B3">
        <w:rPr>
          <w:rStyle w:val="FootnoteReference"/>
        </w:rPr>
        <w:footnoteReference w:id="232"/>
      </w:r>
    </w:p>
    <w:p w14:paraId="5E02ED9C" w14:textId="4B1FB68C" w:rsidR="00035D76" w:rsidRPr="005B05B3" w:rsidRDefault="00035D76" w:rsidP="00AA376C">
      <w:pPr>
        <w:spacing w:after="120" w:line="278" w:lineRule="auto"/>
        <w:rPr>
          <w:rFonts w:eastAsia="Aptos" w:cs="Aptos"/>
        </w:rPr>
      </w:pPr>
      <w:r w:rsidRPr="005B05B3">
        <w:rPr>
          <w:rFonts w:eastAsia="Aptos" w:cs="Aptos"/>
        </w:rPr>
        <w:t xml:space="preserve">We recommend that all </w:t>
      </w:r>
      <w:r w:rsidR="6475D118" w:rsidRPr="005B05B3">
        <w:rPr>
          <w:rFonts w:eastAsia="Aptos" w:cs="Aptos"/>
        </w:rPr>
        <w:t xml:space="preserve">Advanced and General Registered </w:t>
      </w:r>
      <w:r w:rsidR="00C529E3" w:rsidRPr="005B05B3">
        <w:rPr>
          <w:rFonts w:eastAsia="Aptos" w:cs="Aptos"/>
        </w:rPr>
        <w:t>p</w:t>
      </w:r>
      <w:r w:rsidR="6475D118" w:rsidRPr="005B05B3">
        <w:rPr>
          <w:rFonts w:eastAsia="Aptos" w:cs="Aptos"/>
        </w:rPr>
        <w:t>roviders</w:t>
      </w:r>
      <w:r w:rsidRPr="005B05B3">
        <w:rPr>
          <w:rFonts w:eastAsia="Aptos" w:cs="Aptos"/>
        </w:rPr>
        <w:t xml:space="preserve"> </w:t>
      </w:r>
      <w:r w:rsidR="156AC2DD" w:rsidRPr="005B05B3">
        <w:rPr>
          <w:rFonts w:eastAsia="Aptos" w:cs="Aptos"/>
        </w:rPr>
        <w:t>are</w:t>
      </w:r>
      <w:r w:rsidRPr="005B05B3">
        <w:rPr>
          <w:rFonts w:eastAsia="Aptos" w:cs="Aptos"/>
        </w:rPr>
        <w:t xml:space="preserve"> required to be subject to audits, but the audit process </w:t>
      </w:r>
      <w:r w:rsidR="4B6DC94D" w:rsidRPr="005B05B3">
        <w:rPr>
          <w:rFonts w:eastAsia="Aptos" w:cs="Aptos"/>
        </w:rPr>
        <w:t xml:space="preserve">be </w:t>
      </w:r>
      <w:r w:rsidRPr="005B05B3">
        <w:rPr>
          <w:rFonts w:eastAsia="Aptos" w:cs="Aptos"/>
        </w:rPr>
        <w:t xml:space="preserve">redesigned. The redesign should be done in a co-design format with people with disabilities, their families and the sector. The NDIS Commission should lead the redesign process. The purpose of the audit should evaluate the </w:t>
      </w:r>
      <w:r w:rsidR="006257B7" w:rsidRPr="005B05B3">
        <w:rPr>
          <w:rFonts w:eastAsia="Aptos" w:cs="Aptos"/>
        </w:rPr>
        <w:t>p</w:t>
      </w:r>
      <w:r w:rsidRPr="005B05B3">
        <w:rPr>
          <w:rFonts w:eastAsia="Aptos" w:cs="Aptos"/>
        </w:rPr>
        <w:t xml:space="preserve">rovider’s fulfilment of the obligations required by registration. Failure to </w:t>
      </w:r>
      <w:r w:rsidRPr="005B05B3">
        <w:rPr>
          <w:rFonts w:eastAsia="Aptos" w:cs="Aptos"/>
        </w:rPr>
        <w:lastRenderedPageBreak/>
        <w:t>meet an audit, could see the registration restricted or revoked. The redesign should consider the following elements:</w:t>
      </w:r>
    </w:p>
    <w:p w14:paraId="31626844" w14:textId="3FDAE734" w:rsidR="00035D76" w:rsidRPr="005B05B3" w:rsidRDefault="00F51B01" w:rsidP="002248D1">
      <w:pPr>
        <w:pStyle w:val="ListParagraph"/>
        <w:numPr>
          <w:ilvl w:val="0"/>
          <w:numId w:val="28"/>
        </w:numPr>
        <w:spacing w:after="160" w:line="278" w:lineRule="auto"/>
        <w:ind w:left="851"/>
        <w:rPr>
          <w:rFonts w:eastAsia="Aptos" w:cs="Aptos"/>
        </w:rPr>
      </w:pPr>
      <w:r w:rsidRPr="005B05B3">
        <w:rPr>
          <w:rFonts w:eastAsia="Aptos" w:cs="Aptos"/>
        </w:rPr>
        <w:t>Auditing</w:t>
      </w:r>
      <w:r w:rsidR="00035D76" w:rsidRPr="005B05B3">
        <w:rPr>
          <w:rFonts w:eastAsia="Aptos" w:cs="Aptos"/>
        </w:rPr>
        <w:t xml:space="preserve"> should be risk-proportionate and respond to service type and size of service, taking a proportionate and consistent approach. Past experience of the Provider to fulfil audited obligations should be recognised, leading to </w:t>
      </w:r>
      <w:r w:rsidR="00AE18BE" w:rsidRPr="005B05B3">
        <w:rPr>
          <w:rFonts w:eastAsia="Aptos" w:cs="Aptos"/>
        </w:rPr>
        <w:t>‘</w:t>
      </w:r>
      <w:r w:rsidR="00035D76" w:rsidRPr="005B05B3">
        <w:rPr>
          <w:rFonts w:eastAsia="Aptos" w:cs="Aptos"/>
        </w:rPr>
        <w:t>earned autonomy</w:t>
      </w:r>
      <w:r w:rsidR="00AE18BE" w:rsidRPr="005B05B3">
        <w:rPr>
          <w:rFonts w:eastAsia="Aptos" w:cs="Aptos"/>
        </w:rPr>
        <w:t>’</w:t>
      </w:r>
      <w:r w:rsidR="00035D76" w:rsidRPr="005B05B3">
        <w:rPr>
          <w:rFonts w:eastAsia="Aptos" w:cs="Aptos"/>
        </w:rPr>
        <w:t>.</w:t>
      </w:r>
    </w:p>
    <w:p w14:paraId="6099979E" w14:textId="53AD4470" w:rsidR="3C892250" w:rsidRPr="005B05B3" w:rsidRDefault="3C892250" w:rsidP="002248D1">
      <w:pPr>
        <w:pStyle w:val="ListParagraph"/>
        <w:numPr>
          <w:ilvl w:val="0"/>
          <w:numId w:val="28"/>
        </w:numPr>
        <w:spacing w:after="160" w:line="278" w:lineRule="auto"/>
        <w:ind w:left="851"/>
        <w:rPr>
          <w:rFonts w:eastAsia="Aptos" w:cs="Aptos"/>
        </w:rPr>
      </w:pPr>
      <w:r w:rsidRPr="005B05B3">
        <w:rPr>
          <w:rFonts w:eastAsia="Aptos" w:cs="Aptos"/>
        </w:rPr>
        <w:t>There should be an in-depth observational audit of compliance with relevant practice standards</w:t>
      </w:r>
      <w:r w:rsidR="29D7921C" w:rsidRPr="005B05B3">
        <w:rPr>
          <w:rFonts w:eastAsia="Aptos" w:cs="Aptos"/>
        </w:rPr>
        <w:t xml:space="preserve"> for those registered in the Advanced Registration category. A graduated and proportionate audit of compliance with relevant practice standards, including </w:t>
      </w:r>
      <w:r w:rsidR="7D724BBE" w:rsidRPr="005B05B3">
        <w:rPr>
          <w:rFonts w:eastAsia="Aptos" w:cs="Aptos"/>
        </w:rPr>
        <w:t>observational</w:t>
      </w:r>
      <w:r w:rsidR="29D7921C" w:rsidRPr="005B05B3">
        <w:rPr>
          <w:rFonts w:eastAsia="Aptos" w:cs="Aptos"/>
        </w:rPr>
        <w:t xml:space="preserve"> audits should be applied to </w:t>
      </w:r>
      <w:r w:rsidR="049015A4" w:rsidRPr="005B05B3">
        <w:rPr>
          <w:rFonts w:eastAsia="Aptos" w:cs="Aptos"/>
        </w:rPr>
        <w:t>those in the General Registration category</w:t>
      </w:r>
      <w:r w:rsidRPr="005B05B3">
        <w:rPr>
          <w:rFonts w:eastAsia="Aptos" w:cs="Aptos"/>
        </w:rPr>
        <w:t>.</w:t>
      </w:r>
    </w:p>
    <w:p w14:paraId="2746D671" w14:textId="77777777" w:rsidR="00035D76" w:rsidRPr="005B05B3" w:rsidRDefault="00035D76" w:rsidP="002248D1">
      <w:pPr>
        <w:pStyle w:val="ListParagraph"/>
        <w:numPr>
          <w:ilvl w:val="0"/>
          <w:numId w:val="28"/>
        </w:numPr>
        <w:spacing w:after="160" w:line="278" w:lineRule="auto"/>
        <w:ind w:left="851"/>
        <w:rPr>
          <w:rFonts w:eastAsia="Aptos" w:cs="Aptos"/>
        </w:rPr>
      </w:pPr>
      <w:r w:rsidRPr="005B05B3">
        <w:rPr>
          <w:rFonts w:eastAsia="Aptos" w:cs="Aptos"/>
        </w:rPr>
        <w:t>Verification audits should be more than a desktop review and should involve at least one face-to-face exercise.</w:t>
      </w:r>
    </w:p>
    <w:p w14:paraId="639D6971" w14:textId="22671B83" w:rsidR="00035D76" w:rsidRPr="005B05B3" w:rsidRDefault="00035D76" w:rsidP="002248D1">
      <w:pPr>
        <w:pStyle w:val="ListParagraph"/>
        <w:numPr>
          <w:ilvl w:val="0"/>
          <w:numId w:val="28"/>
        </w:numPr>
        <w:spacing w:after="160" w:line="278" w:lineRule="auto"/>
        <w:ind w:left="851"/>
        <w:rPr>
          <w:rFonts w:eastAsia="Aptos" w:cs="Aptos"/>
        </w:rPr>
      </w:pPr>
      <w:r w:rsidRPr="005B05B3">
        <w:rPr>
          <w:rFonts w:eastAsia="Aptos" w:cs="Aptos"/>
        </w:rPr>
        <w:t xml:space="preserve">There should be a core team of auditors within the NDIS Commission who audit the highest risk supports. For </w:t>
      </w:r>
      <w:r w:rsidR="008F6E74">
        <w:rPr>
          <w:rFonts w:eastAsia="Aptos" w:cs="Aptos"/>
        </w:rPr>
        <w:t>General and Basic</w:t>
      </w:r>
      <w:r w:rsidRPr="005B05B3">
        <w:rPr>
          <w:rFonts w:eastAsia="Aptos" w:cs="Aptos"/>
        </w:rPr>
        <w:t xml:space="preserve"> </w:t>
      </w:r>
      <w:r w:rsidR="008F6E74">
        <w:rPr>
          <w:rFonts w:eastAsia="Aptos" w:cs="Aptos"/>
        </w:rPr>
        <w:t>Registration categories</w:t>
      </w:r>
      <w:r w:rsidRPr="005B05B3">
        <w:rPr>
          <w:rFonts w:eastAsia="Aptos" w:cs="Aptos"/>
        </w:rPr>
        <w:t xml:space="preserve">, approved quality auditors, external to the Commission can be appointed in accordance with the Act (similar to the current case). However, different to now, approved quality auditors must undergo specific training, receive professional development to review NDIS </w:t>
      </w:r>
      <w:r w:rsidR="00C529E3" w:rsidRPr="005B05B3">
        <w:rPr>
          <w:rFonts w:eastAsia="Aptos" w:cs="Aptos"/>
        </w:rPr>
        <w:t>p</w:t>
      </w:r>
      <w:r w:rsidRPr="005B05B3">
        <w:rPr>
          <w:rFonts w:eastAsia="Aptos" w:cs="Aptos"/>
        </w:rPr>
        <w:t>roviders. Similar to the early childhood space, auditors may currently work in the sector.</w:t>
      </w:r>
    </w:p>
    <w:p w14:paraId="5C03D6B4" w14:textId="2080603D" w:rsidR="00035D76" w:rsidRPr="005B05B3" w:rsidRDefault="00035D76" w:rsidP="002248D1">
      <w:pPr>
        <w:pStyle w:val="ListParagraph"/>
        <w:numPr>
          <w:ilvl w:val="0"/>
          <w:numId w:val="29"/>
        </w:numPr>
        <w:spacing w:after="160" w:line="278" w:lineRule="auto"/>
        <w:rPr>
          <w:rFonts w:eastAsia="Aptos" w:cs="Aptos"/>
        </w:rPr>
      </w:pPr>
      <w:r w:rsidRPr="005B05B3">
        <w:rPr>
          <w:rFonts w:eastAsia="Aptos" w:cs="Aptos"/>
        </w:rPr>
        <w:t>audit powers should be enshrined in the Act, where appropriate, including the requirement for a provider to participate in the audit by providing documentation or being interviewed as needed. Importantly, these are distinct from investigation powers held by the NDIS Commission.</w:t>
      </w:r>
    </w:p>
    <w:p w14:paraId="271D3ADC" w14:textId="77F8D30E" w:rsidR="00035D76" w:rsidRPr="005B05B3" w:rsidRDefault="00035D76" w:rsidP="002248D1">
      <w:pPr>
        <w:pStyle w:val="ListParagraph"/>
        <w:numPr>
          <w:ilvl w:val="0"/>
          <w:numId w:val="29"/>
        </w:numPr>
        <w:spacing w:after="160" w:line="278" w:lineRule="auto"/>
        <w:rPr>
          <w:rFonts w:eastAsia="Aptos" w:cs="Aptos"/>
        </w:rPr>
      </w:pPr>
      <w:r w:rsidRPr="005B05B3">
        <w:rPr>
          <w:rFonts w:eastAsia="Aptos" w:cs="Aptos"/>
        </w:rPr>
        <w:t>Further consideration of how auditing can interface with other quality processes (such as ISO 9001)</w:t>
      </w:r>
      <w:r w:rsidRPr="005B05B3">
        <w:rPr>
          <w:rStyle w:val="FootnoteReference"/>
          <w:rFonts w:eastAsia="Aptos" w:cs="Aptos"/>
        </w:rPr>
        <w:footnoteReference w:id="233"/>
      </w:r>
      <w:r w:rsidRPr="005B05B3">
        <w:rPr>
          <w:rFonts w:eastAsia="Aptos" w:cs="Aptos"/>
        </w:rPr>
        <w:t xml:space="preserve"> to avoid duplication, without missing important aspects of the NDIS audit process is needed.</w:t>
      </w:r>
    </w:p>
    <w:p w14:paraId="2767DE5E" w14:textId="1FC5CA8E" w:rsidR="00035D76" w:rsidRPr="005B05B3" w:rsidRDefault="00035D76" w:rsidP="002248D1">
      <w:pPr>
        <w:pStyle w:val="ListParagraph"/>
        <w:numPr>
          <w:ilvl w:val="0"/>
          <w:numId w:val="30"/>
        </w:numPr>
        <w:spacing w:after="160" w:line="278" w:lineRule="auto"/>
        <w:rPr>
          <w:rFonts w:eastAsia="Aptos" w:cs="Aptos"/>
        </w:rPr>
      </w:pPr>
      <w:r w:rsidRPr="005B05B3">
        <w:rPr>
          <w:rFonts w:eastAsia="Aptos" w:cs="Aptos"/>
        </w:rPr>
        <w:t>The process must be cost effective. Current audits which are reported to cost upwards of $10</w:t>
      </w:r>
      <w:r w:rsidR="00D9203C" w:rsidRPr="005B05B3">
        <w:rPr>
          <w:rFonts w:eastAsia="Aptos" w:cs="Aptos"/>
        </w:rPr>
        <w:t>,</w:t>
      </w:r>
      <w:r w:rsidRPr="005B05B3">
        <w:rPr>
          <w:rFonts w:eastAsia="Aptos" w:cs="Aptos"/>
        </w:rPr>
        <w:t xml:space="preserve">000 does not seem to the Taskforce to be proportionate to encouraging a positive audit culture. Alternative ways to making the audit process cost effective, including considering whether it should be proportionate to the organisation’s income or determined by category of registration should be explored. Importantly, travel of auditors should be a cost borne by the organisation being audited. In the first instance, wherever possible, audits should be conducted locally. For those in rural and remote areas where auditors </w:t>
      </w:r>
      <w:r w:rsidRPr="005B05B3">
        <w:rPr>
          <w:rFonts w:eastAsia="Aptos" w:cs="Aptos"/>
        </w:rPr>
        <w:lastRenderedPageBreak/>
        <w:t>are not able to be sourced locally (though efforts should be made to invest in local workforces), the NDIS Commission should subsidise these travel costs.</w:t>
      </w:r>
    </w:p>
    <w:p w14:paraId="56CA8AD2" w14:textId="01F876D7" w:rsidR="00035D76" w:rsidRPr="005B05B3" w:rsidRDefault="00035D76" w:rsidP="002248D1">
      <w:pPr>
        <w:pStyle w:val="ListParagraph"/>
        <w:numPr>
          <w:ilvl w:val="0"/>
          <w:numId w:val="30"/>
        </w:numPr>
        <w:spacing w:after="160" w:line="278" w:lineRule="auto"/>
        <w:rPr>
          <w:rFonts w:eastAsia="Aptos" w:cs="Aptos"/>
        </w:rPr>
      </w:pPr>
      <w:r w:rsidRPr="005B05B3">
        <w:rPr>
          <w:rFonts w:eastAsia="Aptos" w:cs="Aptos"/>
        </w:rPr>
        <w:t xml:space="preserve">Auditors should be appointed by the NDIS Commission and not chosen by the </w:t>
      </w:r>
      <w:r w:rsidR="006257B7" w:rsidRPr="005B05B3">
        <w:rPr>
          <w:rFonts w:eastAsia="Aptos" w:cs="Aptos"/>
        </w:rPr>
        <w:t>p</w:t>
      </w:r>
      <w:r w:rsidRPr="005B05B3">
        <w:rPr>
          <w:rFonts w:eastAsia="Aptos" w:cs="Aptos"/>
        </w:rPr>
        <w:t>rovider.</w:t>
      </w:r>
    </w:p>
    <w:p w14:paraId="10B6DF3D" w14:textId="33F3D3FF" w:rsidR="00035D76" w:rsidRPr="005B05B3" w:rsidRDefault="00035D76" w:rsidP="001D5DC8">
      <w:pPr>
        <w:spacing w:before="120" w:line="278" w:lineRule="auto"/>
        <w:rPr>
          <w:rFonts w:eastAsia="Aptos" w:cs="Aptos"/>
        </w:rPr>
      </w:pPr>
      <w:r w:rsidRPr="005B05B3">
        <w:rPr>
          <w:rFonts w:eastAsia="Aptos" w:cs="Aptos"/>
        </w:rPr>
        <w:t>In addition to these elements, the focus of audits needs to be on incentivisation and continuous improvement, quality assurance and ongoing and meaningful education. Provider obligations set by the registration category need to be evaluated in a practical, real</w:t>
      </w:r>
      <w:r w:rsidR="006228E7" w:rsidRPr="005B05B3">
        <w:rPr>
          <w:rFonts w:eastAsia="Aptos" w:cs="Aptos"/>
        </w:rPr>
        <w:t xml:space="preserve"> </w:t>
      </w:r>
      <w:r w:rsidRPr="005B05B3">
        <w:rPr>
          <w:rFonts w:eastAsia="Aptos" w:cs="Aptos"/>
        </w:rPr>
        <w:t>time way. We have heard that often the current focus of audits is paper</w:t>
      </w:r>
      <w:r w:rsidR="449E657A" w:rsidRPr="005B05B3">
        <w:rPr>
          <w:rFonts w:eastAsia="Aptos" w:cs="Aptos"/>
        </w:rPr>
        <w:t>-</w:t>
      </w:r>
      <w:r w:rsidRPr="005B05B3">
        <w:rPr>
          <w:rFonts w:eastAsia="Aptos" w:cs="Aptos"/>
        </w:rPr>
        <w:t>based and more concerned with what happens at head office in the procedure files than on the frontline. This is not the appropriate focus to have, in our view. Instead, audits should be focused on service delivery</w:t>
      </w:r>
      <w:r w:rsidR="59905127" w:rsidRPr="005B05B3">
        <w:rPr>
          <w:rFonts w:eastAsia="Aptos" w:cs="Aptos"/>
        </w:rPr>
        <w:t xml:space="preserve">. </w:t>
      </w:r>
      <w:r w:rsidR="6902E87E" w:rsidRPr="005B05B3">
        <w:rPr>
          <w:rFonts w:eastAsia="Aptos" w:cs="Aptos"/>
        </w:rPr>
        <w:t xml:space="preserve">We also acknowledge that the Disability Royal Commission </w:t>
      </w:r>
      <w:r w:rsidR="2C309A5C" w:rsidRPr="005B05B3">
        <w:rPr>
          <w:rFonts w:eastAsia="Aptos" w:cs="Aptos"/>
        </w:rPr>
        <w:t>identified that auditors do not routinely have access to complaints and incident reporting which impac</w:t>
      </w:r>
      <w:r w:rsidR="7F5227D2" w:rsidRPr="005B05B3">
        <w:rPr>
          <w:rFonts w:eastAsia="Aptos" w:cs="Aptos"/>
        </w:rPr>
        <w:t>ts their audit samples.</w:t>
      </w:r>
      <w:r w:rsidRPr="005B05B3">
        <w:rPr>
          <w:rStyle w:val="FootnoteReference"/>
          <w:rFonts w:eastAsia="Aptos" w:cs="Aptos"/>
        </w:rPr>
        <w:footnoteReference w:id="234"/>
      </w:r>
      <w:r w:rsidR="681E90E2" w:rsidRPr="005B05B3">
        <w:rPr>
          <w:rFonts w:eastAsia="Aptos" w:cs="Aptos"/>
        </w:rPr>
        <w:t xml:space="preserve"> This issue was expressly heard by the Taskforce but reinforces the importance for auditors to have access to appropriate information that orientates their audits to what matters to evaluate the delivery of quality and safe services.</w:t>
      </w:r>
    </w:p>
    <w:p w14:paraId="410B3A73" w14:textId="71B11766" w:rsidR="00035D76" w:rsidRPr="005B05B3" w:rsidRDefault="00035D76" w:rsidP="1B44F818">
      <w:pPr>
        <w:spacing w:line="278" w:lineRule="auto"/>
        <w:rPr>
          <w:rFonts w:eastAsia="Aptos" w:cs="Aptos"/>
        </w:rPr>
      </w:pPr>
      <w:r w:rsidRPr="005B05B3">
        <w:rPr>
          <w:rFonts w:eastAsia="Aptos" w:cs="Aptos"/>
        </w:rPr>
        <w:t>In particular, we have heard about the value of having providers work with participants and families to ensure that services provided to an individual are quality, fostering community connections and advancing their goals in life.</w:t>
      </w:r>
      <w:r w:rsidR="00E132BE" w:rsidRPr="005B05B3">
        <w:rPr>
          <w:rFonts w:eastAsia="Aptos" w:cs="Aptos"/>
        </w:rPr>
        <w:t xml:space="preserve"> </w:t>
      </w:r>
      <w:r w:rsidRPr="005B05B3">
        <w:rPr>
          <w:rFonts w:eastAsia="Aptos" w:cs="Aptos"/>
        </w:rPr>
        <w:t>The Taskforce has heard mixed views about the participation of Participants in audits.</w:t>
      </w:r>
    </w:p>
    <w:p w14:paraId="575CD713" w14:textId="6D5CC110" w:rsidR="00035D76" w:rsidRPr="005B05B3" w:rsidRDefault="4B94C42B" w:rsidP="00FA0B19">
      <w:pPr>
        <w:pStyle w:val="Quote"/>
        <w:rPr>
          <w:rFonts w:eastAsia="Aptos" w:cs="Aptos"/>
        </w:rPr>
      </w:pPr>
      <w:r w:rsidRPr="005B05B3">
        <w:t>The participant voice during audits - and also outside of the audit process – is critical</w:t>
      </w:r>
      <w:r w:rsidR="00035D76" w:rsidRPr="005B05B3">
        <w:rPr>
          <w:rFonts w:eastAsia="Aptos" w:cs="Aptos"/>
        </w:rPr>
        <w:t>.</w:t>
      </w:r>
      <w:r w:rsidR="00035D76" w:rsidRPr="00DD0BCE">
        <w:rPr>
          <w:rStyle w:val="FootnoteReference"/>
          <w:rFonts w:eastAsia="Aptos" w:cs="Aptos"/>
          <w:i w:val="0"/>
          <w:iCs w:val="0"/>
        </w:rPr>
        <w:footnoteReference w:id="235"/>
      </w:r>
    </w:p>
    <w:p w14:paraId="5B4AD541" w14:textId="1A678231" w:rsidR="00035D76" w:rsidRPr="005B05B3" w:rsidRDefault="3DE7407D" w:rsidP="00FA0B19">
      <w:pPr>
        <w:pStyle w:val="Quote"/>
      </w:pPr>
      <w:r w:rsidRPr="005B05B3">
        <w:t>A random annual survey of a minimum of 10 participants per provider based on meaningful outcomes (as viewed by the participant), quality, integrity, safety and respect would go much further in truly determining suitability to sustain registration than any amount of auditing for policies and procedures.</w:t>
      </w:r>
      <w:r w:rsidR="00035D76" w:rsidRPr="00DD0BCE">
        <w:rPr>
          <w:rStyle w:val="FootnoteReference"/>
          <w:rFonts w:eastAsia="Aptos" w:cs="Aptos"/>
          <w:i w:val="0"/>
          <w:iCs w:val="0"/>
        </w:rPr>
        <w:footnoteReference w:id="236"/>
      </w:r>
    </w:p>
    <w:p w14:paraId="26251600" w14:textId="0FFA638D" w:rsidR="00035D76" w:rsidRPr="005B05B3" w:rsidRDefault="00035D76" w:rsidP="00552B9E">
      <w:r w:rsidRPr="005B05B3">
        <w:t xml:space="preserve">In the current process, participants </w:t>
      </w:r>
      <w:r w:rsidR="00BD67FF" w:rsidRPr="005B05B3">
        <w:t xml:space="preserve">who </w:t>
      </w:r>
      <w:r w:rsidRPr="005B05B3">
        <w:t>provide feedback to the auditor are self-selected.</w:t>
      </w:r>
    </w:p>
    <w:p w14:paraId="34171AE3" w14:textId="13C9D238" w:rsidR="00035D76" w:rsidRPr="005B05B3" w:rsidRDefault="3FC8D419" w:rsidP="2319A92E">
      <w:pPr>
        <w:ind w:left="720"/>
        <w:rPr>
          <w:rFonts w:eastAsia="Aptos" w:cs="Aptos"/>
        </w:rPr>
      </w:pPr>
      <w:r w:rsidRPr="005B05B3">
        <w:rPr>
          <w:rStyle w:val="QuoteChar"/>
          <w:rFonts w:ascii="Aptos" w:hAnsi="Aptos"/>
        </w:rPr>
        <w:t xml:space="preserve">The critical aspect is the quality of the auditing process, particularly where remote desktop audits are undertaken. There are huge risks where providers are asked to select participant files for audit rather than auditors randomly selecting </w:t>
      </w:r>
      <w:r w:rsidRPr="005B05B3">
        <w:rPr>
          <w:rStyle w:val="QuoteChar"/>
          <w:rFonts w:ascii="Aptos" w:hAnsi="Aptos"/>
        </w:rPr>
        <w:lastRenderedPageBreak/>
        <w:t xml:space="preserve">files. Participants and workers should be personally engaged with by the auditors rather than relying on emailed surveys. </w:t>
      </w:r>
      <w:r w:rsidR="00035D76" w:rsidRPr="005B05B3">
        <w:rPr>
          <w:rStyle w:val="FootnoteReference"/>
        </w:rPr>
        <w:footnoteReference w:id="237"/>
      </w:r>
    </w:p>
    <w:p w14:paraId="03FBCFA8" w14:textId="76351625" w:rsidR="00995244" w:rsidRPr="005B05B3" w:rsidRDefault="00035D76" w:rsidP="57B23FDD">
      <w:r w:rsidRPr="005B05B3">
        <w:t>The Taskforce do not endorse this approach for obvious biases that come with such an approach. However, the Taskforce suggests that consideration be given when co</w:t>
      </w:r>
      <w:r w:rsidR="003818F9">
        <w:t>-</w:t>
      </w:r>
      <w:r w:rsidRPr="005B05B3">
        <w:t xml:space="preserve">designing a new auditing process to the imposition placed on a </w:t>
      </w:r>
      <w:r w:rsidR="007265EA" w:rsidRPr="005B05B3">
        <w:t>p</w:t>
      </w:r>
      <w:r w:rsidRPr="005B05B3">
        <w:t xml:space="preserve">articipant if asked to be part of the audit process. </w:t>
      </w:r>
    </w:p>
    <w:p w14:paraId="6FA1F5A7" w14:textId="7CB69FEB" w:rsidR="00EC4218" w:rsidRPr="005B05B3" w:rsidRDefault="00035D76" w:rsidP="57B23FDD">
      <w:r w:rsidRPr="005B05B3">
        <w:t xml:space="preserve">The Taskforce acknowledges the importance and benefit of having </w:t>
      </w:r>
      <w:r w:rsidR="00E9643F" w:rsidRPr="005B05B3">
        <w:t>p</w:t>
      </w:r>
      <w:r w:rsidRPr="005B05B3">
        <w:t>articipants involved in an audit and from that perspective it is encouraging. Participants may even be provided with capacity</w:t>
      </w:r>
      <w:r w:rsidR="002A75FA" w:rsidRPr="005B05B3">
        <w:t xml:space="preserve"> </w:t>
      </w:r>
      <w:r w:rsidRPr="005B05B3">
        <w:t>building support to participate in audits, if they wished.</w:t>
      </w:r>
      <w:r w:rsidR="00995244" w:rsidRPr="005B05B3">
        <w:t xml:space="preserve"> </w:t>
      </w:r>
      <w:r w:rsidR="00F0425C" w:rsidRPr="005B05B3">
        <w:t>However, participants</w:t>
      </w:r>
      <w:r w:rsidRPr="005B05B3">
        <w:t xml:space="preserve"> should not be imposed upon unduly, remembering that the purpose of the audit is on continuous improvement and quality assurance for that organisation. Participants are not responsible for the quality (or lack thereof) of service providers. </w:t>
      </w:r>
    </w:p>
    <w:p w14:paraId="087FAB2C" w14:textId="38A3FD2E" w:rsidR="00035D76" w:rsidRPr="005B05B3" w:rsidRDefault="00035D76" w:rsidP="57B23FDD">
      <w:r w:rsidRPr="005B05B3">
        <w:t xml:space="preserve">A way to balance this would be through auditors issuing a call to </w:t>
      </w:r>
      <w:r w:rsidR="00E15E6D" w:rsidRPr="005B05B3">
        <w:t>p</w:t>
      </w:r>
      <w:r w:rsidRPr="005B05B3">
        <w:t xml:space="preserve">articipants of the service to invite them to voluntarily provide feedback. If the audit is going to impact on the </w:t>
      </w:r>
      <w:r w:rsidR="007265EA" w:rsidRPr="005B05B3">
        <w:t>p</w:t>
      </w:r>
      <w:r w:rsidRPr="005B05B3">
        <w:t xml:space="preserve">articipant in a different way, including by reading their records or visiting their home (in group accommodations), </w:t>
      </w:r>
      <w:r w:rsidR="007265EA" w:rsidRPr="005B05B3">
        <w:t>p</w:t>
      </w:r>
      <w:r w:rsidRPr="005B05B3">
        <w:t xml:space="preserve">articipant informed consent must be </w:t>
      </w:r>
      <w:r w:rsidR="00440B9F" w:rsidRPr="005B05B3">
        <w:t>sought,</w:t>
      </w:r>
      <w:r w:rsidRPr="005B05B3">
        <w:t xml:space="preserve"> and the approach of the auditor should be respectful of their privacy and inclusive at all times.</w:t>
      </w:r>
    </w:p>
    <w:p w14:paraId="24D666F1" w14:textId="2907D168" w:rsidR="00035D76" w:rsidRPr="005B05B3" w:rsidRDefault="00035D76" w:rsidP="00035D76">
      <w:pPr>
        <w:spacing w:line="278" w:lineRule="auto"/>
        <w:rPr>
          <w:rFonts w:eastAsia="Aptos" w:cs="Aptos"/>
        </w:rPr>
      </w:pPr>
      <w:r w:rsidRPr="005B05B3">
        <w:rPr>
          <w:rFonts w:eastAsia="Aptos" w:cs="Aptos"/>
        </w:rPr>
        <w:t>Finally, we</w:t>
      </w:r>
      <w:r w:rsidR="00D0021D">
        <w:rPr>
          <w:rFonts w:eastAsia="Aptos" w:cs="Aptos"/>
        </w:rPr>
        <w:t xml:space="preserve"> highlight the importance of auditors providing a report within </w:t>
      </w:r>
      <w:r w:rsidRPr="005B05B3">
        <w:rPr>
          <w:rFonts w:eastAsia="Aptos" w:cs="Aptos"/>
        </w:rPr>
        <w:t>a specified timeframe.</w:t>
      </w:r>
      <w:r w:rsidR="001A647B">
        <w:rPr>
          <w:rStyle w:val="FootnoteReference"/>
          <w:rFonts w:eastAsia="Aptos" w:cs="Aptos"/>
        </w:rPr>
        <w:footnoteReference w:id="238"/>
      </w:r>
      <w:r w:rsidRPr="005B05B3">
        <w:rPr>
          <w:rFonts w:eastAsia="Aptos" w:cs="Aptos"/>
        </w:rPr>
        <w:t xml:space="preserve"> </w:t>
      </w:r>
      <w:r w:rsidR="001A647B">
        <w:rPr>
          <w:rFonts w:eastAsia="Aptos" w:cs="Aptos"/>
        </w:rPr>
        <w:t>T</w:t>
      </w:r>
      <w:r w:rsidRPr="005B05B3">
        <w:rPr>
          <w:rFonts w:eastAsia="Aptos" w:cs="Aptos"/>
        </w:rPr>
        <w:t>he Taskforce has heard that audits</w:t>
      </w:r>
      <w:r w:rsidR="001A647B">
        <w:rPr>
          <w:rFonts w:eastAsia="Aptos" w:cs="Aptos"/>
        </w:rPr>
        <w:t xml:space="preserve"> have</w:t>
      </w:r>
      <w:r w:rsidRPr="005B05B3">
        <w:rPr>
          <w:rFonts w:eastAsia="Aptos" w:cs="Aptos"/>
        </w:rPr>
        <w:t xml:space="preserve"> take</w:t>
      </w:r>
      <w:r w:rsidR="001A647B">
        <w:rPr>
          <w:rFonts w:eastAsia="Aptos" w:cs="Aptos"/>
        </w:rPr>
        <w:t>n</w:t>
      </w:r>
      <w:r w:rsidRPr="005B05B3">
        <w:rPr>
          <w:rFonts w:eastAsia="Aptos" w:cs="Aptos"/>
        </w:rPr>
        <w:t xml:space="preserve"> up to a year. Audits must be timely to be effective and standards should be set.</w:t>
      </w:r>
    </w:p>
    <w:p w14:paraId="0B435530" w14:textId="3349E316" w:rsidR="00BD4DEA" w:rsidRPr="005B05B3" w:rsidRDefault="00BD4DEA" w:rsidP="001D5DC8">
      <w:pPr>
        <w:pStyle w:val="Quote"/>
      </w:pPr>
      <w:r w:rsidRPr="005B05B3">
        <w:t>Auditors already have a 12 month wait for audits not to mention the 18-24 month wait for NDIS to process the audit, there are not enough auditors to meet the need currently.</w:t>
      </w:r>
      <w:r w:rsidRPr="005B05B3">
        <w:rPr>
          <w:rStyle w:val="FootnoteReference"/>
          <w:rFonts w:eastAsia="Aptos" w:cs="Aptos"/>
        </w:rPr>
        <w:t xml:space="preserve"> </w:t>
      </w:r>
      <w:r w:rsidRPr="00DD0BCE">
        <w:rPr>
          <w:rStyle w:val="FootnoteReference"/>
          <w:rFonts w:eastAsia="Aptos" w:cs="Aptos"/>
          <w:i w:val="0"/>
          <w:iCs w:val="0"/>
        </w:rPr>
        <w:footnoteReference w:id="239"/>
      </w:r>
    </w:p>
    <w:p w14:paraId="4ABA4486" w14:textId="7AA942C4" w:rsidR="291CF52A" w:rsidRPr="005B05B3" w:rsidRDefault="291CF52A" w:rsidP="4D022800">
      <w:pPr>
        <w:spacing w:line="278" w:lineRule="auto"/>
        <w:rPr>
          <w:rFonts w:eastAsia="Aptos" w:cs="Aptos"/>
        </w:rPr>
      </w:pPr>
      <w:r w:rsidRPr="005B05B3">
        <w:rPr>
          <w:rFonts w:eastAsia="Aptos" w:cs="Aptos"/>
        </w:rPr>
        <w:t xml:space="preserve">For those that fall within the Self-Directed Supports registration category, the </w:t>
      </w:r>
      <w:r w:rsidR="007265EA" w:rsidRPr="005B05B3">
        <w:rPr>
          <w:rFonts w:eastAsia="Aptos" w:cs="Aptos"/>
        </w:rPr>
        <w:t>p</w:t>
      </w:r>
      <w:r w:rsidRPr="005B05B3">
        <w:rPr>
          <w:rFonts w:eastAsia="Aptos" w:cs="Aptos"/>
        </w:rPr>
        <w:t>articipant should undertake their own assessment for practice and quality according to self-defined standards.</w:t>
      </w:r>
    </w:p>
    <w:p w14:paraId="75839DFA" w14:textId="166CC308" w:rsidR="3742402B" w:rsidRPr="005B05B3" w:rsidRDefault="00AA376C" w:rsidP="009F682D">
      <w:pPr>
        <w:pStyle w:val="TSDAltHeading3"/>
        <w:rPr>
          <w:rFonts w:eastAsia="Aptos" w:cs="Aptos"/>
        </w:rPr>
      </w:pPr>
      <w:r>
        <w:t xml:space="preserve"> </w:t>
      </w:r>
      <w:r w:rsidR="3742402B" w:rsidRPr="005B05B3">
        <w:t>Suitability assessment of provider and key personnel</w:t>
      </w:r>
    </w:p>
    <w:p w14:paraId="0F952A43" w14:textId="6FE23F38" w:rsidR="253EEA86" w:rsidRPr="005B05B3" w:rsidRDefault="3742402B" w:rsidP="18D2D67C">
      <w:pPr>
        <w:spacing w:line="278" w:lineRule="auto"/>
        <w:rPr>
          <w:rFonts w:eastAsia="Aptos" w:cs="Aptos"/>
        </w:rPr>
      </w:pPr>
      <w:r w:rsidRPr="005B05B3">
        <w:rPr>
          <w:rFonts w:eastAsia="Aptos" w:cs="Aptos"/>
        </w:rPr>
        <w:t xml:space="preserve">Those registered in the Advanced, General and Basic </w:t>
      </w:r>
      <w:r w:rsidR="00B410C4" w:rsidRPr="005B05B3">
        <w:rPr>
          <w:rFonts w:eastAsia="Aptos" w:cs="Aptos"/>
        </w:rPr>
        <w:t>r</w:t>
      </w:r>
      <w:r w:rsidRPr="005B05B3">
        <w:rPr>
          <w:rFonts w:eastAsia="Aptos" w:cs="Aptos"/>
        </w:rPr>
        <w:t xml:space="preserve">egistration categories must be subject to a suitability assessment of the provider and key personnel. </w:t>
      </w:r>
      <w:r w:rsidR="1D9506A6" w:rsidRPr="005B05B3">
        <w:rPr>
          <w:rFonts w:eastAsia="Aptos" w:cs="Aptos"/>
        </w:rPr>
        <w:t>Consistent with the NDIS Review, the Taskforce notes that this considers any findings of judg</w:t>
      </w:r>
      <w:r w:rsidR="007D610C" w:rsidRPr="005B05B3">
        <w:rPr>
          <w:rFonts w:eastAsia="Aptos" w:cs="Aptos"/>
        </w:rPr>
        <w:t>e</w:t>
      </w:r>
      <w:r w:rsidR="1D9506A6" w:rsidRPr="005B05B3">
        <w:rPr>
          <w:rFonts w:eastAsia="Aptos" w:cs="Aptos"/>
        </w:rPr>
        <w:t xml:space="preserve">ments in </w:t>
      </w:r>
      <w:r w:rsidR="1D9506A6" w:rsidRPr="005B05B3">
        <w:rPr>
          <w:rFonts w:eastAsia="Aptos" w:cs="Aptos"/>
        </w:rPr>
        <w:lastRenderedPageBreak/>
        <w:t>relation to fraud, civil or criminal proceedings, and any other matters the NDIS Commissioner considers relevant.</w:t>
      </w:r>
      <w:r w:rsidRPr="005B05B3">
        <w:rPr>
          <w:rStyle w:val="FootnoteReference"/>
          <w:rFonts w:eastAsia="Aptos" w:cs="Aptos"/>
        </w:rPr>
        <w:footnoteReference w:id="240"/>
      </w:r>
      <w:r w:rsidR="1D9506A6" w:rsidRPr="005B05B3">
        <w:rPr>
          <w:rFonts w:eastAsia="Aptos" w:cs="Aptos"/>
        </w:rPr>
        <w:t xml:space="preserve"> </w:t>
      </w:r>
      <w:r w:rsidR="7688D0FE" w:rsidRPr="005B05B3">
        <w:rPr>
          <w:rFonts w:eastAsia="Aptos" w:cs="Aptos"/>
        </w:rPr>
        <w:t>This process should be streamlined and sped up to reduce overall processing times for registration.</w:t>
      </w:r>
      <w:r w:rsidRPr="005B05B3">
        <w:rPr>
          <w:rStyle w:val="FootnoteReference"/>
          <w:rFonts w:eastAsia="Aptos" w:cs="Aptos"/>
        </w:rPr>
        <w:footnoteReference w:id="241"/>
      </w:r>
      <w:r w:rsidR="7688D0FE" w:rsidRPr="005B05B3">
        <w:rPr>
          <w:rStyle w:val="FootnoteReference"/>
          <w:rFonts w:eastAsia="Aptos" w:cs="Aptos"/>
        </w:rPr>
        <w:t xml:space="preserve"> </w:t>
      </w:r>
      <w:r w:rsidR="1C81C455" w:rsidRPr="005B05B3">
        <w:rPr>
          <w:rFonts w:eastAsia="Aptos" w:cs="Aptos"/>
        </w:rPr>
        <w:t>Per the NDIS Review’s advice, c</w:t>
      </w:r>
      <w:r w:rsidR="550625B4" w:rsidRPr="005B05B3">
        <w:rPr>
          <w:rFonts w:eastAsia="Aptos" w:cs="Aptos"/>
        </w:rPr>
        <w:t>onsideration should be given to granting conditional registration t</w:t>
      </w:r>
      <w:r w:rsidR="66185976" w:rsidRPr="005B05B3">
        <w:rPr>
          <w:rFonts w:eastAsia="Aptos" w:cs="Aptos"/>
        </w:rPr>
        <w:t xml:space="preserve">o some </w:t>
      </w:r>
      <w:r w:rsidR="00C529E3" w:rsidRPr="005B05B3">
        <w:rPr>
          <w:rFonts w:eastAsia="Aptos" w:cs="Aptos"/>
        </w:rPr>
        <w:t>p</w:t>
      </w:r>
      <w:r w:rsidR="66185976" w:rsidRPr="005B05B3">
        <w:rPr>
          <w:rFonts w:eastAsia="Aptos" w:cs="Aptos"/>
        </w:rPr>
        <w:t>roviders while the suitability assessment is being undertaken to remove delays for lower-risk</w:t>
      </w:r>
      <w:r w:rsidR="7688D0FE" w:rsidRPr="005B05B3">
        <w:rPr>
          <w:rFonts w:eastAsia="Aptos" w:cs="Aptos"/>
        </w:rPr>
        <w:t xml:space="preserve"> </w:t>
      </w:r>
      <w:r w:rsidR="64336339" w:rsidRPr="005B05B3">
        <w:rPr>
          <w:rFonts w:eastAsia="Aptos" w:cs="Aptos"/>
        </w:rPr>
        <w:t>in the market</w:t>
      </w:r>
      <w:r w:rsidR="7DABBBF0" w:rsidRPr="005B05B3">
        <w:rPr>
          <w:rFonts w:eastAsia="Aptos" w:cs="Aptos"/>
        </w:rPr>
        <w:t>, such as those in the Basic Registration category</w:t>
      </w:r>
      <w:r w:rsidR="64336339" w:rsidRPr="005B05B3">
        <w:rPr>
          <w:rFonts w:eastAsia="Aptos" w:cs="Aptos"/>
        </w:rPr>
        <w:t>.</w:t>
      </w:r>
      <w:r w:rsidRPr="005B05B3">
        <w:rPr>
          <w:rStyle w:val="FootnoteReference"/>
          <w:rFonts w:eastAsia="Aptos" w:cs="Aptos"/>
        </w:rPr>
        <w:footnoteReference w:id="242"/>
      </w:r>
    </w:p>
    <w:p w14:paraId="29C3724F" w14:textId="55A03DCE" w:rsidR="009715C4" w:rsidRPr="005B05B3" w:rsidRDefault="2C43C7D0" w:rsidP="002F70D0">
      <w:r w:rsidRPr="005B05B3">
        <w:t>Thos</w:t>
      </w:r>
      <w:r w:rsidR="7A1F4288" w:rsidRPr="005B05B3">
        <w:t>e who register Self-Directed Supports will undertake their own suitability assessment.</w:t>
      </w:r>
      <w:bookmarkStart w:id="111" w:name="_Toc170128768"/>
    </w:p>
    <w:p w14:paraId="0BE3D0AA" w14:textId="21D06C4E" w:rsidR="00035D76" w:rsidRPr="005B05B3" w:rsidRDefault="00AA376C" w:rsidP="009F682D">
      <w:pPr>
        <w:pStyle w:val="TSDAltHeading3"/>
      </w:pPr>
      <w:r>
        <w:t xml:space="preserve"> </w:t>
      </w:r>
      <w:r w:rsidR="05E450BF" w:rsidRPr="005B05B3">
        <w:t xml:space="preserve">Ongoing </w:t>
      </w:r>
      <w:r w:rsidR="008C12B1" w:rsidRPr="005B05B3">
        <w:t>c</w:t>
      </w:r>
      <w:r w:rsidR="05E450BF" w:rsidRPr="005B05B3">
        <w:t>ompliance and monitoring</w:t>
      </w:r>
      <w:bookmarkEnd w:id="111"/>
    </w:p>
    <w:p w14:paraId="3DC8C660" w14:textId="77777777" w:rsidR="00035D76" w:rsidRPr="005B05B3" w:rsidRDefault="00035D76" w:rsidP="001B4BF0">
      <w:pPr>
        <w:pStyle w:val="Heading4"/>
        <w:spacing w:before="120" w:after="120"/>
      </w:pPr>
      <w:bookmarkStart w:id="112" w:name="_Toc170128769"/>
      <w:r w:rsidRPr="005B05B3">
        <w:t>Right to entry and Unannounced visits</w:t>
      </w:r>
      <w:bookmarkEnd w:id="112"/>
    </w:p>
    <w:p w14:paraId="18FB8A0E" w14:textId="3DAEB589" w:rsidR="00035D76" w:rsidRPr="005B05B3" w:rsidRDefault="00035D76" w:rsidP="00035D76">
      <w:r w:rsidRPr="005B05B3">
        <w:t>As discussed throughout this advice, the Taskforce has been concerned about the quality and safety of services delivered in group environments or when a person faces vulnerability such as isolation, a lack of natural safeguards or little community involvement. Currently, the NDIS Commission is not able to enter properties without permission or make unannounced visits for the purposes investigating complaints of poor practice of allegations of abuse and neglect. It is acknowledged that an authorised person may enter premises if the authorised person suspects on reasonable grounds that there may be material on the premises related to the contravention of an offence that is subject to investigation.</w:t>
      </w:r>
      <w:r w:rsidRPr="005B05B3">
        <w:rPr>
          <w:rStyle w:val="FootnoteReference"/>
        </w:rPr>
        <w:footnoteReference w:id="243"/>
      </w:r>
      <w:r w:rsidRPr="005B05B3">
        <w:t xml:space="preserve"> However, entry must be with the consent of the occupier of the premises or under an investigation warrant.</w:t>
      </w:r>
      <w:r w:rsidRPr="005B05B3">
        <w:rPr>
          <w:rStyle w:val="FootnoteReference"/>
        </w:rPr>
        <w:footnoteReference w:id="244"/>
      </w:r>
      <w:r w:rsidRPr="005B05B3">
        <w:t xml:space="preserve"> The Taskforce has heard that such legal powers would enhance the ability of the NDIS Commission to be able to respond more effectively but also create a sense of oversight and monitoring within the sector.</w:t>
      </w:r>
    </w:p>
    <w:p w14:paraId="6E694DB0" w14:textId="14CF9AF8" w:rsidR="00035D76" w:rsidRPr="005B05B3" w:rsidRDefault="088B9379" w:rsidP="00D214BB">
      <w:pPr>
        <w:pStyle w:val="Quote"/>
      </w:pPr>
      <w:r w:rsidRPr="005B05B3">
        <w:t xml:space="preserve">For many high-risk services subject to mandatory registration (such as SDA and shared accommodation settings), a third-party audit is not enough. The nature of these services means that people with disability are at a much higher risk of violence, abuse, neglect and exploitation. Proportionally, more oversight is needed for the Commission to adequately protect people. Therefore, the Commission should also have the right to enter SDA dwellings or homes where shared living supports or individualised living arrangements are provided, to randomly inspect them and to check the welfare of people with disability. </w:t>
      </w:r>
      <w:r w:rsidRPr="005B05B3">
        <w:lastRenderedPageBreak/>
        <w:t>Inspections should be unannounced, or there should be only minimal notice given</w:t>
      </w:r>
      <w:r w:rsidR="01D13BAA" w:rsidRPr="005B05B3">
        <w:t>.</w:t>
      </w:r>
      <w:r w:rsidR="00035D76" w:rsidRPr="00DD0BCE">
        <w:rPr>
          <w:rStyle w:val="FootnoteReference"/>
          <w:i w:val="0"/>
          <w:iCs w:val="0"/>
        </w:rPr>
        <w:footnoteReference w:id="245"/>
      </w:r>
    </w:p>
    <w:p w14:paraId="78C4AAAE" w14:textId="68973020" w:rsidR="00EA772E" w:rsidRPr="005B05B3" w:rsidRDefault="00035D76" w:rsidP="00035D76">
      <w:r w:rsidRPr="005B05B3">
        <w:t xml:space="preserve">Having a right to entry or to conduct unannounced visits is not uncommon for </w:t>
      </w:r>
      <w:r w:rsidR="00B22A45">
        <w:t xml:space="preserve">state and territory </w:t>
      </w:r>
      <w:r w:rsidRPr="005B05B3">
        <w:t xml:space="preserve">regulators responsible for monitoring the quality and safety of an industry or sector. However, care must be taken when designing these powers in human services. In particular, it is critical to </w:t>
      </w:r>
      <w:r w:rsidR="00A95D48" w:rsidRPr="005B05B3">
        <w:t xml:space="preserve">design </w:t>
      </w:r>
      <w:r w:rsidRPr="005B05B3">
        <w:t xml:space="preserve">this in a way that respects the right to privacy and home of </w:t>
      </w:r>
      <w:r w:rsidR="00A95D48" w:rsidRPr="005B05B3">
        <w:t>p</w:t>
      </w:r>
      <w:r w:rsidRPr="005B05B3">
        <w:t xml:space="preserve">articipants while maximising the value of exercising the regulator’s right to entry or conduct of an unannounced visit. </w:t>
      </w:r>
    </w:p>
    <w:p w14:paraId="7578E3A4" w14:textId="50EAB85B" w:rsidR="00035D76" w:rsidRPr="005B05B3" w:rsidRDefault="00035D76" w:rsidP="00035D76">
      <w:r w:rsidRPr="005B05B3">
        <w:t>To explore how these regulatory powers can be balanced, consideration should be given to existing regulators including the Aged Care Quality and Safety Commissioner's regulatory powers to enter premises and exercise search powers in relation to approved aged care providers,</w:t>
      </w:r>
      <w:r w:rsidRPr="005B05B3">
        <w:rPr>
          <w:rStyle w:val="FootnoteReference"/>
        </w:rPr>
        <w:footnoteReference w:id="246"/>
      </w:r>
      <w:r w:rsidRPr="005B05B3">
        <w:t xml:space="preserve"> and </w:t>
      </w:r>
      <w:r w:rsidR="00EE3CC0" w:rsidRPr="005B05B3">
        <w:t>s</w:t>
      </w:r>
      <w:r w:rsidRPr="005B05B3">
        <w:t xml:space="preserve">tate-based examples such as the South Australian Adult Safeguarding Unit and the Victorian Human Services Regulator. Notably, the </w:t>
      </w:r>
      <w:r w:rsidRPr="005B05B3">
        <w:rPr>
          <w:i/>
          <w:iCs/>
        </w:rPr>
        <w:t xml:space="preserve">Commonwealth Aged Care Quality and Safety Commission Act </w:t>
      </w:r>
      <w:r w:rsidRPr="005B05B3">
        <w:t xml:space="preserve">and </w:t>
      </w:r>
      <w:r w:rsidRPr="005B05B3">
        <w:rPr>
          <w:i/>
          <w:iCs/>
        </w:rPr>
        <w:t>Victorian Human Services Regulator</w:t>
      </w:r>
      <w:r w:rsidRPr="005B05B3">
        <w:t xml:space="preserve"> are undergoing reform and legislative changes are imminent but have not been enlivened at the time of writing. While these are examples worth considering when designing similar regulatory powers for the NDIS Commission, it is imperative to do so with the knowledge that disability services are especially unique compared to other areas of human services such as aged care or childcare in part due to disability services being delivered in</w:t>
      </w:r>
      <w:r w:rsidR="002925D1" w:rsidRPr="005B05B3">
        <w:t>-</w:t>
      </w:r>
      <w:r w:rsidRPr="005B05B3">
        <w:t>home</w:t>
      </w:r>
      <w:r w:rsidR="00C51044" w:rsidRPr="005B05B3">
        <w:t>,</w:t>
      </w:r>
      <w:r w:rsidRPr="005B05B3">
        <w:t xml:space="preserve"> but also due to the lifelong nature of disability compared to those areas which are age-specific.</w:t>
      </w:r>
    </w:p>
    <w:p w14:paraId="39C20683" w14:textId="7CDA2767" w:rsidR="00035D76" w:rsidRPr="005B05B3" w:rsidRDefault="00035D76" w:rsidP="00035D76">
      <w:r w:rsidRPr="005B05B3">
        <w:t>Further, we note that having a right to entry or conduct unannounced visits is only able to be considered after the provider registration scheme is established. A provider being registered will be an important factor that enlivens these legal powers.</w:t>
      </w:r>
    </w:p>
    <w:p w14:paraId="638093B3" w14:textId="0BACC3D2" w:rsidR="00035D76" w:rsidRPr="005B05B3" w:rsidRDefault="00035D76" w:rsidP="00035D76">
      <w:r w:rsidRPr="005B05B3">
        <w:t xml:space="preserve">For the purposes of this advice, the Taskforce supports a right of entry and powers to conduct unannounced visits being provided to the NDIS Commissioner for NDIS </w:t>
      </w:r>
      <w:r w:rsidR="00C529E3" w:rsidRPr="005B05B3">
        <w:t>p</w:t>
      </w:r>
      <w:r w:rsidRPr="005B05B3">
        <w:t>roviders registered in the High-Risk category. However, we advise that this needs to occur within a regulatory framework that is human</w:t>
      </w:r>
      <w:r w:rsidR="002925D1" w:rsidRPr="005B05B3">
        <w:t xml:space="preserve"> </w:t>
      </w:r>
      <w:r w:rsidRPr="005B05B3">
        <w:t>rights focussed. The powers could not be, in our view, implemented without a clear framework governing the powers or a well-functioning registration scheme.</w:t>
      </w:r>
    </w:p>
    <w:p w14:paraId="56AF1823" w14:textId="5E81F5FF" w:rsidR="00035D76" w:rsidRPr="005B05B3" w:rsidRDefault="7494A0C9" w:rsidP="001B4BF0">
      <w:pPr>
        <w:pStyle w:val="Heading4"/>
        <w:spacing w:before="360" w:after="120"/>
      </w:pPr>
      <w:r w:rsidRPr="005B05B3">
        <w:t>Risk-based monitoring and regulatory intelligence</w:t>
      </w:r>
    </w:p>
    <w:p w14:paraId="0A8DC213" w14:textId="7DE10C81" w:rsidR="2BD8535D" w:rsidRPr="005B05B3" w:rsidRDefault="7494A0C9">
      <w:r w:rsidRPr="005B05B3">
        <w:t xml:space="preserve">The NDIS Commission is to undertake risk-based monitoring, investigation and regulatory intelligence gathering </w:t>
      </w:r>
      <w:r w:rsidR="384522FE" w:rsidRPr="005B05B3">
        <w:t>(including through provider outreach and information sharing with other regulators) for all categories of registration. This needs to</w:t>
      </w:r>
      <w:r w:rsidR="5E8321F6" w:rsidRPr="005B05B3">
        <w:t xml:space="preserve"> be co-</w:t>
      </w:r>
      <w:r w:rsidR="5E8321F6" w:rsidRPr="005B05B3">
        <w:lastRenderedPageBreak/>
        <w:t>designed with the disability community, especially for those registering self-directed supports.</w:t>
      </w:r>
    </w:p>
    <w:p w14:paraId="3AA2D3AA" w14:textId="3DEC27E5" w:rsidR="5E8321F6" w:rsidRPr="005B05B3" w:rsidRDefault="5E8321F6">
      <w:r w:rsidRPr="005B05B3">
        <w:t>The Taskforce acknowledges that proactive monitoring and the collection of regulatory intelligence is currently a significant gap in the approach by the NDIS Commission. Improving this approach and creating a clear Provider Process within registration</w:t>
      </w:r>
      <w:r w:rsidR="6FD853F0" w:rsidRPr="005B05B3">
        <w:t xml:space="preserve"> is critical the overall performance of the market.</w:t>
      </w:r>
    </w:p>
    <w:p w14:paraId="163DD5F4" w14:textId="3DA99A10" w:rsidR="00035D76" w:rsidRPr="005B05B3" w:rsidRDefault="00035D76" w:rsidP="001B4BF0">
      <w:pPr>
        <w:pStyle w:val="Heading4"/>
        <w:spacing w:before="360" w:after="120"/>
      </w:pPr>
      <w:bookmarkStart w:id="113" w:name="_Toc170128770"/>
      <w:r w:rsidRPr="005B05B3">
        <w:t xml:space="preserve">Corrective action against NDIS </w:t>
      </w:r>
      <w:r w:rsidR="00314CA3" w:rsidRPr="005B05B3">
        <w:t>p</w:t>
      </w:r>
      <w:r w:rsidRPr="005B05B3">
        <w:t>roviders</w:t>
      </w:r>
      <w:bookmarkEnd w:id="113"/>
    </w:p>
    <w:p w14:paraId="5D459FF2" w14:textId="324542D8" w:rsidR="00035D76" w:rsidRPr="005B05B3" w:rsidRDefault="00035D76" w:rsidP="00035D76">
      <w:r w:rsidRPr="005B05B3">
        <w:t xml:space="preserve">Currently, the NDIS Commissioner can take the following action against NDIS </w:t>
      </w:r>
      <w:r w:rsidR="00475069" w:rsidRPr="005B05B3">
        <w:t>p</w:t>
      </w:r>
      <w:r w:rsidRPr="005B05B3">
        <w:t>roviders:</w:t>
      </w:r>
    </w:p>
    <w:p w14:paraId="5315EA7E" w14:textId="77777777" w:rsidR="00035D76" w:rsidRPr="005B05B3" w:rsidRDefault="00035D76" w:rsidP="002248D1">
      <w:pPr>
        <w:pStyle w:val="ListParagraph"/>
        <w:numPr>
          <w:ilvl w:val="0"/>
          <w:numId w:val="66"/>
        </w:numPr>
        <w:spacing w:after="160" w:line="279" w:lineRule="auto"/>
      </w:pPr>
      <w:r w:rsidRPr="005B05B3">
        <w:t>Investigations, and a power to appoint investigators and inspectors</w:t>
      </w:r>
    </w:p>
    <w:p w14:paraId="0AD1CCFA" w14:textId="77777777" w:rsidR="00035D76" w:rsidRPr="005B05B3" w:rsidRDefault="00035D76" w:rsidP="002248D1">
      <w:pPr>
        <w:pStyle w:val="ListParagraph"/>
        <w:numPr>
          <w:ilvl w:val="0"/>
          <w:numId w:val="66"/>
        </w:numPr>
        <w:spacing w:after="160" w:line="279" w:lineRule="auto"/>
      </w:pPr>
      <w:r w:rsidRPr="005B05B3">
        <w:t>Infringement Notice</w:t>
      </w:r>
    </w:p>
    <w:p w14:paraId="2DB14732" w14:textId="77777777" w:rsidR="00035D76" w:rsidRPr="005B05B3" w:rsidRDefault="00035D76" w:rsidP="002248D1">
      <w:pPr>
        <w:pStyle w:val="ListParagraph"/>
        <w:numPr>
          <w:ilvl w:val="0"/>
          <w:numId w:val="66"/>
        </w:numPr>
        <w:spacing w:after="160" w:line="279" w:lineRule="auto"/>
      </w:pPr>
      <w:r w:rsidRPr="005B05B3">
        <w:t>Compliance Notice</w:t>
      </w:r>
    </w:p>
    <w:p w14:paraId="050521BC" w14:textId="77777777" w:rsidR="00035D76" w:rsidRPr="005B05B3" w:rsidRDefault="00035D76" w:rsidP="002248D1">
      <w:pPr>
        <w:pStyle w:val="ListParagraph"/>
        <w:numPr>
          <w:ilvl w:val="0"/>
          <w:numId w:val="66"/>
        </w:numPr>
        <w:spacing w:after="160" w:line="279" w:lineRule="auto"/>
      </w:pPr>
      <w:r w:rsidRPr="005B05B3">
        <w:t>Banning order</w:t>
      </w:r>
    </w:p>
    <w:p w14:paraId="30EBD13C" w14:textId="77777777" w:rsidR="00035D76" w:rsidRPr="005B05B3" w:rsidRDefault="00035D76" w:rsidP="002248D1">
      <w:pPr>
        <w:pStyle w:val="ListParagraph"/>
        <w:numPr>
          <w:ilvl w:val="0"/>
          <w:numId w:val="66"/>
        </w:numPr>
        <w:spacing w:after="160" w:line="279" w:lineRule="auto"/>
      </w:pPr>
      <w:r w:rsidRPr="005B05B3">
        <w:t>Enforceable undertaking</w:t>
      </w:r>
    </w:p>
    <w:p w14:paraId="61C6BD84" w14:textId="26222A38" w:rsidR="00035D76" w:rsidRPr="005B05B3" w:rsidRDefault="00035D76" w:rsidP="002248D1">
      <w:pPr>
        <w:pStyle w:val="ListParagraph"/>
        <w:numPr>
          <w:ilvl w:val="0"/>
          <w:numId w:val="66"/>
        </w:numPr>
        <w:spacing w:after="160" w:line="279" w:lineRule="auto"/>
      </w:pPr>
      <w:r w:rsidRPr="005B05B3">
        <w:t>Injunctions</w:t>
      </w:r>
    </w:p>
    <w:p w14:paraId="20615F2D" w14:textId="647314D7" w:rsidR="00035D76" w:rsidRPr="005B05B3" w:rsidRDefault="00035D76" w:rsidP="00035D76">
      <w:r w:rsidRPr="005B05B3">
        <w:t>The Taskforce recommends that with the introduction of a redesigned registration scheme, monitoring and compliance powers be reviewed. These powers should reflect the commitment to reduce and elimination of the violence, abuse, neglect and exploitation of people with disability. Further work needs to be undertaken by DSS and the NDIS Commission to progress this approach.</w:t>
      </w:r>
    </w:p>
    <w:p w14:paraId="05B5A786" w14:textId="77777777" w:rsidR="00035D76" w:rsidRPr="005B05B3" w:rsidRDefault="00035D76" w:rsidP="001B4BF0">
      <w:pPr>
        <w:pStyle w:val="Heading4"/>
        <w:spacing w:before="360" w:after="120"/>
      </w:pPr>
      <w:bookmarkStart w:id="114" w:name="_Toc170128771"/>
      <w:r w:rsidRPr="005B05B3">
        <w:t>Breaches of the Practice Standards</w:t>
      </w:r>
      <w:bookmarkEnd w:id="114"/>
    </w:p>
    <w:p w14:paraId="24E880B8" w14:textId="140EB3B6" w:rsidR="00035D76" w:rsidRPr="005B05B3" w:rsidRDefault="00035D76" w:rsidP="001B4BF0">
      <w:pPr>
        <w:pStyle w:val="Heading5"/>
        <w:spacing w:before="120" w:after="120"/>
        <w:rPr>
          <w:rFonts w:eastAsia="Aptos" w:cs="Aptos"/>
        </w:rPr>
      </w:pPr>
      <w:r w:rsidRPr="005B05B3">
        <w:t>Service agreements</w:t>
      </w:r>
    </w:p>
    <w:p w14:paraId="12D81AE6" w14:textId="210309FD" w:rsidR="00035D76" w:rsidRPr="005B05B3" w:rsidRDefault="00035D76" w:rsidP="60AE88A0">
      <w:pPr>
        <w:spacing w:line="278" w:lineRule="auto"/>
        <w:rPr>
          <w:rFonts w:eastAsia="Aptos" w:cs="Aptos"/>
        </w:rPr>
      </w:pPr>
      <w:r w:rsidRPr="005B05B3">
        <w:rPr>
          <w:rFonts w:eastAsia="Aptos" w:cs="Aptos"/>
        </w:rPr>
        <w:t>Currently, registered providers are required to provide a service agreement so that each participant has a clear understanding of the support they have chosen and how the support will be provided.</w:t>
      </w:r>
      <w:r w:rsidRPr="005B05B3">
        <w:rPr>
          <w:rStyle w:val="FootnoteReference"/>
          <w:rFonts w:eastAsia="Aptos" w:cs="Aptos"/>
        </w:rPr>
        <w:footnoteReference w:id="247"/>
      </w:r>
      <w:r w:rsidRPr="005B05B3">
        <w:rPr>
          <w:rStyle w:val="FootnoteReference"/>
          <w:rFonts w:eastAsia="Aptos" w:cs="Aptos"/>
        </w:rPr>
        <w:t xml:space="preserve"> </w:t>
      </w:r>
      <w:r w:rsidRPr="005B05B3">
        <w:rPr>
          <w:rFonts w:eastAsia="Aptos" w:cs="Aptos"/>
        </w:rPr>
        <w:t xml:space="preserve">In the case of SDA, it is required that each participant be supported to understand the terms and conditions that apply to their </w:t>
      </w:r>
      <w:r w:rsidR="00766109" w:rsidRPr="005B05B3">
        <w:rPr>
          <w:rFonts w:eastAsia="Aptos" w:cs="Aptos"/>
        </w:rPr>
        <w:t>SD</w:t>
      </w:r>
      <w:r w:rsidR="008F6E74">
        <w:rPr>
          <w:rFonts w:eastAsia="Aptos" w:cs="Aptos"/>
        </w:rPr>
        <w:t>A</w:t>
      </w:r>
      <w:r w:rsidRPr="005B05B3">
        <w:rPr>
          <w:rFonts w:eastAsia="Aptos" w:cs="Aptos"/>
        </w:rPr>
        <w:t xml:space="preserve"> dwelling and the associated service or tenancy agreements.</w:t>
      </w:r>
      <w:r w:rsidRPr="005B05B3">
        <w:rPr>
          <w:rStyle w:val="FootnoteReference"/>
          <w:rFonts w:eastAsia="Aptos" w:cs="Aptos"/>
        </w:rPr>
        <w:footnoteReference w:id="248"/>
      </w:r>
      <w:r w:rsidRPr="005B05B3">
        <w:rPr>
          <w:rFonts w:eastAsia="Aptos" w:cs="Aptos"/>
        </w:rPr>
        <w:t xml:space="preserve"> Despite these requirements, the Taskforce has heard evidence of there being inconsistent, onerous and illegal service agreements being imposed on participants by NDIS providers.</w:t>
      </w:r>
    </w:p>
    <w:p w14:paraId="5008FA11" w14:textId="47F5ADC7" w:rsidR="00035D76" w:rsidRPr="005B05B3" w:rsidRDefault="0D757222" w:rsidP="2319A92E">
      <w:pPr>
        <w:spacing w:line="278" w:lineRule="auto"/>
        <w:ind w:left="720"/>
        <w:rPr>
          <w:rFonts w:eastAsia="Aptos" w:cs="Aptos"/>
        </w:rPr>
      </w:pPr>
      <w:r w:rsidRPr="005B05B3">
        <w:rPr>
          <w:rStyle w:val="QuoteChar"/>
          <w:rFonts w:ascii="Aptos" w:hAnsi="Aptos"/>
        </w:rPr>
        <w:t xml:space="preserve">Audits of compliance should also include checking of service agreements. I have seen instances of unfair contract terms with some service agreements. Even </w:t>
      </w:r>
      <w:r w:rsidRPr="005B05B3">
        <w:rPr>
          <w:rStyle w:val="QuoteChar"/>
          <w:rFonts w:ascii="Aptos" w:hAnsi="Aptos"/>
        </w:rPr>
        <w:lastRenderedPageBreak/>
        <w:t>participants with full cognitive abilities might not be aware the terms of the agreement they have signed are unethical</w:t>
      </w:r>
      <w:r w:rsidR="00035D76" w:rsidRPr="005B05B3">
        <w:rPr>
          <w:rStyle w:val="QuoteChar"/>
          <w:rFonts w:ascii="Aptos" w:hAnsi="Aptos"/>
        </w:rPr>
        <w:t>.</w:t>
      </w:r>
      <w:r w:rsidR="00035D76" w:rsidRPr="005B05B3">
        <w:rPr>
          <w:rStyle w:val="FootnoteReference"/>
          <w:rFonts w:eastAsia="Aptos" w:cs="Aptos"/>
        </w:rPr>
        <w:footnoteReference w:id="249"/>
      </w:r>
    </w:p>
    <w:p w14:paraId="069EDFCD" w14:textId="444D3278" w:rsidR="00035D76" w:rsidRPr="005B05B3" w:rsidRDefault="00035D76" w:rsidP="00035D76">
      <w:pPr>
        <w:spacing w:line="278" w:lineRule="auto"/>
        <w:rPr>
          <w:rFonts w:eastAsia="Aptos" w:cs="Aptos"/>
        </w:rPr>
      </w:pPr>
      <w:r w:rsidRPr="005B05B3">
        <w:rPr>
          <w:rFonts w:eastAsia="Aptos" w:cs="Aptos"/>
        </w:rPr>
        <w:t>These issues have been found in both registered and unregistered NDIS providers. In particular, the Taskforce</w:t>
      </w:r>
      <w:r w:rsidR="009E5C5E" w:rsidRPr="005B05B3">
        <w:rPr>
          <w:rFonts w:eastAsia="Aptos" w:cs="Aptos"/>
        </w:rPr>
        <w:t xml:space="preserve"> would be concerned with practices such as </w:t>
      </w:r>
      <w:r w:rsidR="00E06828" w:rsidRPr="005B05B3">
        <w:rPr>
          <w:rFonts w:eastAsia="Aptos" w:cs="Aptos"/>
        </w:rPr>
        <w:t>imposing onerous</w:t>
      </w:r>
      <w:r w:rsidRPr="005B05B3">
        <w:rPr>
          <w:rFonts w:eastAsia="Aptos" w:cs="Aptos"/>
        </w:rPr>
        <w:t xml:space="preserve"> obligations on the client (person with disability) to meet work health and safety obligations otherwise needing to be met by employers, clauses that prohibit clients from working with their support workers for a specified period after the termination of a contract and unconscionably short periods for termination of service provision without cogent reason.</w:t>
      </w:r>
    </w:p>
    <w:p w14:paraId="17FC5D7E" w14:textId="307EF45B" w:rsidR="00035D76" w:rsidRPr="005B05B3" w:rsidRDefault="00035D76" w:rsidP="00035D76">
      <w:pPr>
        <w:spacing w:line="278" w:lineRule="auto"/>
        <w:rPr>
          <w:rFonts w:eastAsia="Aptos" w:cs="Aptos"/>
        </w:rPr>
      </w:pPr>
      <w:r w:rsidRPr="005B05B3">
        <w:rPr>
          <w:rFonts w:eastAsia="Aptos" w:cs="Aptos"/>
        </w:rPr>
        <w:t>These concerning provisions impact people with disability significantly, in practical ways through risk of losing services they depend on without legal recourse but also in unethical ways through taking advantage of the power imbalance inherent between a service provider and a client, whatever the circumstances of that individual.</w:t>
      </w:r>
    </w:p>
    <w:p w14:paraId="479B7015" w14:textId="11711FA1" w:rsidR="00035D76" w:rsidRPr="005B05B3" w:rsidRDefault="00035D76" w:rsidP="00035D76">
      <w:pPr>
        <w:spacing w:line="278" w:lineRule="auto"/>
        <w:rPr>
          <w:rFonts w:eastAsia="Aptos" w:cs="Aptos"/>
        </w:rPr>
      </w:pPr>
      <w:r w:rsidRPr="005B05B3">
        <w:rPr>
          <w:rFonts w:eastAsia="Aptos" w:cs="Aptos"/>
        </w:rPr>
        <w:t>The Taskforce is reluctant to make a recommendation for all registered NDIS providers to have service agreements. Service agreements are a unique and specific part of a business’ operations and flexibility should be retained for NDIS providers to engage with clients as they need to for their business needs. However, it is critical that providers understand that these agreements need to comply with contractual and consumer law. Failure to do so may see the NDIS Commission refer the issue to the ACCC or similar body. Further, it is likely that going forward unethical and illegal conduct will, as it is now, be considered a breach of the Code of Conduct. This gives rise to regulatory action being taken against the provider by the NDIS Commission.</w:t>
      </w:r>
    </w:p>
    <w:p w14:paraId="0CE9C593" w14:textId="77777777" w:rsidR="00BB1974" w:rsidRPr="005B05B3" w:rsidRDefault="00BB1974" w:rsidP="001B4BF0">
      <w:pPr>
        <w:pStyle w:val="Heading3"/>
        <w:spacing w:before="360" w:after="120"/>
      </w:pPr>
      <w:r w:rsidRPr="00924690">
        <w:t>Fraud</w:t>
      </w:r>
    </w:p>
    <w:p w14:paraId="54B7F926" w14:textId="6017A31C" w:rsidR="00BB1974" w:rsidRPr="005B05B3" w:rsidRDefault="00BB1974" w:rsidP="001D5DC8">
      <w:pPr>
        <w:spacing w:line="276" w:lineRule="auto"/>
      </w:pPr>
      <w:r w:rsidRPr="005B05B3">
        <w:t xml:space="preserve">The Taskforce acknowledges that the Fraud Fusion Taskforce is currently working to address fraud within the NDIS. </w:t>
      </w:r>
      <w:r w:rsidR="6E4FD3CD" w:rsidRPr="005B05B3">
        <w:t>We acknowledge the expertise of the Fraud Fusion Taskforce and recognises the work they are undertaking to address fraud in the Scheme.</w:t>
      </w:r>
      <w:r w:rsidRPr="005B05B3">
        <w:t xml:space="preserve"> The Taskforce received advice from </w:t>
      </w:r>
      <w:r w:rsidR="00181EDF">
        <w:t xml:space="preserve">members of </w:t>
      </w:r>
      <w:r w:rsidRPr="005B05B3">
        <w:t xml:space="preserve">the Fraud Fusion Taskforce on ways in which the registration scheme can assist in their efforts to address fraud in the </w:t>
      </w:r>
      <w:r w:rsidR="007901BF" w:rsidRPr="005B05B3">
        <w:t>s</w:t>
      </w:r>
      <w:r w:rsidRPr="005B05B3">
        <w:t>cheme, they advised:</w:t>
      </w:r>
    </w:p>
    <w:p w14:paraId="30DE0CA2" w14:textId="77777777" w:rsidR="00BB1974" w:rsidRPr="005B05B3" w:rsidRDefault="00BB1974" w:rsidP="002248D1">
      <w:pPr>
        <w:pStyle w:val="ListParagraph"/>
        <w:numPr>
          <w:ilvl w:val="0"/>
          <w:numId w:val="67"/>
        </w:numPr>
        <w:spacing w:after="0" w:line="276" w:lineRule="auto"/>
        <w:rPr>
          <w:rFonts w:eastAsia="Arial" w:cs="Arial"/>
        </w:rPr>
      </w:pPr>
      <w:r w:rsidRPr="005B05B3">
        <w:rPr>
          <w:rFonts w:eastAsia="Arial" w:cs="Arial"/>
        </w:rPr>
        <w:t>there should be consistency in verification of identification of providers and workers, this includes consideration of linking identification across other parts of the economy such as document verification checks, TFN matching, and Director ID.</w:t>
      </w:r>
    </w:p>
    <w:p w14:paraId="519776EC" w14:textId="77777777" w:rsidR="00BB1974" w:rsidRPr="005B05B3" w:rsidRDefault="00BB1974" w:rsidP="002248D1">
      <w:pPr>
        <w:pStyle w:val="ListParagraph"/>
        <w:numPr>
          <w:ilvl w:val="0"/>
          <w:numId w:val="67"/>
        </w:numPr>
        <w:spacing w:after="0" w:line="276" w:lineRule="auto"/>
        <w:rPr>
          <w:rFonts w:eastAsia="Arial" w:cs="Arial"/>
        </w:rPr>
      </w:pPr>
      <w:r w:rsidRPr="005B05B3">
        <w:rPr>
          <w:rFonts w:eastAsia="Arial" w:cs="Arial"/>
        </w:rPr>
        <w:lastRenderedPageBreak/>
        <w:t>improved information sharing and data matching, enabled through legislation, would ensure that the individuals/ entities being registered are consistently known across the various touchpoints of the economy.</w:t>
      </w:r>
    </w:p>
    <w:p w14:paraId="3ABA0DEE" w14:textId="77777777" w:rsidR="00BB1974" w:rsidRPr="005B05B3" w:rsidRDefault="00BB1974" w:rsidP="002248D1">
      <w:pPr>
        <w:pStyle w:val="ListParagraph"/>
        <w:numPr>
          <w:ilvl w:val="0"/>
          <w:numId w:val="67"/>
        </w:numPr>
        <w:spacing w:after="0" w:line="276" w:lineRule="auto"/>
        <w:rPr>
          <w:rFonts w:eastAsia="Arial" w:cs="Arial"/>
        </w:rPr>
      </w:pPr>
      <w:r w:rsidRPr="005B05B3">
        <w:rPr>
          <w:rFonts w:eastAsia="Arial" w:cs="Arial"/>
        </w:rPr>
        <w:t>registration should be conditional on the ongoing fulfilment of provider obligations, including any changes to these over time.</w:t>
      </w:r>
    </w:p>
    <w:p w14:paraId="0EB54745" w14:textId="5C9F21E7" w:rsidR="00BB1974" w:rsidRPr="005B05B3" w:rsidRDefault="00BB1974" w:rsidP="002248D1">
      <w:pPr>
        <w:pStyle w:val="ListParagraph"/>
        <w:numPr>
          <w:ilvl w:val="0"/>
          <w:numId w:val="67"/>
        </w:numPr>
        <w:spacing w:after="0" w:line="276" w:lineRule="auto"/>
      </w:pPr>
      <w:r w:rsidRPr="005B05B3">
        <w:rPr>
          <w:rFonts w:eastAsia="Arial" w:cs="Arial"/>
        </w:rPr>
        <w:t>embedding</w:t>
      </w:r>
      <w:r w:rsidRPr="005B05B3">
        <w:t xml:space="preserve"> integrity measures into the registration model</w:t>
      </w:r>
      <w:r w:rsidR="008C7D35">
        <w:t xml:space="preserve">, as recommended by the </w:t>
      </w:r>
      <w:r w:rsidRPr="005B05B3">
        <w:t>NDIS Review</w:t>
      </w:r>
      <w:r w:rsidR="008C7D35">
        <w:t>. This should include</w:t>
      </w:r>
      <w:r w:rsidR="0012472D">
        <w:t xml:space="preserve"> a</w:t>
      </w:r>
      <w:r w:rsidRPr="005B05B3">
        <w:t xml:space="preserve"> real time payment platform for visibility of financial transactions.</w:t>
      </w:r>
    </w:p>
    <w:p w14:paraId="5B7BD371" w14:textId="7C764627" w:rsidR="00BB1974" w:rsidRPr="005B05B3" w:rsidRDefault="00E42A0E" w:rsidP="00603BF3">
      <w:pPr>
        <w:spacing w:before="120" w:line="276" w:lineRule="auto"/>
        <w:rPr>
          <w:rFonts w:eastAsia="Aptos" w:cs="Aptos"/>
        </w:rPr>
      </w:pPr>
      <w:r>
        <w:t>T</w:t>
      </w:r>
      <w:r w:rsidR="00BB1974" w:rsidRPr="005B05B3">
        <w:t xml:space="preserve">he Taskforce recommends </w:t>
      </w:r>
      <w:r w:rsidR="00BB1974" w:rsidRPr="005B05B3">
        <w:rPr>
          <w:rFonts w:eastAsia="Aptos" w:cs="Aptos"/>
        </w:rPr>
        <w:t>identification of key personnel</w:t>
      </w:r>
      <w:r w:rsidR="00BB1974" w:rsidRPr="005B05B3">
        <w:t xml:space="preserve"> and using e</w:t>
      </w:r>
      <w:r w:rsidR="00BB1974" w:rsidRPr="005B05B3">
        <w:rPr>
          <w:rFonts w:eastAsia="Aptos" w:cs="Aptos"/>
        </w:rPr>
        <w:t>xisting systems that are reliable and strong, such as myGov and Single Touch Payroll may be used to verify identification where appropriate.</w:t>
      </w:r>
    </w:p>
    <w:p w14:paraId="73C4F560" w14:textId="0404DE6F" w:rsidR="3A153BD9" w:rsidRPr="005B05B3" w:rsidRDefault="3A153BD9" w:rsidP="5EFE2499">
      <w:pPr>
        <w:rPr>
          <w:rFonts w:eastAsia="Aptos" w:cs="Aptos"/>
        </w:rPr>
      </w:pPr>
      <w:r w:rsidRPr="005B05B3">
        <w:rPr>
          <w:rFonts w:eastAsia="Aptos" w:cs="Aptos"/>
        </w:rPr>
        <w:t xml:space="preserve">On our request, </w:t>
      </w:r>
      <w:r w:rsidR="00181EDF">
        <w:rPr>
          <w:rFonts w:eastAsia="Aptos" w:cs="Aptos"/>
        </w:rPr>
        <w:t xml:space="preserve">members of </w:t>
      </w:r>
      <w:r w:rsidRPr="005B05B3">
        <w:rPr>
          <w:rFonts w:eastAsia="Aptos" w:cs="Aptos"/>
        </w:rPr>
        <w:t xml:space="preserve">the Fraud Fusion Taskforce confirmed that changes to the definition of </w:t>
      </w:r>
      <w:r w:rsidR="008A698B" w:rsidRPr="005B05B3">
        <w:rPr>
          <w:rFonts w:eastAsia="Aptos" w:cs="Aptos"/>
        </w:rPr>
        <w:t>‘</w:t>
      </w:r>
      <w:r w:rsidRPr="005B05B3">
        <w:rPr>
          <w:rFonts w:eastAsia="Aptos" w:cs="Aptos"/>
        </w:rPr>
        <w:t>NDIS Provider</w:t>
      </w:r>
      <w:r w:rsidR="008A698B" w:rsidRPr="005B05B3">
        <w:rPr>
          <w:rFonts w:eastAsia="Aptos" w:cs="Aptos"/>
        </w:rPr>
        <w:t>’</w:t>
      </w:r>
      <w:r w:rsidRPr="005B05B3">
        <w:rPr>
          <w:rFonts w:eastAsia="Aptos" w:cs="Aptos"/>
        </w:rPr>
        <w:t xml:space="preserve"> under the NDIS Act (</w:t>
      </w:r>
      <w:r w:rsidR="00117CDE" w:rsidRPr="005B05B3">
        <w:rPr>
          <w:rFonts w:eastAsia="Aptos" w:cs="Aptos"/>
        </w:rPr>
        <w:t xml:space="preserve">refer </w:t>
      </w:r>
      <w:hyperlink w:anchor="_Defining_‘Providers’_and" w:history="1">
        <w:r w:rsidRPr="00603BF3">
          <w:rPr>
            <w:rStyle w:val="Hyperlink"/>
            <w:rFonts w:ascii="Aptos" w:eastAsia="Aptos" w:hAnsi="Aptos" w:cs="Aptos"/>
          </w:rPr>
          <w:t xml:space="preserve">Chapter </w:t>
        </w:r>
        <w:r w:rsidR="00603BF3" w:rsidRPr="00603BF3">
          <w:rPr>
            <w:rStyle w:val="Hyperlink"/>
            <w:rFonts w:ascii="Aptos" w:eastAsia="Aptos" w:hAnsi="Aptos" w:cs="Aptos"/>
          </w:rPr>
          <w:t>3</w:t>
        </w:r>
      </w:hyperlink>
      <w:r w:rsidRPr="005B05B3">
        <w:rPr>
          <w:rFonts w:eastAsia="Aptos" w:cs="Aptos"/>
        </w:rPr>
        <w:t xml:space="preserve">) will be unlikely to increase incidents of fraud. </w:t>
      </w:r>
      <w:r w:rsidR="57107B88" w:rsidRPr="005B05B3">
        <w:rPr>
          <w:rFonts w:eastAsia="Aptos" w:cs="Aptos"/>
        </w:rPr>
        <w:t>It is important to acknowledge that fraud occurs in both registered and unregistered providers so amending the scope of who is required to register (or not) is not likely to see more fraud result.</w:t>
      </w:r>
    </w:p>
    <w:p w14:paraId="45D53C73" w14:textId="7E545E94" w:rsidR="00F376F5" w:rsidRPr="005B05B3" w:rsidRDefault="203AF459" w:rsidP="0074087A">
      <w:pPr>
        <w:rPr>
          <w:rFonts w:cstheme="minorBidi"/>
          <w:color w:val="0D2B58"/>
          <w:sz w:val="56"/>
          <w:szCs w:val="56"/>
          <w:lang w:eastAsia="zh-CN"/>
        </w:rPr>
        <w:sectPr w:rsidR="00F376F5" w:rsidRPr="005B05B3" w:rsidSect="00D35FEB">
          <w:headerReference w:type="default" r:id="rId31"/>
          <w:headerReference w:type="first" r:id="rId32"/>
          <w:pgSz w:w="11906" w:h="16838"/>
          <w:pgMar w:top="1768" w:right="1440" w:bottom="1440" w:left="1440" w:header="907" w:footer="709" w:gutter="0"/>
          <w:cols w:space="708"/>
          <w:titlePg/>
          <w:docGrid w:linePitch="360"/>
        </w:sectPr>
      </w:pPr>
      <w:r w:rsidRPr="005B05B3">
        <w:rPr>
          <w:rFonts w:eastAsia="Aptos" w:cs="Aptos"/>
        </w:rPr>
        <w:t xml:space="preserve">Continued work to build the registration scheme should occur in consultation with the </w:t>
      </w:r>
      <w:r w:rsidR="599F0A29" w:rsidRPr="005B05B3">
        <w:rPr>
          <w:rFonts w:eastAsia="Aptos" w:cs="Aptos"/>
        </w:rPr>
        <w:t>Fraud Fusion Taskforce.</w:t>
      </w:r>
    </w:p>
    <w:bookmarkStart w:id="115" w:name="_Regulation_of_the"/>
    <w:bookmarkStart w:id="116" w:name="_Toc170128772"/>
    <w:bookmarkStart w:id="117" w:name="_Toc173318069"/>
    <w:bookmarkEnd w:id="115"/>
    <w:p w14:paraId="0F85CBB4" w14:textId="2113EF26" w:rsidR="007C5663" w:rsidRPr="005B05B3" w:rsidRDefault="00CB0809" w:rsidP="002248D1">
      <w:pPr>
        <w:pStyle w:val="Heading1"/>
        <w:tabs>
          <w:tab w:val="clear" w:pos="851"/>
          <w:tab w:val="num" w:pos="1134"/>
        </w:tabs>
      </w:pPr>
      <w:r w:rsidRPr="005B05B3">
        <w:rPr>
          <w:noProof/>
        </w:rPr>
        <w:lastRenderedPageBreak/>
        <mc:AlternateContent>
          <mc:Choice Requires="wps">
            <w:drawing>
              <wp:anchor distT="0" distB="0" distL="114300" distR="114300" simplePos="0" relativeHeight="251655171" behindDoc="1" locked="0" layoutInCell="1" allowOverlap="1" wp14:anchorId="5AD572E4" wp14:editId="19B5D047">
                <wp:simplePos x="0" y="0"/>
                <wp:positionH relativeFrom="column">
                  <wp:posOffset>-117695</wp:posOffset>
                </wp:positionH>
                <wp:positionV relativeFrom="paragraph">
                  <wp:posOffset>606532</wp:posOffset>
                </wp:positionV>
                <wp:extent cx="6196330" cy="8081161"/>
                <wp:effectExtent l="0" t="0" r="1270" b="0"/>
                <wp:wrapNone/>
                <wp:docPr id="97894087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96330" cy="8081161"/>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734CE" id="Rectangle 1" o:spid="_x0000_s1026" alt="&quot;&quot;" style="position:absolute;margin-left:-9.25pt;margin-top:47.75pt;width:487.9pt;height:636.3pt;z-index:-251661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" fillcolor="#e8e8e8 [3214]" stroked="f" strokeweight="1pt"/>
            </w:pict>
          </mc:Fallback>
        </mc:AlternateContent>
      </w:r>
      <w:r w:rsidR="47224623" w:rsidRPr="005B05B3">
        <w:t>Regulation of the workforce</w:t>
      </w:r>
      <w:bookmarkEnd w:id="116"/>
      <w:bookmarkEnd w:id="117"/>
    </w:p>
    <w:p w14:paraId="5DF05DC6" w14:textId="43BC1239" w:rsidR="001805FB" w:rsidRPr="005B05B3" w:rsidRDefault="001805FB" w:rsidP="00726A26">
      <w:pPr>
        <w:pStyle w:val="BodyText"/>
        <w:spacing w:before="240" w:after="0"/>
        <w:rPr>
          <w:rFonts w:eastAsia="Arial"/>
          <w:b/>
          <w:bCs/>
        </w:rPr>
      </w:pPr>
      <w:r w:rsidRPr="005B05B3">
        <w:rPr>
          <w:rFonts w:eastAsia="Arial"/>
          <w:b/>
          <w:bCs/>
        </w:rPr>
        <w:t>Recommendation 10</w:t>
      </w:r>
    </w:p>
    <w:p w14:paraId="1E4EF3D0" w14:textId="7388F6FB" w:rsidR="003B0F0F" w:rsidRPr="003B0F0F" w:rsidRDefault="003B0F0F" w:rsidP="008B08DC">
      <w:pPr>
        <w:spacing w:after="40"/>
        <w:rPr>
          <w:rFonts w:eastAsia="Arial"/>
        </w:rPr>
      </w:pPr>
      <w:r w:rsidRPr="003B0F0F">
        <w:rPr>
          <w:rFonts w:eastAsia="Arial"/>
        </w:rPr>
        <w:t xml:space="preserve">The Taskforce recommends a </w:t>
      </w:r>
      <w:r w:rsidRPr="003B0F0F">
        <w:rPr>
          <w:rFonts w:eastAsia="Arial"/>
          <w:b/>
          <w:bCs/>
        </w:rPr>
        <w:t>Worker Registration Scheme</w:t>
      </w:r>
      <w:r w:rsidRPr="003B0F0F">
        <w:rPr>
          <w:rFonts w:eastAsia="Arial"/>
        </w:rPr>
        <w:t xml:space="preserve"> be introduced for all workers. However, the scope of the definition of ‘worker’, like NDIS providers, needs further consideration and co-design with the disability community and sector. A Worker Registration Scheme should include: </w:t>
      </w:r>
    </w:p>
    <w:p w14:paraId="55EC35EC" w14:textId="77777777" w:rsidR="003B0F0F" w:rsidRPr="003B0F0F" w:rsidRDefault="003B0F0F" w:rsidP="002248D1">
      <w:pPr>
        <w:pStyle w:val="ListParagraph"/>
        <w:numPr>
          <w:ilvl w:val="0"/>
          <w:numId w:val="50"/>
        </w:numPr>
        <w:spacing w:after="40"/>
        <w:ind w:left="993"/>
        <w:contextualSpacing w:val="0"/>
        <w:rPr>
          <w:rFonts w:eastAsia="Arial"/>
        </w:rPr>
      </w:pPr>
      <w:r w:rsidRPr="003B0F0F">
        <w:rPr>
          <w:rFonts w:eastAsia="Arial"/>
        </w:rPr>
        <w:t>a public register to be established of workers registered to provide services under the NDIS</w:t>
      </w:r>
    </w:p>
    <w:p w14:paraId="61DD8F63" w14:textId="77777777" w:rsidR="003B0F0F" w:rsidRPr="003B0F0F" w:rsidRDefault="003B0F0F" w:rsidP="002248D1">
      <w:pPr>
        <w:pStyle w:val="ListParagraph"/>
        <w:numPr>
          <w:ilvl w:val="0"/>
          <w:numId w:val="50"/>
        </w:numPr>
        <w:spacing w:after="40"/>
        <w:ind w:left="993"/>
        <w:contextualSpacing w:val="0"/>
        <w:rPr>
          <w:rFonts w:eastAsia="Arial"/>
        </w:rPr>
      </w:pPr>
      <w:r w:rsidRPr="003B0F0F">
        <w:rPr>
          <w:rFonts w:eastAsia="Arial"/>
        </w:rPr>
        <w:t>requirements for professional development</w:t>
      </w:r>
    </w:p>
    <w:p w14:paraId="0BD2B9BC" w14:textId="77777777" w:rsidR="003B0F0F" w:rsidRPr="003B0F0F" w:rsidRDefault="003B0F0F" w:rsidP="002248D1">
      <w:pPr>
        <w:pStyle w:val="ListParagraph"/>
        <w:numPr>
          <w:ilvl w:val="0"/>
          <w:numId w:val="50"/>
        </w:numPr>
        <w:spacing w:after="40"/>
        <w:ind w:left="993"/>
        <w:contextualSpacing w:val="0"/>
        <w:rPr>
          <w:rFonts w:eastAsia="Arial"/>
        </w:rPr>
      </w:pPr>
      <w:r w:rsidRPr="003B0F0F">
        <w:rPr>
          <w:rFonts w:eastAsia="Arial"/>
        </w:rPr>
        <w:t>a worker training and qualifications framework (including minimum training and qualification requirements) to apply to the disability sector.</w:t>
      </w:r>
    </w:p>
    <w:p w14:paraId="2E2C22EF" w14:textId="77777777" w:rsidR="003B0F0F" w:rsidRPr="003B0F0F" w:rsidRDefault="003B0F0F" w:rsidP="002248D1">
      <w:pPr>
        <w:pStyle w:val="ListParagraph"/>
        <w:numPr>
          <w:ilvl w:val="0"/>
          <w:numId w:val="50"/>
        </w:numPr>
        <w:spacing w:after="40"/>
        <w:ind w:left="993"/>
        <w:contextualSpacing w:val="0"/>
        <w:rPr>
          <w:rFonts w:eastAsia="Arial"/>
        </w:rPr>
      </w:pPr>
      <w:r w:rsidRPr="003B0F0F">
        <w:rPr>
          <w:rFonts w:eastAsia="Arial"/>
        </w:rPr>
        <w:t>worker registration to be automatic, simple and enabled through an online portal (with alternative accessible formats as needed)</w:t>
      </w:r>
    </w:p>
    <w:p w14:paraId="6E450928" w14:textId="77777777" w:rsidR="003B0F0F" w:rsidRPr="003B0F0F" w:rsidRDefault="003B0F0F" w:rsidP="002248D1">
      <w:pPr>
        <w:pStyle w:val="ListParagraph"/>
        <w:numPr>
          <w:ilvl w:val="0"/>
          <w:numId w:val="50"/>
        </w:numPr>
        <w:spacing w:after="40"/>
        <w:ind w:left="993"/>
        <w:contextualSpacing w:val="0"/>
        <w:rPr>
          <w:rFonts w:eastAsia="Arial"/>
        </w:rPr>
      </w:pPr>
      <w:r w:rsidRPr="003B0F0F">
        <w:rPr>
          <w:rFonts w:eastAsia="Arial"/>
        </w:rPr>
        <w:t>registration is to be transparent, not place unreasonable costs on workers or Providers and enable identification verification to be conducted via myGov including the requirement of photo identification</w:t>
      </w:r>
    </w:p>
    <w:p w14:paraId="03CD89CB" w14:textId="77777777" w:rsidR="003B0F0F" w:rsidRPr="003B0F0F" w:rsidRDefault="003B0F0F" w:rsidP="002248D1">
      <w:pPr>
        <w:pStyle w:val="ListParagraph"/>
        <w:numPr>
          <w:ilvl w:val="0"/>
          <w:numId w:val="50"/>
        </w:numPr>
        <w:spacing w:after="40"/>
        <w:ind w:left="993"/>
        <w:contextualSpacing w:val="0"/>
        <w:rPr>
          <w:rFonts w:eastAsia="Arial"/>
        </w:rPr>
      </w:pPr>
      <w:r w:rsidRPr="003B0F0F">
        <w:rPr>
          <w:rFonts w:eastAsia="Arial"/>
        </w:rPr>
        <w:t>all NDIS providers must provide such instruction, training and supervision to workers as is necessary to enable workers to perform their work in a way that is safe and without risks to the participant or themselves.</w:t>
      </w:r>
    </w:p>
    <w:p w14:paraId="7F2BEF15" w14:textId="77777777" w:rsidR="003B0F0F" w:rsidRPr="003B0F0F" w:rsidRDefault="003B0F0F" w:rsidP="002248D1">
      <w:pPr>
        <w:pStyle w:val="ListParagraph"/>
        <w:numPr>
          <w:ilvl w:val="0"/>
          <w:numId w:val="50"/>
        </w:numPr>
        <w:spacing w:after="40"/>
        <w:ind w:left="993"/>
        <w:contextualSpacing w:val="0"/>
        <w:rPr>
          <w:rFonts w:eastAsia="Arial"/>
        </w:rPr>
      </w:pPr>
      <w:r w:rsidRPr="003B0F0F">
        <w:rPr>
          <w:rFonts w:eastAsia="Arial"/>
        </w:rPr>
        <w:t>NDIS Providers in the Advanced and General Registration Categories who employ or have a job placement arrangement with five or more workers has, as a condition of their ongoing registration, responsibility for ensuring that each worker has an individual training, skills enhancement and accreditation plan which is updated in consultation with the worker at least every twelve12 months.</w:t>
      </w:r>
    </w:p>
    <w:p w14:paraId="194CF94E" w14:textId="537FFDA0" w:rsidR="002D4DAE" w:rsidRPr="005B05B3" w:rsidRDefault="003B0F0F" w:rsidP="002248D1">
      <w:pPr>
        <w:pStyle w:val="ListParagraph"/>
        <w:numPr>
          <w:ilvl w:val="0"/>
          <w:numId w:val="50"/>
        </w:numPr>
        <w:spacing w:after="0" w:line="276" w:lineRule="auto"/>
        <w:ind w:left="993"/>
        <w:rPr>
          <w:rFonts w:eastAsia="Arial"/>
        </w:rPr>
      </w:pPr>
      <w:r w:rsidRPr="003B0F0F">
        <w:rPr>
          <w:rFonts w:eastAsia="Arial"/>
        </w:rPr>
        <w:t>to maintain registration, registered workers be required to undertake 10 hours per year of ongoing professional development training</w:t>
      </w:r>
      <w:r w:rsidR="002D4DAE" w:rsidRPr="005B05B3">
        <w:rPr>
          <w:rFonts w:eastAsia="Arial"/>
        </w:rPr>
        <w:t>.</w:t>
      </w:r>
    </w:p>
    <w:p w14:paraId="4455C22F" w14:textId="6CB69E63" w:rsidR="001532D0" w:rsidRPr="005B05B3" w:rsidRDefault="001532D0" w:rsidP="00726A26">
      <w:pPr>
        <w:spacing w:before="240" w:after="0"/>
        <w:rPr>
          <w:rFonts w:eastAsia="Arial"/>
          <w:b/>
          <w:bCs/>
        </w:rPr>
      </w:pPr>
      <w:r w:rsidRPr="005B05B3">
        <w:rPr>
          <w:rFonts w:eastAsia="Arial"/>
          <w:b/>
          <w:bCs/>
        </w:rPr>
        <w:t>Recommendation 11</w:t>
      </w:r>
    </w:p>
    <w:p w14:paraId="6994D5B6" w14:textId="49FD3964" w:rsidR="002D4DAE" w:rsidRPr="005B05B3" w:rsidRDefault="001532D0" w:rsidP="001D5DC8">
      <w:pPr>
        <w:spacing w:after="120"/>
        <w:rPr>
          <w:lang w:eastAsia="zh-CN"/>
        </w:rPr>
      </w:pPr>
      <w:r w:rsidRPr="005B05B3">
        <w:rPr>
          <w:rFonts w:eastAsia="Arial"/>
        </w:rPr>
        <w:t>Practitioners</w:t>
      </w:r>
      <w:r w:rsidR="004832A1" w:rsidRPr="005B05B3">
        <w:rPr>
          <w:rFonts w:eastAsia="Arial"/>
        </w:rPr>
        <w:t>,</w:t>
      </w:r>
      <w:r w:rsidRPr="005B05B3">
        <w:rPr>
          <w:rFonts w:eastAsia="Arial"/>
        </w:rPr>
        <w:t xml:space="preserve"> including allied health practitioners</w:t>
      </w:r>
      <w:r w:rsidR="004832A1" w:rsidRPr="005B05B3">
        <w:rPr>
          <w:rFonts w:eastAsia="Arial"/>
        </w:rPr>
        <w:t>,</w:t>
      </w:r>
      <w:r w:rsidRPr="005B05B3">
        <w:rPr>
          <w:rFonts w:eastAsia="Arial"/>
        </w:rPr>
        <w:t xml:space="preserve"> that hold professional registration may have that registration recognised to avoid duplication and administrative burden. However, where there is a difference between the professional registration and the NDIS Provider and Worker Registration Scheme, the practitioner will need to meet those outstanding obligations to provide NDIS supports.</w:t>
      </w:r>
    </w:p>
    <w:p w14:paraId="27FA58D8" w14:textId="6F8248CD" w:rsidR="00573F13" w:rsidRPr="005B05B3" w:rsidRDefault="0053031D" w:rsidP="001D5DC8">
      <w:pPr>
        <w:spacing w:before="480" w:after="120"/>
        <w:rPr>
          <w:lang w:eastAsia="zh-CN"/>
        </w:rPr>
      </w:pPr>
      <w:r w:rsidRPr="005B05B3">
        <w:rPr>
          <w:lang w:eastAsia="zh-CN"/>
        </w:rPr>
        <w:t>In this Chapter, the Taskforce outline</w:t>
      </w:r>
      <w:r w:rsidR="00EA0C51" w:rsidRPr="005B05B3">
        <w:rPr>
          <w:lang w:eastAsia="zh-CN"/>
        </w:rPr>
        <w:t>s</w:t>
      </w:r>
      <w:r w:rsidRPr="005B05B3">
        <w:rPr>
          <w:lang w:eastAsia="zh-CN"/>
        </w:rPr>
        <w:t xml:space="preserve"> our </w:t>
      </w:r>
      <w:r w:rsidR="00EA0C51" w:rsidRPr="005B05B3">
        <w:rPr>
          <w:lang w:eastAsia="zh-CN"/>
        </w:rPr>
        <w:t xml:space="preserve">recommendations </w:t>
      </w:r>
      <w:r w:rsidRPr="005B05B3">
        <w:rPr>
          <w:lang w:eastAsia="zh-CN"/>
        </w:rPr>
        <w:t xml:space="preserve">to </w:t>
      </w:r>
      <w:r w:rsidR="00AF7A79" w:rsidRPr="005B05B3">
        <w:rPr>
          <w:lang w:eastAsia="zh-CN"/>
        </w:rPr>
        <w:t>w</w:t>
      </w:r>
      <w:r w:rsidR="006C60C6" w:rsidRPr="005B05B3">
        <w:rPr>
          <w:lang w:eastAsia="zh-CN"/>
        </w:rPr>
        <w:t>orker</w:t>
      </w:r>
      <w:r w:rsidRPr="005B05B3">
        <w:rPr>
          <w:lang w:eastAsia="zh-CN"/>
        </w:rPr>
        <w:t xml:space="preserve"> </w:t>
      </w:r>
      <w:r w:rsidR="00AF7A79" w:rsidRPr="005B05B3">
        <w:rPr>
          <w:lang w:eastAsia="zh-CN"/>
        </w:rPr>
        <w:t>r</w:t>
      </w:r>
      <w:r w:rsidR="006C60C6" w:rsidRPr="005B05B3">
        <w:rPr>
          <w:lang w:eastAsia="zh-CN"/>
        </w:rPr>
        <w:t xml:space="preserve">egistration including the important aspects that must be considered when designing the </w:t>
      </w:r>
      <w:r w:rsidR="00B66E88" w:rsidRPr="005B05B3">
        <w:rPr>
          <w:lang w:eastAsia="zh-CN"/>
        </w:rPr>
        <w:t>w</w:t>
      </w:r>
      <w:r w:rsidR="006C60C6" w:rsidRPr="005B05B3">
        <w:rPr>
          <w:lang w:eastAsia="zh-CN"/>
        </w:rPr>
        <w:t xml:space="preserve">orker </w:t>
      </w:r>
      <w:r w:rsidR="00B66E88" w:rsidRPr="005B05B3">
        <w:rPr>
          <w:lang w:eastAsia="zh-CN"/>
        </w:rPr>
        <w:t>r</w:t>
      </w:r>
      <w:r w:rsidR="006C60C6" w:rsidRPr="005B05B3">
        <w:rPr>
          <w:lang w:eastAsia="zh-CN"/>
        </w:rPr>
        <w:t xml:space="preserve">egistration </w:t>
      </w:r>
      <w:r w:rsidR="008A6797">
        <w:rPr>
          <w:lang w:eastAsia="zh-CN"/>
        </w:rPr>
        <w:t>scheme</w:t>
      </w:r>
      <w:r w:rsidR="006F2379" w:rsidRPr="005B05B3">
        <w:rPr>
          <w:lang w:eastAsia="zh-CN"/>
        </w:rPr>
        <w:t xml:space="preserve"> and considerations on </w:t>
      </w:r>
      <w:r w:rsidR="00091258" w:rsidRPr="005B05B3">
        <w:rPr>
          <w:lang w:eastAsia="zh-CN"/>
        </w:rPr>
        <w:t>w</w:t>
      </w:r>
      <w:r w:rsidR="006F2379" w:rsidRPr="005B05B3">
        <w:rPr>
          <w:lang w:eastAsia="zh-CN"/>
        </w:rPr>
        <w:t xml:space="preserve">orker </w:t>
      </w:r>
      <w:r w:rsidR="00091258" w:rsidRPr="005B05B3">
        <w:rPr>
          <w:lang w:eastAsia="zh-CN"/>
        </w:rPr>
        <w:t>s</w:t>
      </w:r>
      <w:r w:rsidR="006F2379" w:rsidRPr="005B05B3">
        <w:rPr>
          <w:lang w:eastAsia="zh-CN"/>
        </w:rPr>
        <w:t>creening</w:t>
      </w:r>
      <w:r w:rsidR="006C60C6" w:rsidRPr="005B05B3">
        <w:rPr>
          <w:lang w:eastAsia="zh-CN"/>
        </w:rPr>
        <w:t xml:space="preserve">. </w:t>
      </w:r>
    </w:p>
    <w:p w14:paraId="168DD719" w14:textId="5A16C1A9" w:rsidR="003B06C9" w:rsidRPr="005B05B3" w:rsidRDefault="00A442B6" w:rsidP="004643AD">
      <w:pPr>
        <w:spacing w:before="240"/>
      </w:pPr>
      <w:r w:rsidRPr="005B05B3">
        <w:rPr>
          <w:lang w:eastAsia="zh-CN"/>
        </w:rPr>
        <w:lastRenderedPageBreak/>
        <w:t>Throughout our</w:t>
      </w:r>
      <w:r w:rsidR="003B06C9" w:rsidRPr="005B05B3">
        <w:t xml:space="preserve"> engagement with the disability community and sector, the Taskforce heard </w:t>
      </w:r>
      <w:r w:rsidR="434147D0" w:rsidRPr="005B05B3">
        <w:t>clearly</w:t>
      </w:r>
      <w:r w:rsidR="003B06C9" w:rsidRPr="005B05B3">
        <w:t xml:space="preserve"> </w:t>
      </w:r>
      <w:r w:rsidR="6F1BB029" w:rsidRPr="005B05B3">
        <w:t>of</w:t>
      </w:r>
      <w:r w:rsidR="003B06C9" w:rsidRPr="005B05B3">
        <w:t xml:space="preserve"> the vital</w:t>
      </w:r>
      <w:r w:rsidR="00BD1DC9">
        <w:t xml:space="preserve"> and valued</w:t>
      </w:r>
      <w:r w:rsidR="003B06C9" w:rsidRPr="005B05B3">
        <w:t xml:space="preserve"> role that the NDIS workforce plays in providing care and support to </w:t>
      </w:r>
      <w:r w:rsidR="00573F13" w:rsidRPr="005B05B3">
        <w:t xml:space="preserve">NDIS </w:t>
      </w:r>
      <w:r w:rsidR="00F0425C" w:rsidRPr="005B05B3">
        <w:t>participants</w:t>
      </w:r>
      <w:r w:rsidR="003B06C9" w:rsidRPr="005B05B3">
        <w:t>.</w:t>
      </w:r>
    </w:p>
    <w:p w14:paraId="7A655FB5" w14:textId="4B0A8925" w:rsidR="00444629" w:rsidRPr="005B05B3" w:rsidRDefault="00444629" w:rsidP="00444629">
      <w:r w:rsidRPr="005B05B3">
        <w:t>Noting</w:t>
      </w:r>
      <w:r w:rsidR="7CB0A374" w:rsidRPr="005B05B3">
        <w:t xml:space="preserve"> that</w:t>
      </w:r>
      <w:r w:rsidR="003B06C9" w:rsidRPr="005B05B3" w:rsidDel="00444629">
        <w:t xml:space="preserve"> </w:t>
      </w:r>
      <w:r w:rsidR="003B06C9" w:rsidRPr="005B05B3">
        <w:t xml:space="preserve">our Terms of Reference do not request specific advice on a worker registration scheme, </w:t>
      </w:r>
      <w:r w:rsidR="009D4474" w:rsidRPr="005B05B3">
        <w:t xml:space="preserve">as it is in our name </w:t>
      </w:r>
      <w:r w:rsidR="003B06C9" w:rsidRPr="005B05B3">
        <w:t xml:space="preserve">we have found through our engagement </w:t>
      </w:r>
      <w:r w:rsidR="2E230A67" w:rsidRPr="005B05B3">
        <w:t>that stakeholders wanted to share their solutions with us as to what a worker registration scheme could look like. We formed the view</w:t>
      </w:r>
      <w:r w:rsidR="003B06C9" w:rsidRPr="005B05B3" w:rsidDel="003B06C9">
        <w:t xml:space="preserve"> </w:t>
      </w:r>
      <w:r w:rsidR="4ACEEB0C" w:rsidRPr="005B05B3">
        <w:t>in</w:t>
      </w:r>
      <w:r w:rsidR="003B06C9" w:rsidRPr="005B05B3">
        <w:t xml:space="preserve"> consid</w:t>
      </w:r>
      <w:r w:rsidR="00C87660" w:rsidRPr="005B05B3">
        <w:t>e</w:t>
      </w:r>
      <w:r w:rsidR="003B06C9" w:rsidRPr="005B05B3">
        <w:t xml:space="preserve">ration of the topic that the composition of the market </w:t>
      </w:r>
      <w:r w:rsidRPr="005B05B3">
        <w:t xml:space="preserve">requires broadening the scope of consideration beyond </w:t>
      </w:r>
      <w:r w:rsidR="00475069" w:rsidRPr="005B05B3">
        <w:t>p</w:t>
      </w:r>
      <w:r w:rsidRPr="005B05B3">
        <w:t>roviders and Provider Obligations. W</w:t>
      </w:r>
      <w:r w:rsidR="003B06C9" w:rsidRPr="005B05B3">
        <w:t xml:space="preserve">orkers, operating independently or for employers, make up an important part of </w:t>
      </w:r>
      <w:r w:rsidR="2FB16229" w:rsidRPr="005B05B3">
        <w:t>delivering quality services</w:t>
      </w:r>
      <w:r w:rsidR="003B06C9" w:rsidRPr="005B05B3">
        <w:t xml:space="preserve">. </w:t>
      </w:r>
      <w:r w:rsidRPr="005B05B3">
        <w:t>In line with the Disability Royal Commission, the Taskforce recommends the establishment of a worker registration scheme.</w:t>
      </w:r>
    </w:p>
    <w:p w14:paraId="01BD99F8" w14:textId="29637E82" w:rsidR="00695AC7" w:rsidRPr="005B05B3" w:rsidRDefault="00A442B6" w:rsidP="006C68DE">
      <w:r w:rsidRPr="005B05B3">
        <w:t xml:space="preserve">The Taskforce acknowledges that registration and screening do not guarantee safety. </w:t>
      </w:r>
    </w:p>
    <w:p w14:paraId="2454A72F" w14:textId="35FBFD90" w:rsidR="00A442B6" w:rsidRPr="005B05B3" w:rsidRDefault="00A442B6" w:rsidP="006C68DE">
      <w:r w:rsidRPr="005B05B3">
        <w:t xml:space="preserve">However, given persistent concerns with the quality and safety for both </w:t>
      </w:r>
      <w:r w:rsidR="00714656" w:rsidRPr="005B05B3">
        <w:t>p</w:t>
      </w:r>
      <w:r w:rsidRPr="005B05B3">
        <w:t>articipants and workers, the Taskforce believes that a worker registration scheme, underpinned by worker screening, is an important safeguarding step to a better system</w:t>
      </w:r>
      <w:r w:rsidR="4DF427D6" w:rsidRPr="005B05B3">
        <w:t xml:space="preserve"> and improved outcomes</w:t>
      </w:r>
      <w:r w:rsidRPr="005B05B3">
        <w:t xml:space="preserve">. We anticipate that this will increase the quality of care and supports, encourage innovation and best practice, upgrade the skills and qualifications of the workforce, and assist in attracting and retaining disability support workers by offering an attractive career path. Further </w:t>
      </w:r>
      <w:r w:rsidR="00610E79" w:rsidRPr="005B05B3">
        <w:t>w</w:t>
      </w:r>
      <w:r w:rsidRPr="005B05B3">
        <w:t xml:space="preserve">orker </w:t>
      </w:r>
      <w:r w:rsidR="00610E79" w:rsidRPr="005B05B3">
        <w:t>r</w:t>
      </w:r>
      <w:r w:rsidRPr="005B05B3">
        <w:t>egistration provides visibility of the NDIS workforce</w:t>
      </w:r>
      <w:r w:rsidR="00A07ABC" w:rsidRPr="005B05B3">
        <w:t>.</w:t>
      </w:r>
    </w:p>
    <w:p w14:paraId="124517F3" w14:textId="4237E897" w:rsidR="003B06C9" w:rsidRPr="005B05B3" w:rsidRDefault="00A442B6" w:rsidP="5EFE2499">
      <w:r w:rsidRPr="005B05B3">
        <w:t>The Taskforce endorses the NDIS Review recommend</w:t>
      </w:r>
      <w:r w:rsidR="00193DFD" w:rsidRPr="005B05B3">
        <w:t xml:space="preserve">ations that </w:t>
      </w:r>
      <w:r w:rsidR="00A27B27" w:rsidRPr="005B05B3">
        <w:t>go to improving</w:t>
      </w:r>
      <w:r w:rsidR="00193DFD" w:rsidRPr="005B05B3">
        <w:t xml:space="preserve"> recruitment, retention, training, skills development, career pathways and pay equity in </w:t>
      </w:r>
      <w:r w:rsidR="00A27B27" w:rsidRPr="005B05B3">
        <w:t xml:space="preserve">the NDIS </w:t>
      </w:r>
      <w:r w:rsidR="008818A4" w:rsidRPr="005B05B3">
        <w:t>w</w:t>
      </w:r>
      <w:r w:rsidR="00BD40DA" w:rsidRPr="005B05B3">
        <w:t xml:space="preserve">orkforce </w:t>
      </w:r>
      <w:r w:rsidR="00193DFD" w:rsidRPr="005B05B3">
        <w:t>in ways that reflect the diversity and growth required to meet the needs of all NDIS participants, and people with disability more broadly.</w:t>
      </w:r>
    </w:p>
    <w:p w14:paraId="014CCD1F" w14:textId="25CA49E9" w:rsidR="003B06C9" w:rsidRPr="005B05B3" w:rsidRDefault="6D005FA1" w:rsidP="001B4BF0">
      <w:pPr>
        <w:pStyle w:val="TSDAltHeading2"/>
        <w:spacing w:before="360"/>
      </w:pPr>
      <w:bookmarkStart w:id="118" w:name="_Toc170128774"/>
      <w:bookmarkStart w:id="119" w:name="_Toc173318070"/>
      <w:r w:rsidRPr="005B05B3">
        <w:t>Developing a Worker Registration Scheme</w:t>
      </w:r>
      <w:bookmarkEnd w:id="118"/>
      <w:bookmarkEnd w:id="119"/>
    </w:p>
    <w:p w14:paraId="60ECEFF3" w14:textId="329224E1" w:rsidR="00510130" w:rsidRPr="005B05B3" w:rsidRDefault="003B06C9" w:rsidP="00D96824">
      <w:r w:rsidRPr="005B05B3">
        <w:t>Reflecting what we heard, the Taskforce supports worker registration for all workers</w:t>
      </w:r>
      <w:r w:rsidR="46B0AF60" w:rsidRPr="005B05B3">
        <w:t>. However, further work needs to be done in co-design</w:t>
      </w:r>
      <w:r w:rsidR="00134DF7" w:rsidRPr="005B05B3">
        <w:t>ing</w:t>
      </w:r>
      <w:r w:rsidR="46B0AF60" w:rsidRPr="005B05B3">
        <w:t xml:space="preserve"> with the disability community and sector to define to scope of </w:t>
      </w:r>
      <w:r w:rsidR="00AE18BE" w:rsidRPr="005B05B3">
        <w:t>‘</w:t>
      </w:r>
      <w:r w:rsidR="46B0AF60" w:rsidRPr="005B05B3">
        <w:t>workers</w:t>
      </w:r>
      <w:r w:rsidR="00AE18BE" w:rsidRPr="005B05B3">
        <w:t>’</w:t>
      </w:r>
      <w:r w:rsidR="46B0AF60" w:rsidRPr="005B05B3">
        <w:t xml:space="preserve">. </w:t>
      </w:r>
      <w:r w:rsidR="00A332E4" w:rsidRPr="005B05B3">
        <w:t>Further, the Taskforce does not seek to duplicate recommendations provided by the Disability Royal Commission. The Taskforce endorses the Disability Royal Commission recommended design considerations, including but not limited to</w:t>
      </w:r>
      <w:r w:rsidR="00510130" w:rsidRPr="005B05B3">
        <w:t>,</w:t>
      </w:r>
      <w:r w:rsidR="00A332E4" w:rsidRPr="005B05B3">
        <w:t xml:space="preserve"> the development of </w:t>
      </w:r>
      <w:r w:rsidR="00D217C2" w:rsidRPr="005B05B3">
        <w:t xml:space="preserve">a </w:t>
      </w:r>
      <w:r w:rsidR="00A332E4" w:rsidRPr="005B05B3">
        <w:t xml:space="preserve">code of conduct and minimum standards, recognition and accreditation of qualifications and skills, recognition of registration with other professional bodies and a First Nations workforce pathway. </w:t>
      </w:r>
      <w:r w:rsidR="001E3DE8">
        <w:rPr>
          <w:rStyle w:val="FootnoteReference"/>
        </w:rPr>
        <w:footnoteReference w:id="250"/>
      </w:r>
    </w:p>
    <w:p w14:paraId="3E4CEEE9" w14:textId="1E7069AD" w:rsidR="00724E19" w:rsidRPr="005B05B3" w:rsidRDefault="00724E19" w:rsidP="5EFE2499">
      <w:r w:rsidRPr="005B05B3">
        <w:lastRenderedPageBreak/>
        <w:t xml:space="preserve">While the </w:t>
      </w:r>
      <w:r w:rsidR="00A332E4" w:rsidRPr="005B05B3">
        <w:t>Taskforce recommends worker registration is mandatory</w:t>
      </w:r>
      <w:r w:rsidRPr="005B05B3">
        <w:t xml:space="preserve">, </w:t>
      </w:r>
      <w:r w:rsidR="5B741CFB" w:rsidRPr="005B05B3">
        <w:t xml:space="preserve">consideration needs to be given to the scope of </w:t>
      </w:r>
      <w:r w:rsidR="00AE18BE" w:rsidRPr="005B05B3">
        <w:t>‘</w:t>
      </w:r>
      <w:r w:rsidR="5B741CFB" w:rsidRPr="005B05B3">
        <w:t>workers</w:t>
      </w:r>
      <w:r w:rsidR="00AE18BE" w:rsidRPr="005B05B3">
        <w:t>’</w:t>
      </w:r>
      <w:r w:rsidR="5B741CFB" w:rsidRPr="005B05B3">
        <w:t xml:space="preserve">. In considering that scope, </w:t>
      </w:r>
      <w:r w:rsidR="6C6C65F0" w:rsidRPr="005B05B3">
        <w:t>care must be taken</w:t>
      </w:r>
      <w:r w:rsidR="673E2156" w:rsidRPr="005B05B3">
        <w:t xml:space="preserve"> to avoid service failure, </w:t>
      </w:r>
      <w:r w:rsidR="000F13E0" w:rsidRPr="005B05B3">
        <w:t xml:space="preserve">especially </w:t>
      </w:r>
      <w:r w:rsidR="673E2156" w:rsidRPr="005B05B3">
        <w:t xml:space="preserve">in thin markets and respond to unique circumstances, including the use of ad hoc supports. </w:t>
      </w:r>
      <w:r w:rsidR="4B8F8D9A" w:rsidRPr="005B05B3">
        <w:t xml:space="preserve">There also needs to be deep consultation with </w:t>
      </w:r>
      <w:r w:rsidR="006B568C" w:rsidRPr="005B05B3">
        <w:t>p</w:t>
      </w:r>
      <w:r w:rsidR="4B8F8D9A" w:rsidRPr="005B05B3">
        <w:t>articipants who self-direct their supports to better understand from them how worker registration would fit in their models of s</w:t>
      </w:r>
      <w:r w:rsidR="632E65B0" w:rsidRPr="005B05B3">
        <w:t xml:space="preserve">upport. The Taskforce did hear that in determining the scope of </w:t>
      </w:r>
      <w:r w:rsidR="00AE18BE" w:rsidRPr="005B05B3">
        <w:t>‘</w:t>
      </w:r>
      <w:r w:rsidR="632E65B0" w:rsidRPr="005B05B3">
        <w:t>worker</w:t>
      </w:r>
      <w:r w:rsidR="00AE18BE" w:rsidRPr="005B05B3">
        <w:t>’</w:t>
      </w:r>
      <w:r w:rsidR="632E65B0" w:rsidRPr="005B05B3">
        <w:t xml:space="preserve"> for the purposes of a registration scheme,</w:t>
      </w:r>
      <w:r w:rsidR="66AD87D6" w:rsidRPr="005B05B3">
        <w:t xml:space="preserve"> exemptions could be considered</w:t>
      </w:r>
      <w:r w:rsidR="650860F9" w:rsidRPr="005B05B3">
        <w:t xml:space="preserve">. </w:t>
      </w:r>
      <w:r w:rsidR="27411593" w:rsidRPr="005B05B3">
        <w:t>Examples of exemptions we have heard should be considered include:</w:t>
      </w:r>
    </w:p>
    <w:p w14:paraId="01186047" w14:textId="5348964D" w:rsidR="00724E19" w:rsidRPr="005B05B3" w:rsidRDefault="27411593" w:rsidP="002248D1">
      <w:pPr>
        <w:pStyle w:val="ListParagraph"/>
        <w:numPr>
          <w:ilvl w:val="0"/>
          <w:numId w:val="68"/>
        </w:numPr>
        <w:spacing w:after="160" w:line="279" w:lineRule="auto"/>
      </w:pPr>
      <w:r w:rsidRPr="005B05B3">
        <w:t xml:space="preserve">to those workers that provide </w:t>
      </w:r>
      <w:r w:rsidR="00B835C0" w:rsidRPr="005B05B3">
        <w:t>one off</w:t>
      </w:r>
      <w:r w:rsidR="00E53DBD">
        <w:t xml:space="preserve">, ad hoc </w:t>
      </w:r>
      <w:r w:rsidR="00B835C0" w:rsidRPr="005B05B3">
        <w:t xml:space="preserve">or </w:t>
      </w:r>
      <w:r w:rsidRPr="005B05B3">
        <w:t xml:space="preserve">emergency short-term support or care to a single </w:t>
      </w:r>
      <w:r w:rsidR="007265EA" w:rsidRPr="005B05B3">
        <w:t>p</w:t>
      </w:r>
      <w:r w:rsidRPr="005B05B3">
        <w:t xml:space="preserve">articipant not expected to be of a duration exceeding </w:t>
      </w:r>
      <w:r w:rsidR="00B835C0" w:rsidRPr="005B05B3">
        <w:t>5</w:t>
      </w:r>
      <w:r w:rsidRPr="005B05B3">
        <w:t xml:space="preserve"> days in any 60-day period.</w:t>
      </w:r>
    </w:p>
    <w:p w14:paraId="4EDC3268" w14:textId="3E583599" w:rsidR="00724E19" w:rsidRPr="005B05B3" w:rsidRDefault="27411593" w:rsidP="002248D1">
      <w:pPr>
        <w:pStyle w:val="ListParagraph"/>
        <w:numPr>
          <w:ilvl w:val="0"/>
          <w:numId w:val="68"/>
        </w:numPr>
        <w:spacing w:after="160" w:line="279" w:lineRule="auto"/>
      </w:pPr>
      <w:r w:rsidRPr="005B05B3">
        <w:t xml:space="preserve">to those workers that provide support and care to </w:t>
      </w:r>
      <w:r w:rsidR="00CF44C0" w:rsidRPr="005B05B3">
        <w:t>p</w:t>
      </w:r>
      <w:r w:rsidRPr="005B05B3">
        <w:t>articipants who self-direct their supports</w:t>
      </w:r>
    </w:p>
    <w:p w14:paraId="31800500" w14:textId="07F0911F" w:rsidR="00724E19" w:rsidRPr="005B05B3" w:rsidRDefault="27411593" w:rsidP="002248D1">
      <w:pPr>
        <w:pStyle w:val="ListParagraph"/>
        <w:numPr>
          <w:ilvl w:val="0"/>
          <w:numId w:val="68"/>
        </w:numPr>
        <w:spacing w:after="160" w:line="276" w:lineRule="auto"/>
      </w:pPr>
      <w:r w:rsidRPr="005B05B3">
        <w:t>in an area deemed by the NDIS Commission to have a thin market/s, to a class or classes of workers whom the NDIS Commission believes a requirement to register will threaten the provision of support and care services including those that are culturally appropriate.</w:t>
      </w:r>
    </w:p>
    <w:p w14:paraId="3F4BE7E6" w14:textId="741FA988" w:rsidR="003B06C9" w:rsidRPr="005B05B3" w:rsidRDefault="650860F9" w:rsidP="00C34599">
      <w:pPr>
        <w:spacing w:line="276" w:lineRule="auto"/>
      </w:pPr>
      <w:r w:rsidRPr="005B05B3">
        <w:t xml:space="preserve">For the avoidance of doubt, the Taskforce is not recommending an exemption system but notes that </w:t>
      </w:r>
      <w:r w:rsidR="29FFFA14" w:rsidRPr="005B05B3">
        <w:t xml:space="preserve">it </w:t>
      </w:r>
      <w:r w:rsidRPr="005B05B3">
        <w:t xml:space="preserve">is a solution that could be considered when designing the </w:t>
      </w:r>
      <w:r w:rsidR="466F3704" w:rsidRPr="005B05B3">
        <w:t xml:space="preserve">scope of who is a worker for the purposes of the worker registration scheme. </w:t>
      </w:r>
      <w:r w:rsidR="003B06C9" w:rsidRPr="005B05B3">
        <w:t xml:space="preserve">The Taskforce has heard that delays in worker registration </w:t>
      </w:r>
      <w:r w:rsidR="005D20A3" w:rsidRPr="005B05B3">
        <w:t xml:space="preserve">may </w:t>
      </w:r>
      <w:r w:rsidR="003B06C9" w:rsidRPr="005B05B3">
        <w:t>be a barrier to meeting the needs of service delivery</w:t>
      </w:r>
      <w:r w:rsidR="005D20A3" w:rsidRPr="005B05B3">
        <w:t>.</w:t>
      </w:r>
      <w:r w:rsidR="003B06C9" w:rsidRPr="005B05B3">
        <w:t xml:space="preserve"> </w:t>
      </w:r>
      <w:r w:rsidR="005D20A3" w:rsidRPr="005B05B3">
        <w:t>Therefore</w:t>
      </w:r>
      <w:r w:rsidR="003B06C9" w:rsidRPr="005B05B3">
        <w:t xml:space="preserve">, consideration should be given to provisional registration to workers </w:t>
      </w:r>
      <w:r w:rsidR="44F7817A" w:rsidRPr="005B05B3">
        <w:t>to avoid this</w:t>
      </w:r>
      <w:r w:rsidR="003B06C9" w:rsidRPr="005B05B3">
        <w:t>.</w:t>
      </w:r>
    </w:p>
    <w:p w14:paraId="1FDB3597" w14:textId="0808CFF8" w:rsidR="00D7686D" w:rsidRPr="00EC545F" w:rsidRDefault="00817BFA" w:rsidP="001B4BF0">
      <w:pPr>
        <w:pStyle w:val="Heading3"/>
        <w:spacing w:before="120" w:after="120"/>
      </w:pPr>
      <w:r w:rsidRPr="00EC545F">
        <w:t>Simple and t</w:t>
      </w:r>
      <w:r w:rsidR="00D7686D" w:rsidRPr="00EC545F">
        <w:t>ransparen</w:t>
      </w:r>
      <w:r w:rsidRPr="00EC545F">
        <w:t>t</w:t>
      </w:r>
    </w:p>
    <w:p w14:paraId="50564CD6" w14:textId="1BC2EBC2" w:rsidR="00D7686D" w:rsidRPr="005B05B3" w:rsidRDefault="00D7686D" w:rsidP="00D7686D">
      <w:r w:rsidRPr="005B05B3">
        <w:t xml:space="preserve">The Taskforce recommends that worker registration is automatic, simple and enabled through an online portal (with alternative accessible formats as needed). Further, registration should be transparent, not place unreasonable costs on workers or providers and enable identification verification to be conducted via myGov including the requirement of photo identification. </w:t>
      </w:r>
    </w:p>
    <w:p w14:paraId="3728C4A7" w14:textId="40DBB608" w:rsidR="00D7686D" w:rsidRPr="005B05B3" w:rsidRDefault="00D7686D" w:rsidP="00D7686D">
      <w:r w:rsidRPr="005B05B3">
        <w:t>A public register should be established of workers registered to provide services under the NDIS.</w:t>
      </w:r>
    </w:p>
    <w:p w14:paraId="091413FA" w14:textId="4205FC7A" w:rsidR="00933659" w:rsidRPr="00C04F70" w:rsidRDefault="00933659" w:rsidP="001B4BF0">
      <w:pPr>
        <w:pStyle w:val="Heading3"/>
        <w:spacing w:before="120" w:after="120"/>
      </w:pPr>
      <w:bookmarkStart w:id="120" w:name="_Toc170808373"/>
      <w:bookmarkStart w:id="121" w:name="_Toc170919697"/>
      <w:r w:rsidRPr="00C04F70">
        <w:t xml:space="preserve">Worker </w:t>
      </w:r>
      <w:r w:rsidR="00AD28E7" w:rsidRPr="00C04F70">
        <w:t>o</w:t>
      </w:r>
      <w:r w:rsidRPr="00C04F70">
        <w:t>bligations</w:t>
      </w:r>
      <w:bookmarkEnd w:id="120"/>
      <w:bookmarkEnd w:id="121"/>
    </w:p>
    <w:p w14:paraId="77FB1699" w14:textId="27608587" w:rsidR="003B06C9" w:rsidRPr="005B05B3" w:rsidRDefault="009320DE" w:rsidP="00846C61">
      <w:pPr>
        <w:spacing w:after="160" w:line="279" w:lineRule="auto"/>
      </w:pPr>
      <w:r w:rsidRPr="005B05B3">
        <w:t>The Taskforce recommends registration is granted to workers when the</w:t>
      </w:r>
      <w:r w:rsidR="1FC06652" w:rsidRPr="005B05B3">
        <w:t>y</w:t>
      </w:r>
      <w:r w:rsidRPr="005B05B3">
        <w:t xml:space="preserve"> have:</w:t>
      </w:r>
    </w:p>
    <w:p w14:paraId="3B23ECE4" w14:textId="77777777" w:rsidR="00A2490A" w:rsidRPr="005B05B3" w:rsidRDefault="003B06C9" w:rsidP="002248D1">
      <w:pPr>
        <w:pStyle w:val="ListParagraph"/>
        <w:numPr>
          <w:ilvl w:val="0"/>
          <w:numId w:val="44"/>
        </w:numPr>
      </w:pPr>
      <w:r w:rsidRPr="005B05B3">
        <w:lastRenderedPageBreak/>
        <w:t>acknowledge</w:t>
      </w:r>
      <w:r w:rsidR="009320DE" w:rsidRPr="005B05B3">
        <w:t>d</w:t>
      </w:r>
      <w:r w:rsidRPr="005B05B3">
        <w:t xml:space="preserve"> that they have read and understood the Code of Conduct, commit to adhering to its requirements on an ongoing basis and have successfully completed the required online module/s</w:t>
      </w:r>
    </w:p>
    <w:p w14:paraId="20C13FE8" w14:textId="3D81D71C" w:rsidR="00A2490A" w:rsidRPr="005B05B3" w:rsidRDefault="009320DE" w:rsidP="002248D1">
      <w:pPr>
        <w:pStyle w:val="ListParagraph"/>
        <w:numPr>
          <w:ilvl w:val="0"/>
          <w:numId w:val="44"/>
        </w:numPr>
      </w:pPr>
      <w:r w:rsidRPr="005B05B3">
        <w:t>s</w:t>
      </w:r>
      <w:r w:rsidR="003B06C9" w:rsidRPr="005B05B3">
        <w:t>atisf</w:t>
      </w:r>
      <w:r w:rsidRPr="005B05B3">
        <w:t>ied</w:t>
      </w:r>
      <w:r w:rsidR="003B06C9" w:rsidRPr="005B05B3">
        <w:t xml:space="preserve"> relevant worker screening requirements</w:t>
      </w:r>
    </w:p>
    <w:p w14:paraId="29058EC5" w14:textId="23A50006" w:rsidR="003B06C9" w:rsidRPr="005B05B3" w:rsidRDefault="003B06C9" w:rsidP="002248D1">
      <w:pPr>
        <w:pStyle w:val="ListParagraph"/>
        <w:numPr>
          <w:ilvl w:val="0"/>
          <w:numId w:val="44"/>
        </w:numPr>
      </w:pPr>
      <w:r w:rsidRPr="005B05B3">
        <w:t>satisf</w:t>
      </w:r>
      <w:r w:rsidR="009320DE" w:rsidRPr="005B05B3">
        <w:t>ied</w:t>
      </w:r>
      <w:r w:rsidRPr="005B05B3">
        <w:t xml:space="preserve"> registration identification requirements</w:t>
      </w:r>
    </w:p>
    <w:p w14:paraId="15A6B1FC" w14:textId="7A24FB40" w:rsidR="003B06C9" w:rsidRPr="005B05B3" w:rsidRDefault="003B06C9" w:rsidP="002248D1">
      <w:pPr>
        <w:pStyle w:val="ListParagraph"/>
        <w:numPr>
          <w:ilvl w:val="0"/>
          <w:numId w:val="44"/>
        </w:numPr>
      </w:pPr>
      <w:r w:rsidRPr="005B05B3">
        <w:t>provide</w:t>
      </w:r>
      <w:r w:rsidR="009320DE" w:rsidRPr="005B05B3">
        <w:t>d</w:t>
      </w:r>
      <w:r w:rsidRPr="005B05B3">
        <w:t xml:space="preserve"> the required registration and contact details.</w:t>
      </w:r>
    </w:p>
    <w:p w14:paraId="1CF64541" w14:textId="3B90A551" w:rsidR="00C703C7" w:rsidRPr="005B05B3" w:rsidRDefault="00D74924" w:rsidP="009320DE">
      <w:r w:rsidRPr="005B05B3">
        <w:t xml:space="preserve">As outlined in </w:t>
      </w:r>
      <w:hyperlink w:anchor="_NDIS_Provider_Obligations" w:history="1">
        <w:r w:rsidRPr="0042770D">
          <w:rPr>
            <w:rStyle w:val="Hyperlink"/>
            <w:rFonts w:ascii="Aptos" w:hAnsi="Aptos"/>
          </w:rPr>
          <w:t xml:space="preserve">Chapter </w:t>
        </w:r>
        <w:r w:rsidR="0042770D" w:rsidRPr="0042770D">
          <w:rPr>
            <w:rStyle w:val="Hyperlink"/>
            <w:rFonts w:ascii="Aptos" w:hAnsi="Aptos"/>
          </w:rPr>
          <w:t>8</w:t>
        </w:r>
      </w:hyperlink>
      <w:r w:rsidRPr="005B05B3">
        <w:t xml:space="preserve">, </w:t>
      </w:r>
      <w:r w:rsidR="000E7D57" w:rsidRPr="005B05B3">
        <w:t>w</w:t>
      </w:r>
      <w:r w:rsidRPr="005B05B3">
        <w:t xml:space="preserve">orker </w:t>
      </w:r>
      <w:r w:rsidR="000E7D57" w:rsidRPr="005B05B3">
        <w:t>s</w:t>
      </w:r>
      <w:r w:rsidRPr="005B05B3">
        <w:t xml:space="preserve">creening would be applied to all workers employed, contracted or engaged by NDIS Providers (per our recommended definition), in risk assessed roles for </w:t>
      </w:r>
      <w:r w:rsidR="6002608B" w:rsidRPr="005B05B3">
        <w:t xml:space="preserve">Advanced and General </w:t>
      </w:r>
      <w:r w:rsidRPr="005B05B3">
        <w:t>Registration Categories.</w:t>
      </w:r>
    </w:p>
    <w:p w14:paraId="350D30C5" w14:textId="400B0CEA" w:rsidR="007B1CD7" w:rsidRPr="00C04F70" w:rsidRDefault="003A0CE9" w:rsidP="001B4BF0">
      <w:pPr>
        <w:pStyle w:val="Heading3"/>
        <w:spacing w:before="120" w:after="120"/>
      </w:pPr>
      <w:r w:rsidRPr="00C04F70">
        <w:t>Minimum p</w:t>
      </w:r>
      <w:r w:rsidR="007B1CD7" w:rsidRPr="00C04F70">
        <w:t>rofessional development requirements</w:t>
      </w:r>
    </w:p>
    <w:p w14:paraId="3D095527" w14:textId="229E7C24" w:rsidR="003B06C9" w:rsidRPr="005B05B3" w:rsidRDefault="003B06C9" w:rsidP="003B06C9">
      <w:pPr>
        <w:spacing w:line="259" w:lineRule="auto"/>
        <w:rPr>
          <w:kern w:val="2"/>
          <w14:ligatures w14:val="standardContextual"/>
        </w:rPr>
      </w:pPr>
      <w:r w:rsidRPr="005B05B3">
        <w:rPr>
          <w:kern w:val="2"/>
          <w14:ligatures w14:val="standardContextual"/>
        </w:rPr>
        <w:t xml:space="preserve">As a crucial component of establishing and sustaining a professional workforce, the Taskforce recommends that to maintain registration, registered workers be required to undertake </w:t>
      </w:r>
      <w:r w:rsidR="009320DE" w:rsidRPr="005B05B3">
        <w:rPr>
          <w:kern w:val="2"/>
          <w14:ligatures w14:val="standardContextual"/>
        </w:rPr>
        <w:t>10 hours</w:t>
      </w:r>
      <w:r w:rsidRPr="005B05B3">
        <w:rPr>
          <w:kern w:val="2"/>
          <w14:ligatures w14:val="standardContextual"/>
        </w:rPr>
        <w:t xml:space="preserve"> per year of ongoing professional development training. This would support workers to progress their careers, refresh training, and ensure recency of practice and knowledge.</w:t>
      </w:r>
    </w:p>
    <w:p w14:paraId="2A14843F" w14:textId="5A89CEF7" w:rsidR="003B06C9" w:rsidRPr="00EC545F" w:rsidRDefault="003B06C9" w:rsidP="00EC545F">
      <w:r w:rsidRPr="00EC545F">
        <w:t xml:space="preserve">The Taskforce acknowledges that many </w:t>
      </w:r>
      <w:r w:rsidR="00652A38" w:rsidRPr="00EC545F">
        <w:t>p</w:t>
      </w:r>
      <w:r w:rsidRPr="00EC545F">
        <w:t>roviders, including Services for One, recognise the value of, and currently provide ongoing training to their workers.</w:t>
      </w:r>
      <w:r w:rsidR="009320DE" w:rsidRPr="00EC545F">
        <w:t xml:space="preserve"> T</w:t>
      </w:r>
      <w:r w:rsidR="0051053E" w:rsidRPr="00EC545F">
        <w:t>o</w:t>
      </w:r>
      <w:r w:rsidR="00700369" w:rsidRPr="00EC545F">
        <w:t xml:space="preserve"> support the implementation of the </w:t>
      </w:r>
      <w:r w:rsidR="00B66E88" w:rsidRPr="00EC545F">
        <w:t>w</w:t>
      </w:r>
      <w:r w:rsidR="00700369" w:rsidRPr="00EC545F">
        <w:t xml:space="preserve">orker </w:t>
      </w:r>
      <w:r w:rsidR="00B66E88" w:rsidRPr="00EC545F">
        <w:t>r</w:t>
      </w:r>
      <w:r w:rsidR="00700369" w:rsidRPr="00EC545F">
        <w:t xml:space="preserve">egistration, </w:t>
      </w:r>
      <w:r w:rsidR="009320DE" w:rsidRPr="00EC545F">
        <w:t>the NDIS Commission</w:t>
      </w:r>
      <w:r w:rsidR="00981F89" w:rsidRPr="00EC545F">
        <w:t xml:space="preserve"> </w:t>
      </w:r>
      <w:r w:rsidR="00FB72FB" w:rsidRPr="00EC545F">
        <w:t xml:space="preserve">should </w:t>
      </w:r>
      <w:r w:rsidR="00700369" w:rsidRPr="00EC545F">
        <w:t xml:space="preserve">develop a list of professional development training </w:t>
      </w:r>
      <w:r w:rsidR="00B01B7F" w:rsidRPr="00EC545F">
        <w:t>t</w:t>
      </w:r>
      <w:r w:rsidR="00700369" w:rsidRPr="00EC545F">
        <w:t>hat would meet the above requirement. Further the NDIS Commission should provide</w:t>
      </w:r>
      <w:r w:rsidR="00981F89" w:rsidRPr="00EC545F">
        <w:t xml:space="preserve"> online training and development modules to address </w:t>
      </w:r>
      <w:r w:rsidR="00614638" w:rsidRPr="00EC545F">
        <w:t>priority</w:t>
      </w:r>
      <w:r w:rsidR="00981F89" w:rsidRPr="00EC545F">
        <w:t xml:space="preserve"> areas such as supported decision making, </w:t>
      </w:r>
      <w:r w:rsidR="00614638" w:rsidRPr="00EC545F">
        <w:t xml:space="preserve">restrictive practices, </w:t>
      </w:r>
      <w:r w:rsidR="003569E8" w:rsidRPr="00EC545F">
        <w:t>incident reporting and</w:t>
      </w:r>
      <w:r w:rsidR="00CE5DA0" w:rsidRPr="00EC545F">
        <w:t xml:space="preserve"> legislative changes as an example.</w:t>
      </w:r>
    </w:p>
    <w:p w14:paraId="3E021571" w14:textId="5999E08F" w:rsidR="003B06C9" w:rsidRPr="005B05B3" w:rsidRDefault="003B06C9" w:rsidP="001D5DC8">
      <w:pPr>
        <w:rPr>
          <w:rFonts w:eastAsia="Arial" w:cs="Arial"/>
        </w:rPr>
      </w:pPr>
      <w:r w:rsidRPr="005B05B3">
        <w:t xml:space="preserve">The Taskforce also recommends that NDIS </w:t>
      </w:r>
      <w:r w:rsidR="00652A38" w:rsidRPr="005B05B3">
        <w:t>p</w:t>
      </w:r>
      <w:r w:rsidRPr="005B05B3">
        <w:t xml:space="preserve">roviders </w:t>
      </w:r>
      <w:r w:rsidR="7A57E8A3" w:rsidRPr="005B05B3">
        <w:rPr>
          <w:rFonts w:eastAsia="Arial" w:cs="Arial"/>
        </w:rPr>
        <w:t xml:space="preserve">must provide such instruction, training and supervision to workers as is necessary to enable workers to perform their work in a way that is safe and without risks to the </w:t>
      </w:r>
      <w:r w:rsidR="00652A38" w:rsidRPr="005B05B3">
        <w:rPr>
          <w:rFonts w:eastAsia="Arial" w:cs="Arial"/>
        </w:rPr>
        <w:t>p</w:t>
      </w:r>
      <w:r w:rsidR="7A57E8A3" w:rsidRPr="005B05B3">
        <w:t>articipant or themselves</w:t>
      </w:r>
      <w:r w:rsidR="7A57E8A3" w:rsidRPr="005B05B3">
        <w:rPr>
          <w:rFonts w:eastAsia="Aptos" w:cs="Aptos"/>
        </w:rPr>
        <w:t xml:space="preserve"> and that NDIS </w:t>
      </w:r>
      <w:r w:rsidR="000C5F41" w:rsidRPr="005B05B3">
        <w:rPr>
          <w:rFonts w:eastAsia="Aptos" w:cs="Aptos"/>
        </w:rPr>
        <w:t>p</w:t>
      </w:r>
      <w:r w:rsidR="7A57E8A3" w:rsidRPr="005B05B3">
        <w:rPr>
          <w:rFonts w:eastAsia="Aptos" w:cs="Aptos"/>
        </w:rPr>
        <w:t xml:space="preserve">roviders </w:t>
      </w:r>
      <w:r w:rsidR="5503FDE7" w:rsidRPr="005B05B3">
        <w:t xml:space="preserve">in the Advanced and General Registration </w:t>
      </w:r>
      <w:r w:rsidR="000C5F41" w:rsidRPr="005B05B3">
        <w:t>c</w:t>
      </w:r>
      <w:r w:rsidR="5503FDE7" w:rsidRPr="005B05B3">
        <w:t xml:space="preserve">ategories </w:t>
      </w:r>
      <w:r w:rsidRPr="005B05B3">
        <w:t>who employ or have a job placement arrangement with five or more workers has, as a condition of their ongoing registration,</w:t>
      </w:r>
      <w:r w:rsidR="4A41DBAD" w:rsidRPr="005B05B3">
        <w:t xml:space="preserve"> </w:t>
      </w:r>
      <w:r w:rsidR="3CB79F2B" w:rsidRPr="005B05B3">
        <w:rPr>
          <w:rFonts w:eastAsia="Arial" w:cs="Arial"/>
        </w:rPr>
        <w:t xml:space="preserve">responsibility for ensuring that each worker has an individual training, skills enhancement and accreditation plan which is updated in consultation with the worker at least every </w:t>
      </w:r>
      <w:r w:rsidR="00F068E7" w:rsidRPr="005B05B3">
        <w:rPr>
          <w:rFonts w:eastAsia="Arial" w:cs="Arial"/>
        </w:rPr>
        <w:t>12</w:t>
      </w:r>
      <w:r w:rsidR="3CB79F2B" w:rsidRPr="005B05B3">
        <w:rPr>
          <w:rFonts w:eastAsia="Arial" w:cs="Arial"/>
        </w:rPr>
        <w:t xml:space="preserve"> months</w:t>
      </w:r>
      <w:r w:rsidR="003E079C">
        <w:rPr>
          <w:rFonts w:eastAsia="Arial" w:cs="Arial"/>
        </w:rPr>
        <w:t>.</w:t>
      </w:r>
    </w:p>
    <w:p w14:paraId="36334326" w14:textId="2665A783" w:rsidR="000C5F41" w:rsidRPr="00C04F70" w:rsidRDefault="000C5F41" w:rsidP="001B4BF0">
      <w:pPr>
        <w:pStyle w:val="Heading4"/>
        <w:spacing w:before="120" w:after="120"/>
      </w:pPr>
      <w:r w:rsidRPr="00C04F70" w:rsidDel="006E2728">
        <w:t>Worker Training and Qualifications Framework</w:t>
      </w:r>
    </w:p>
    <w:p w14:paraId="6CD2F6FB" w14:textId="44FE0673" w:rsidR="003B06C9" w:rsidRPr="00EC545F" w:rsidDel="006E2728" w:rsidRDefault="000C5F41" w:rsidP="00EC545F">
      <w:r w:rsidRPr="00EC545F">
        <w:t>The</w:t>
      </w:r>
      <w:r w:rsidR="003B06C9" w:rsidRPr="00EC545F" w:rsidDel="006E2728">
        <w:t xml:space="preserve"> Taskforce recommends the development of a new </w:t>
      </w:r>
      <w:r w:rsidR="00C71EE5" w:rsidRPr="00EC545F" w:rsidDel="006E2728">
        <w:t xml:space="preserve">Worker Training </w:t>
      </w:r>
      <w:r w:rsidR="546E09CD" w:rsidRPr="00EC545F" w:rsidDel="006E2728">
        <w:t>a</w:t>
      </w:r>
      <w:r w:rsidR="00C71EE5" w:rsidRPr="00EC545F" w:rsidDel="006E2728">
        <w:t xml:space="preserve">nd Qualifications Framework </w:t>
      </w:r>
      <w:r w:rsidR="003B06C9" w:rsidRPr="00EC545F" w:rsidDel="006E2728">
        <w:t>(including minimum training and qualification requirements) to apply to the disability sector.</w:t>
      </w:r>
    </w:p>
    <w:p w14:paraId="7459F2B1" w14:textId="19D1EFF0" w:rsidR="003B06C9" w:rsidRPr="00EC545F" w:rsidDel="006E2728" w:rsidRDefault="003B06C9" w:rsidP="00EC545F">
      <w:r w:rsidRPr="00EC545F" w:rsidDel="006E2728">
        <w:lastRenderedPageBreak/>
        <w:t>The Taskforce recommends that the Worker Training and Qualifications Framework be co-designed by the disability community and disability sector including employers,</w:t>
      </w:r>
      <w:r w:rsidR="00410214" w:rsidRPr="00EC545F" w:rsidDel="006E2728">
        <w:t xml:space="preserve"> </w:t>
      </w:r>
      <w:r w:rsidRPr="00EC545F" w:rsidDel="006E2728">
        <w:t>unions and HumanAbility, the national Jobs and Skills Council for the disability sector.</w:t>
      </w:r>
    </w:p>
    <w:p w14:paraId="59E323DC" w14:textId="063A777C" w:rsidR="00E26477" w:rsidRPr="00C04F70" w:rsidRDefault="00E26477" w:rsidP="001B4BF0">
      <w:pPr>
        <w:spacing w:before="360" w:after="120"/>
        <w:rPr>
          <w:color w:val="0D2B58"/>
          <w:sz w:val="32"/>
          <w:szCs w:val="32"/>
        </w:rPr>
      </w:pPr>
      <w:r w:rsidRPr="00C04F70">
        <w:rPr>
          <w:color w:val="0D2B58"/>
          <w:sz w:val="32"/>
          <w:szCs w:val="32"/>
        </w:rPr>
        <w:t>Communication</w:t>
      </w:r>
    </w:p>
    <w:p w14:paraId="445C4DA0" w14:textId="4C0F5522" w:rsidR="003C10CD" w:rsidRPr="005B05B3" w:rsidRDefault="003C10CD" w:rsidP="003C10CD">
      <w:r w:rsidRPr="005B05B3">
        <w:t xml:space="preserve">An important feature of </w:t>
      </w:r>
      <w:r w:rsidR="00B66E88" w:rsidRPr="005B05B3">
        <w:t>w</w:t>
      </w:r>
      <w:r w:rsidRPr="005B05B3">
        <w:t xml:space="preserve">orker </w:t>
      </w:r>
      <w:r w:rsidR="00B66E88" w:rsidRPr="005B05B3">
        <w:t>r</w:t>
      </w:r>
      <w:r w:rsidRPr="005B05B3">
        <w:t xml:space="preserve">egistration would be the ability for the NDIS Commission to identify and communicate quickly with the workforce. </w:t>
      </w:r>
      <w:r w:rsidR="00CA1A70" w:rsidRPr="005B05B3">
        <w:t xml:space="preserve">Registered Workers would be required to keep their contact details updated and </w:t>
      </w:r>
      <w:r w:rsidR="000033C0" w:rsidRPr="005B05B3">
        <w:t xml:space="preserve">NDIS Commission should </w:t>
      </w:r>
      <w:r w:rsidRPr="005B05B3">
        <w:t>consider</w:t>
      </w:r>
      <w:r w:rsidRPr="005B05B3" w:rsidDel="000033C0">
        <w:t xml:space="preserve"> communication</w:t>
      </w:r>
      <w:r w:rsidRPr="005B05B3">
        <w:t xml:space="preserve"> including</w:t>
      </w:r>
      <w:r w:rsidR="001F3E6C" w:rsidRPr="005B05B3">
        <w:t>:</w:t>
      </w:r>
    </w:p>
    <w:p w14:paraId="5D157BEC" w14:textId="0341D2E5" w:rsidR="003C10CD" w:rsidRPr="005B05B3" w:rsidRDefault="00607320" w:rsidP="002248D1">
      <w:pPr>
        <w:pStyle w:val="ListParagraph"/>
        <w:numPr>
          <w:ilvl w:val="0"/>
          <w:numId w:val="31"/>
        </w:numPr>
        <w:spacing w:after="0" w:line="279" w:lineRule="auto"/>
        <w:ind w:left="993"/>
      </w:pPr>
      <w:r w:rsidRPr="005B05B3">
        <w:t>b</w:t>
      </w:r>
      <w:r w:rsidR="003C10CD" w:rsidRPr="005B05B3">
        <w:t>ulletins &amp; alerts relating to matters of interest including</w:t>
      </w:r>
      <w:r w:rsidR="00D35B6C" w:rsidRPr="005B05B3">
        <w:t xml:space="preserve">, but not limited to, </w:t>
      </w:r>
      <w:r w:rsidR="003C10CD" w:rsidRPr="005B05B3">
        <w:t>regulation, operation and administration of the NDIS</w:t>
      </w:r>
      <w:r w:rsidR="00D35B6C" w:rsidRPr="005B05B3">
        <w:t>,</w:t>
      </w:r>
      <w:r w:rsidR="002711A4" w:rsidRPr="005B05B3">
        <w:t xml:space="preserve"> legislative changes, </w:t>
      </w:r>
      <w:r w:rsidR="003C10CD" w:rsidRPr="005B05B3">
        <w:t>Ministerial announcements</w:t>
      </w:r>
      <w:r w:rsidR="002711A4" w:rsidRPr="005B05B3">
        <w:t>, a</w:t>
      </w:r>
      <w:r w:rsidR="003C10CD" w:rsidRPr="005B05B3">
        <w:t>reas of focus of programmed audits</w:t>
      </w:r>
      <w:r w:rsidR="002F15A7" w:rsidRPr="005B05B3">
        <w:t>, p</w:t>
      </w:r>
      <w:r w:rsidR="003C10CD" w:rsidRPr="005B05B3">
        <w:t>ractice standards</w:t>
      </w:r>
      <w:r w:rsidR="002711A4" w:rsidRPr="005B05B3">
        <w:t>, and m</w:t>
      </w:r>
      <w:r w:rsidR="003C10CD" w:rsidRPr="005B05B3">
        <w:t xml:space="preserve">atters relating to </w:t>
      </w:r>
      <w:r w:rsidR="002711A4" w:rsidRPr="005B05B3">
        <w:t>emergency management</w:t>
      </w:r>
      <w:r w:rsidR="003C10CD" w:rsidRPr="005B05B3">
        <w:t xml:space="preserve"> including public health emergencies</w:t>
      </w:r>
    </w:p>
    <w:p w14:paraId="1C3FFEB4" w14:textId="0F4450FE" w:rsidR="003C10CD" w:rsidRPr="005B05B3" w:rsidRDefault="00607320" w:rsidP="002248D1">
      <w:pPr>
        <w:pStyle w:val="ListParagraph"/>
        <w:numPr>
          <w:ilvl w:val="0"/>
          <w:numId w:val="31"/>
        </w:numPr>
        <w:spacing w:after="0" w:line="259" w:lineRule="auto"/>
        <w:ind w:left="993"/>
      </w:pPr>
      <w:r w:rsidRPr="005B05B3">
        <w:t>a</w:t>
      </w:r>
      <w:r w:rsidR="003C10CD" w:rsidRPr="005B05B3">
        <w:t>dvertisements for conferences, workshops, roundtables, town hall meetings, etc.</w:t>
      </w:r>
    </w:p>
    <w:p w14:paraId="4219F1AD" w14:textId="4AE3E3C9" w:rsidR="00277FB8" w:rsidRPr="005B05B3" w:rsidRDefault="00607320" w:rsidP="002248D1">
      <w:pPr>
        <w:pStyle w:val="ListParagraph"/>
        <w:numPr>
          <w:ilvl w:val="0"/>
          <w:numId w:val="31"/>
        </w:numPr>
        <w:spacing w:after="0" w:line="259" w:lineRule="auto"/>
        <w:ind w:left="993"/>
      </w:pPr>
      <w:r w:rsidRPr="005B05B3">
        <w:t>s</w:t>
      </w:r>
      <w:r w:rsidR="003C10CD" w:rsidRPr="005B05B3">
        <w:t>urveys about quality, innovation, safeguarding &amp; other matters</w:t>
      </w:r>
    </w:p>
    <w:p w14:paraId="5FEB86CF" w14:textId="23A679C0" w:rsidR="00277FB8" w:rsidRPr="005B05B3" w:rsidRDefault="00F765AE" w:rsidP="002248D1">
      <w:pPr>
        <w:pStyle w:val="ListParagraph"/>
        <w:numPr>
          <w:ilvl w:val="0"/>
          <w:numId w:val="31"/>
        </w:numPr>
        <w:spacing w:after="0" w:line="259" w:lineRule="auto"/>
        <w:ind w:left="993"/>
      </w:pPr>
      <w:r w:rsidRPr="005B05B3">
        <w:t>i</w:t>
      </w:r>
      <w:r w:rsidR="003C10CD" w:rsidRPr="005B05B3">
        <w:t>nformation relating to training, skills, qualifications &amp; continuous professional development</w:t>
      </w:r>
    </w:p>
    <w:p w14:paraId="0751A7C3" w14:textId="44998B86" w:rsidR="003C10CD" w:rsidRPr="005B05B3" w:rsidRDefault="00F765AE" w:rsidP="002248D1">
      <w:pPr>
        <w:pStyle w:val="ListParagraph"/>
        <w:numPr>
          <w:ilvl w:val="0"/>
          <w:numId w:val="31"/>
        </w:numPr>
        <w:spacing w:after="0" w:line="259" w:lineRule="auto"/>
        <w:ind w:left="993"/>
      </w:pPr>
      <w:r w:rsidRPr="005B05B3">
        <w:t>e</w:t>
      </w:r>
      <w:r w:rsidR="003C10CD" w:rsidRPr="005B05B3">
        <w:t xml:space="preserve">ducational </w:t>
      </w:r>
      <w:r w:rsidR="00C71EE5" w:rsidRPr="005B05B3">
        <w:t>and</w:t>
      </w:r>
      <w:r w:rsidR="003C10CD" w:rsidRPr="005B05B3">
        <w:t xml:space="preserve"> support materials relating to</w:t>
      </w:r>
      <w:r w:rsidR="0029597E" w:rsidRPr="005B05B3">
        <w:t>, but not limited to,</w:t>
      </w:r>
      <w:r w:rsidR="00C71EE5" w:rsidRPr="005B05B3">
        <w:t xml:space="preserve"> t</w:t>
      </w:r>
      <w:r w:rsidR="003C10CD" w:rsidRPr="005B05B3">
        <w:t xml:space="preserve">he rights of </w:t>
      </w:r>
      <w:r w:rsidR="00C71EE5" w:rsidRPr="005B05B3">
        <w:t>p</w:t>
      </w:r>
      <w:r w:rsidR="003C10CD" w:rsidRPr="005B05B3">
        <w:t>articipants, choice and control</w:t>
      </w:r>
      <w:r w:rsidR="0029597E" w:rsidRPr="005B05B3">
        <w:t>,</w:t>
      </w:r>
      <w:r w:rsidR="003C10CD" w:rsidRPr="005B05B3" w:rsidDel="00C71EE5">
        <w:t xml:space="preserve"> </w:t>
      </w:r>
      <w:r w:rsidR="003C10CD" w:rsidRPr="005B05B3">
        <w:t>the complaints process</w:t>
      </w:r>
      <w:r w:rsidR="0029597E" w:rsidRPr="005B05B3">
        <w:t xml:space="preserve">, </w:t>
      </w:r>
      <w:r w:rsidR="2554BE41" w:rsidRPr="005B05B3">
        <w:t>c</w:t>
      </w:r>
      <w:r w:rsidR="003C10CD" w:rsidRPr="005B05B3">
        <w:t>onsumer affairs</w:t>
      </w:r>
      <w:r w:rsidR="0029597E" w:rsidRPr="005B05B3">
        <w:t>,</w:t>
      </w:r>
      <w:r w:rsidR="003C10CD" w:rsidRPr="005B05B3" w:rsidDel="0029597E">
        <w:t xml:space="preserve"> </w:t>
      </w:r>
      <w:r w:rsidR="003C10CD" w:rsidRPr="005B05B3">
        <w:t>financial exploitation</w:t>
      </w:r>
      <w:r w:rsidR="0029597E" w:rsidRPr="005B05B3">
        <w:t xml:space="preserve">, </w:t>
      </w:r>
      <w:r w:rsidR="71971856" w:rsidRPr="005B05B3">
        <w:t>S</w:t>
      </w:r>
      <w:r w:rsidR="003C10CD" w:rsidRPr="005B05B3">
        <w:t>ervice agreements</w:t>
      </w:r>
      <w:r w:rsidR="0029597E" w:rsidRPr="005B05B3">
        <w:t xml:space="preserve"> and w</w:t>
      </w:r>
      <w:r w:rsidR="003C10CD" w:rsidRPr="005B05B3">
        <w:t>ork health and safety</w:t>
      </w:r>
      <w:r w:rsidR="003C1464" w:rsidRPr="005B05B3">
        <w:t>.</w:t>
      </w:r>
    </w:p>
    <w:p w14:paraId="3A942F66" w14:textId="16839BCE" w:rsidR="000B7B53" w:rsidRPr="005B05B3" w:rsidRDefault="5C10B7D2" w:rsidP="001B4BF0">
      <w:pPr>
        <w:pStyle w:val="TSDAltHeading2"/>
        <w:spacing w:before="360"/>
      </w:pPr>
      <w:bookmarkStart w:id="122" w:name="_Toc170128776"/>
      <w:bookmarkStart w:id="123" w:name="_Toc173318071"/>
      <w:r w:rsidRPr="005B05B3">
        <w:t xml:space="preserve">Recognition of </w:t>
      </w:r>
      <w:r w:rsidR="00B845D2" w:rsidRPr="005B05B3">
        <w:t>a</w:t>
      </w:r>
      <w:r w:rsidRPr="005B05B3">
        <w:t xml:space="preserve">llied </w:t>
      </w:r>
      <w:r w:rsidR="00B845D2" w:rsidRPr="005B05B3">
        <w:t>h</w:t>
      </w:r>
      <w:r w:rsidRPr="005B05B3">
        <w:t xml:space="preserve">ealth </w:t>
      </w:r>
      <w:r w:rsidR="00B845D2" w:rsidRPr="005B05B3">
        <w:t>p</w:t>
      </w:r>
      <w:r w:rsidRPr="005B05B3">
        <w:t>ractitioners</w:t>
      </w:r>
      <w:bookmarkEnd w:id="122"/>
      <w:bookmarkEnd w:id="123"/>
    </w:p>
    <w:p w14:paraId="0F91408D" w14:textId="126BC4C7" w:rsidR="00F82B7D" w:rsidRPr="005B05B3" w:rsidRDefault="00124CB5" w:rsidP="00F82B7D">
      <w:r w:rsidRPr="005B05B3">
        <w:t xml:space="preserve">We heard that </w:t>
      </w:r>
      <w:r w:rsidR="00B845D2" w:rsidRPr="005B05B3">
        <w:t>a</w:t>
      </w:r>
      <w:r w:rsidR="00F82B7D" w:rsidRPr="005B05B3">
        <w:t xml:space="preserve">llied </w:t>
      </w:r>
      <w:r w:rsidR="00B845D2" w:rsidRPr="005B05B3">
        <w:t>h</w:t>
      </w:r>
      <w:r w:rsidR="00F82B7D" w:rsidRPr="005B05B3">
        <w:t>ealth professionals already required to be registered with</w:t>
      </w:r>
      <w:r w:rsidR="00825055" w:rsidRPr="005B05B3">
        <w:t xml:space="preserve"> the</w:t>
      </w:r>
      <w:r w:rsidR="00F82B7D" w:rsidRPr="005B05B3">
        <w:t xml:space="preserve"> </w:t>
      </w:r>
      <w:r w:rsidR="004965FC" w:rsidRPr="005B05B3">
        <w:t xml:space="preserve">Allied Health </w:t>
      </w:r>
      <w:r w:rsidR="00932FD3" w:rsidRPr="005B05B3">
        <w:t>Practitioner Regulation Agency</w:t>
      </w:r>
      <w:r w:rsidR="004965FC" w:rsidRPr="005B05B3">
        <w:t xml:space="preserve"> </w:t>
      </w:r>
      <w:r w:rsidR="00932FD3" w:rsidRPr="005B05B3">
        <w:t>(</w:t>
      </w:r>
      <w:r w:rsidR="00F82B7D" w:rsidRPr="005B05B3" w:rsidDel="007744FE">
        <w:t>AHPRA</w:t>
      </w:r>
      <w:r w:rsidR="00932FD3" w:rsidRPr="005B05B3">
        <w:t>),</w:t>
      </w:r>
      <w:r w:rsidR="007744FE" w:rsidRPr="005B05B3">
        <w:t xml:space="preserve"> </w:t>
      </w:r>
      <w:r w:rsidR="00F82B7D" w:rsidRPr="005B05B3">
        <w:t>oppose having to undergo a secondary registration with respect to the NDIS</w:t>
      </w:r>
      <w:r w:rsidR="00825055" w:rsidRPr="005B05B3">
        <w:t xml:space="preserve">. It was suggested that </w:t>
      </w:r>
      <w:r w:rsidR="00956B52" w:rsidRPr="005B05B3">
        <w:t>if allied</w:t>
      </w:r>
      <w:r w:rsidR="00F82B7D" w:rsidRPr="005B05B3">
        <w:t xml:space="preserve"> health services were required to register, many allied health practitioners </w:t>
      </w:r>
      <w:r w:rsidR="00AF21ED" w:rsidRPr="005B05B3">
        <w:t>c</w:t>
      </w:r>
      <w:r w:rsidR="00F82B7D" w:rsidRPr="005B05B3">
        <w:t>ould be deterred from providing services to people with d</w:t>
      </w:r>
      <w:r w:rsidR="1F344B7E" w:rsidRPr="005B05B3">
        <w:t>i</w:t>
      </w:r>
      <w:r w:rsidR="00F82B7D" w:rsidRPr="005B05B3">
        <w:t xml:space="preserve">sability. It was put to the Taskforce that many allied health </w:t>
      </w:r>
      <w:r w:rsidR="00D53F31" w:rsidRPr="005B05B3">
        <w:t>practitioners</w:t>
      </w:r>
      <w:r w:rsidR="00F82B7D" w:rsidRPr="005B05B3">
        <w:t xml:space="preserve"> are either sole traders or operate small businesses, and these practitioners would not be able to justify compliance with the additional regulatory burden required to </w:t>
      </w:r>
      <w:r w:rsidR="00F82B7D" w:rsidRPr="00B22A45">
        <w:t>become a registered provider or worker</w:t>
      </w:r>
      <w:r w:rsidR="00F82B7D" w:rsidRPr="00BD1DC9">
        <w:t>.</w:t>
      </w:r>
      <w:r w:rsidR="00400F11" w:rsidRPr="00BD1DC9">
        <w:t xml:space="preserve"> Some cited the costs and time involved in registering to be a provider</w:t>
      </w:r>
      <w:r w:rsidR="00400F11" w:rsidRPr="00BD1DC9">
        <w:rPr>
          <w:rStyle w:val="FootnoteReference"/>
        </w:rPr>
        <w:footnoteReference w:id="251"/>
      </w:r>
      <w:r w:rsidR="00400F11" w:rsidRPr="00BD1DC9">
        <w:t>, while another sole trader who operated part time submitted that NDIS registration would mean additional costs on top of other professional registration requirements.</w:t>
      </w:r>
      <w:r w:rsidR="00400F11" w:rsidRPr="00BD1DC9">
        <w:rPr>
          <w:rStyle w:val="FootnoteReference"/>
        </w:rPr>
        <w:t xml:space="preserve"> </w:t>
      </w:r>
      <w:r w:rsidR="00400F11" w:rsidRPr="00BD1DC9">
        <w:rPr>
          <w:rStyle w:val="FootnoteReference"/>
        </w:rPr>
        <w:footnoteReference w:id="252"/>
      </w:r>
    </w:p>
    <w:p w14:paraId="5266178B" w14:textId="5F7B3B18" w:rsidR="00F82B7D" w:rsidRPr="005B05B3" w:rsidRDefault="00F82B7D" w:rsidP="00EC545F">
      <w:pPr>
        <w:spacing w:after="120"/>
      </w:pPr>
      <w:r w:rsidRPr="005B05B3">
        <w:lastRenderedPageBreak/>
        <w:t>The Taskforce does not wish to see a regulatory system created that is unnecessarily burdensome or requires duplication of effort without obvious benefit. This would have the consequence of unduly limiting the options available to participants who require access to allied health services, especially in regional, rural and remote areas of Australia.</w:t>
      </w:r>
    </w:p>
    <w:p w14:paraId="31A223C9" w14:textId="3943B665" w:rsidR="00F82B7D" w:rsidRPr="005B05B3" w:rsidRDefault="00F82B7D" w:rsidP="00EC545F">
      <w:pPr>
        <w:spacing w:after="120"/>
      </w:pPr>
      <w:r w:rsidRPr="005B05B3">
        <w:t xml:space="preserve">The Taskforce recommends that the registration of allied health professionals by </w:t>
      </w:r>
      <w:r w:rsidRPr="005B05B3" w:rsidDel="007744FE">
        <w:t xml:space="preserve">AHPRA </w:t>
      </w:r>
      <w:r w:rsidRPr="005B05B3">
        <w:t xml:space="preserve">be recognised as registration for the purposes of NDIS where this can be achieved. </w:t>
      </w:r>
      <w:r w:rsidR="00BA3F38" w:rsidRPr="005B05B3">
        <w:t>This recommendation is</w:t>
      </w:r>
      <w:r w:rsidR="00C344F5" w:rsidRPr="005B05B3">
        <w:t xml:space="preserve"> in relation to registration only and does not apply to worker screening.</w:t>
      </w:r>
    </w:p>
    <w:p w14:paraId="233462CE" w14:textId="6CC74C3D" w:rsidR="00F82B7D" w:rsidRPr="005B05B3" w:rsidDel="00C344F5" w:rsidRDefault="00F82B7D" w:rsidP="00EC545F">
      <w:pPr>
        <w:spacing w:after="120"/>
      </w:pPr>
      <w:r w:rsidRPr="005B05B3" w:rsidDel="00C344F5">
        <w:t xml:space="preserve">The Taskforce acknowledges that both the NDIS Commission and </w:t>
      </w:r>
      <w:r w:rsidR="4FA7D3D7" w:rsidRPr="005B05B3">
        <w:rPr>
          <w:rFonts w:eastAsia="Aptos" w:cs="Aptos"/>
        </w:rPr>
        <w:t>AHPRA</w:t>
      </w:r>
      <w:r w:rsidRPr="005B05B3" w:rsidDel="00C344F5">
        <w:rPr>
          <w:rFonts w:eastAsia="Aptos" w:cs="Aptos"/>
        </w:rPr>
        <w:t xml:space="preserve"> </w:t>
      </w:r>
      <w:r w:rsidRPr="005B05B3" w:rsidDel="00C344F5">
        <w:t xml:space="preserve">are legally obliged to protect information held by them. These protections are in place for good reason. The Taskforce also acknowledges there is an expectation that government entities will share information available to them in circumstances where it provides a benefit to the practitioner. Given this, we recommend that the NDIS Commission work with </w:t>
      </w:r>
      <w:r w:rsidR="2455233C" w:rsidRPr="005B05B3">
        <w:rPr>
          <w:rFonts w:eastAsia="Aptos" w:cs="Aptos"/>
        </w:rPr>
        <w:t>AHPRA</w:t>
      </w:r>
      <w:r w:rsidRPr="005B05B3" w:rsidDel="00C344F5">
        <w:t xml:space="preserve"> to investigate information sharing arrangements via the consent of practitioners.</w:t>
      </w:r>
    </w:p>
    <w:p w14:paraId="54B29F36" w14:textId="3DBC24EA" w:rsidR="005E1B59" w:rsidRPr="005B05B3" w:rsidRDefault="00F82B7D" w:rsidP="00EC545F">
      <w:pPr>
        <w:spacing w:after="120"/>
      </w:pPr>
      <w:r w:rsidRPr="005B05B3" w:rsidDel="00C344F5">
        <w:t xml:space="preserve">If this practice was to be implemented, it has the potential to considerably reduce the regulatory burden associated with providing identical information to two government bodies (the NDIS Commission and </w:t>
      </w:r>
      <w:r w:rsidR="3B64C789" w:rsidRPr="005B05B3">
        <w:rPr>
          <w:rFonts w:eastAsia="Aptos" w:cs="Aptos"/>
        </w:rPr>
        <w:t>AHPRA</w:t>
      </w:r>
      <w:r w:rsidR="00F81CDD" w:rsidRPr="005B05B3" w:rsidDel="00C344F5">
        <w:t>) and</w:t>
      </w:r>
      <w:r w:rsidRPr="005B05B3" w:rsidDel="00C344F5">
        <w:t xml:space="preserve"> streamline the process for practitioners. In doing so, it would remove the main barrier to registration which has been raised with the </w:t>
      </w:r>
      <w:r w:rsidR="007D2890" w:rsidRPr="005B05B3">
        <w:t>T</w:t>
      </w:r>
      <w:r w:rsidRPr="005B05B3" w:rsidDel="00C344F5">
        <w:t xml:space="preserve">askforce by allied health practitioners who are currently not registered NDIS providers. </w:t>
      </w:r>
    </w:p>
    <w:p w14:paraId="221D801B" w14:textId="590F7C3C" w:rsidR="00932942" w:rsidRPr="005B05B3" w:rsidRDefault="00291597" w:rsidP="00C04F70">
      <w:r w:rsidRPr="005B05B3">
        <w:t xml:space="preserve">The Taskforce recognises that work is already underway to streamline and harmonise worker screening </w:t>
      </w:r>
      <w:r w:rsidRPr="00C04F70">
        <w:t>processes</w:t>
      </w:r>
      <w:r w:rsidRPr="005B05B3">
        <w:t xml:space="preserve"> across care and support sectors. Significant work has been undertaken by the Commonwealth Department of Health and Aged Care in consultation with state and territory governments on the expansion of NDIS worker screening arrangements to the aged care sector. </w:t>
      </w:r>
      <w:r w:rsidR="00932942" w:rsidRPr="005B05B3">
        <w:t>The Taskforce is also aware that in April 2023 First Ministers agreed at National Cabinet to work together to progress a first tranche of reforms to streamline worker screening.</w:t>
      </w:r>
      <w:r w:rsidR="004A2CE4">
        <w:rPr>
          <w:rStyle w:val="FootnoteReference"/>
        </w:rPr>
        <w:footnoteReference w:id="253"/>
      </w:r>
    </w:p>
    <w:p w14:paraId="60E8812A" w14:textId="6BFC6B77" w:rsidR="00F82B7D" w:rsidRPr="00C04F70" w:rsidRDefault="00F82B7D" w:rsidP="001B4BF0">
      <w:pPr>
        <w:spacing w:before="360" w:after="120"/>
        <w:rPr>
          <w:color w:val="0D2B58"/>
          <w:sz w:val="32"/>
          <w:szCs w:val="32"/>
        </w:rPr>
      </w:pPr>
      <w:bookmarkStart w:id="124" w:name="_Toc170128778"/>
      <w:r w:rsidRPr="00C04F70">
        <w:rPr>
          <w:color w:val="0D2B58"/>
          <w:sz w:val="32"/>
          <w:szCs w:val="32"/>
        </w:rPr>
        <w:t xml:space="preserve">Equivalence of NDIS and </w:t>
      </w:r>
      <w:r w:rsidR="40F454CD" w:rsidRPr="00C04F70">
        <w:rPr>
          <w:color w:val="0D2B58"/>
          <w:sz w:val="32"/>
          <w:szCs w:val="32"/>
        </w:rPr>
        <w:t>AHPRA</w:t>
      </w:r>
      <w:r w:rsidRPr="00C04F70">
        <w:rPr>
          <w:color w:val="0D2B58"/>
          <w:sz w:val="32"/>
          <w:szCs w:val="32"/>
        </w:rPr>
        <w:t xml:space="preserve"> screening checks</w:t>
      </w:r>
      <w:bookmarkEnd w:id="124"/>
    </w:p>
    <w:p w14:paraId="52B00398" w14:textId="107919FF" w:rsidR="00F82B7D" w:rsidRPr="005B05B3" w:rsidRDefault="00F82B7D" w:rsidP="00F82B7D">
      <w:r w:rsidRPr="005B05B3">
        <w:t>The current AHPRA screening check considers an individual’s situation at a particular point of time, and doesn’t provide ongoing monitoring of criminal history, through an automated system that flags new criminal records of screened workers</w:t>
      </w:r>
      <w:r w:rsidRPr="005B05B3" w:rsidDel="00C344F5">
        <w:t>.</w:t>
      </w:r>
      <w:r w:rsidRPr="005B05B3">
        <w:t xml:space="preserve"> It instead relies on notifications from police services of new criminal charges and a practitioner's disclosure of any change in their criminal history in the past 12 months, as part of their registration renewal process. </w:t>
      </w:r>
      <w:r w:rsidR="00D91E1C" w:rsidRPr="005B05B3">
        <w:rPr>
          <w:rFonts w:eastAsiaTheme="minorEastAsia" w:cstheme="minorBidi"/>
          <w:color w:val="333333"/>
        </w:rPr>
        <w:t>Pr</w:t>
      </w:r>
      <w:r w:rsidRPr="005B05B3">
        <w:rPr>
          <w:rFonts w:eastAsiaTheme="minorEastAsia" w:cstheme="minorBidi"/>
          <w:color w:val="333333"/>
        </w:rPr>
        <w:t xml:space="preserve">actitioners must also notify </w:t>
      </w:r>
      <w:r w:rsidR="2E7B4D8F" w:rsidRPr="005B05B3">
        <w:rPr>
          <w:rFonts w:eastAsia="Aptos" w:cs="Aptos"/>
        </w:rPr>
        <w:t>AHPRA</w:t>
      </w:r>
      <w:r w:rsidRPr="005B05B3">
        <w:rPr>
          <w:rFonts w:eastAsia="Aptos" w:cs="Aptos"/>
        </w:rPr>
        <w:t xml:space="preserve"> </w:t>
      </w:r>
      <w:r w:rsidRPr="005B05B3">
        <w:rPr>
          <w:rFonts w:eastAsiaTheme="minorEastAsia" w:cstheme="minorBidi"/>
          <w:color w:val="333333"/>
        </w:rPr>
        <w:t>within 7 days of charges and convictions punishable by imprisonment.</w:t>
      </w:r>
      <w:r w:rsidRPr="005B05B3">
        <w:t xml:space="preserve"> Therefore, it does not meet the </w:t>
      </w:r>
      <w:r w:rsidRPr="005B05B3">
        <w:lastRenderedPageBreak/>
        <w:t>threshold of the current level of ongoing safeguarding available through the current NDIS worker screening process.</w:t>
      </w:r>
    </w:p>
    <w:p w14:paraId="30BEDCB6" w14:textId="58CFD01F" w:rsidR="00C344F5" w:rsidRPr="005B05B3" w:rsidRDefault="00D53F31" w:rsidP="001B4BF0">
      <w:pPr>
        <w:spacing w:before="360" w:after="120" w:line="257" w:lineRule="auto"/>
      </w:pPr>
      <w:r w:rsidRPr="005B05B3">
        <w:t xml:space="preserve">At this stage, the worker screening provided under AHPRA is not comparable to the NDIS Worker Screening Check. As a result, the worker screening requirements provided under AHPRA cannot be part of the dual recognition scheme </w:t>
      </w:r>
      <w:r w:rsidR="00F82B7D" w:rsidRPr="005B05B3" w:rsidDel="00D53F31">
        <w:t>t</w:t>
      </w:r>
      <w:r w:rsidR="00F82B7D" w:rsidRPr="005B05B3">
        <w:t xml:space="preserve">o meet the threshold of a NDIS screening check required by the </w:t>
      </w:r>
      <w:r w:rsidR="4E56D81A" w:rsidRPr="005B05B3">
        <w:t xml:space="preserve">proposed model </w:t>
      </w:r>
      <w:r w:rsidR="00F82B7D" w:rsidRPr="005B05B3">
        <w:t xml:space="preserve">specified in </w:t>
      </w:r>
      <w:hyperlink w:anchor="_NDIS_Provider_Obligations" w:history="1">
        <w:r w:rsidR="78160D6E" w:rsidRPr="005C48BE">
          <w:rPr>
            <w:rStyle w:val="Hyperlink"/>
            <w:rFonts w:ascii="Aptos" w:hAnsi="Aptos"/>
          </w:rPr>
          <w:t>C</w:t>
        </w:r>
        <w:r w:rsidR="00F82B7D" w:rsidRPr="005C48BE">
          <w:rPr>
            <w:rStyle w:val="Hyperlink"/>
            <w:rFonts w:ascii="Aptos" w:hAnsi="Aptos"/>
          </w:rPr>
          <w:t xml:space="preserve">hapter </w:t>
        </w:r>
        <w:r w:rsidR="005C48BE" w:rsidRPr="005C48BE">
          <w:rPr>
            <w:rStyle w:val="Hyperlink"/>
            <w:rFonts w:ascii="Aptos" w:hAnsi="Aptos"/>
          </w:rPr>
          <w:t>8</w:t>
        </w:r>
      </w:hyperlink>
      <w:r w:rsidR="00F82B7D" w:rsidRPr="005C48BE">
        <w:t>.</w:t>
      </w:r>
    </w:p>
    <w:p w14:paraId="5EB9ED50" w14:textId="1AE4EAF2" w:rsidR="00F82B7D" w:rsidRPr="00EC545F" w:rsidRDefault="44FF7527" w:rsidP="00EC545F">
      <w:pPr>
        <w:pStyle w:val="Heading3"/>
      </w:pPr>
      <w:bookmarkStart w:id="125" w:name="_Toc170128779"/>
      <w:r w:rsidRPr="00EC545F">
        <w:t xml:space="preserve">Recognition of allied health practitioners who are not required to maintain </w:t>
      </w:r>
      <w:r w:rsidR="0D720DC6" w:rsidRPr="00EC545F">
        <w:t>AHPRA</w:t>
      </w:r>
      <w:r w:rsidRPr="00EC545F">
        <w:t xml:space="preserve"> registration</w:t>
      </w:r>
      <w:bookmarkEnd w:id="125"/>
    </w:p>
    <w:p w14:paraId="1DD21225" w14:textId="2D78A2AB" w:rsidR="00F82B7D" w:rsidRPr="00EC545F" w:rsidRDefault="00F82B7D" w:rsidP="00EC545F">
      <w:r w:rsidRPr="00EC545F">
        <w:t xml:space="preserve">The </w:t>
      </w:r>
      <w:r w:rsidR="00B804E6" w:rsidRPr="00EC545F">
        <w:t>T</w:t>
      </w:r>
      <w:r w:rsidRPr="00EC545F">
        <w:t xml:space="preserve">askforce acknowledges there are a number of allied health practitioners who are not required to register with </w:t>
      </w:r>
      <w:r w:rsidR="324031EA" w:rsidRPr="00EC545F">
        <w:t>AHPRA</w:t>
      </w:r>
      <w:r w:rsidRPr="00EC545F">
        <w:t xml:space="preserve">, including dietitians, audiologists and speech pathologists. Some of these practitioners operate in a </w:t>
      </w:r>
      <w:r w:rsidR="005331D2" w:rsidRPr="00EC545F">
        <w:t>self-regulated</w:t>
      </w:r>
      <w:r w:rsidRPr="00EC545F">
        <w:t xml:space="preserve"> environment </w:t>
      </w:r>
      <w:r w:rsidR="00755EBE" w:rsidRPr="00EC545F">
        <w:t>(</w:t>
      </w:r>
      <w:r w:rsidR="001E4BC5" w:rsidRPr="00EC545F">
        <w:t xml:space="preserve">e.g. </w:t>
      </w:r>
      <w:r w:rsidR="00AA1D32" w:rsidRPr="00EC545F">
        <w:t>f</w:t>
      </w:r>
      <w:r w:rsidR="001E4BC5" w:rsidRPr="00EC545F">
        <w:t>or</w:t>
      </w:r>
      <w:r w:rsidRPr="00EC545F">
        <w:t xml:space="preserve"> </w:t>
      </w:r>
      <w:r w:rsidR="00D9110F" w:rsidRPr="00EC545F">
        <w:t>National Alliance of Self Regulating Health Professions (</w:t>
      </w:r>
      <w:r w:rsidRPr="00EC545F">
        <w:t>NASRHP)</w:t>
      </w:r>
      <w:r w:rsidR="000C561C" w:rsidRPr="00EC545F">
        <w:t>)</w:t>
      </w:r>
      <w:r w:rsidRPr="00EC545F">
        <w:t xml:space="preserve">. These frameworks may be accompanied by a certification process and Code of Ethics. We have heard that members of these bodies would prefer to not be required to operate under duplicate </w:t>
      </w:r>
      <w:r w:rsidR="00D53F31" w:rsidRPr="00EC545F">
        <w:t>accreditation and reg</w:t>
      </w:r>
      <w:r w:rsidR="0027535B" w:rsidRPr="00EC545F">
        <w:t xml:space="preserve">istration </w:t>
      </w:r>
      <w:r w:rsidRPr="00EC545F">
        <w:t>requirements, through mandatory registration with the NDIS Commission.</w:t>
      </w:r>
    </w:p>
    <w:p w14:paraId="2517299E" w14:textId="1407CDC9" w:rsidR="00DC6B5F" w:rsidRPr="005B05B3" w:rsidRDefault="00F82B7D" w:rsidP="00DC6B5F">
      <w:r w:rsidRPr="005B05B3">
        <w:t xml:space="preserve">The Taskforce recommends consideration be given to the appropriateness of extending a recognition of those registration schemes to self-regulating allied health professionals. Any such assessment would need to consider the </w:t>
      </w:r>
      <w:r w:rsidR="007729D0" w:rsidRPr="005B05B3">
        <w:t xml:space="preserve">requirements of </w:t>
      </w:r>
      <w:r w:rsidR="006F1C0E" w:rsidRPr="005B05B3">
        <w:t xml:space="preserve">the </w:t>
      </w:r>
      <w:r w:rsidR="00F0425C" w:rsidRPr="005B05B3">
        <w:t>self-regulated</w:t>
      </w:r>
      <w:r w:rsidR="007729D0" w:rsidRPr="005B05B3">
        <w:t xml:space="preserve"> environment </w:t>
      </w:r>
      <w:r w:rsidRPr="005B05B3">
        <w:t xml:space="preserve">and other relevant matters. </w:t>
      </w:r>
      <w:r w:rsidR="00984445" w:rsidRPr="005B05B3">
        <w:t xml:space="preserve">This recommendation is in relation to registration </w:t>
      </w:r>
      <w:r w:rsidR="00E06828" w:rsidRPr="005B05B3">
        <w:t>only and</w:t>
      </w:r>
      <w:r w:rsidR="00984445" w:rsidRPr="005B05B3">
        <w:t xml:space="preserve"> does not apply to worker screening.</w:t>
      </w:r>
    </w:p>
    <w:p w14:paraId="7821E987" w14:textId="340A9C61" w:rsidR="008F79B1" w:rsidRPr="005B05B3" w:rsidRDefault="008F79B1" w:rsidP="008F79B1">
      <w:pPr>
        <w:sectPr w:rsidR="008F79B1" w:rsidRPr="005B05B3" w:rsidSect="00D35FEB">
          <w:pgSz w:w="11906" w:h="16838"/>
          <w:pgMar w:top="1768" w:right="1440" w:bottom="1440" w:left="1440" w:header="907" w:footer="709" w:gutter="0"/>
          <w:cols w:space="708"/>
          <w:titlePg/>
          <w:docGrid w:linePitch="360"/>
        </w:sectPr>
      </w:pPr>
    </w:p>
    <w:p w14:paraId="6B2C663B" w14:textId="6C71410B" w:rsidR="005D4E58" w:rsidRPr="00E14AE3" w:rsidRDefault="47224623" w:rsidP="003D35AB">
      <w:pPr>
        <w:pStyle w:val="Heading1"/>
        <w:tabs>
          <w:tab w:val="clear" w:pos="851"/>
          <w:tab w:val="num" w:pos="1134"/>
        </w:tabs>
        <w:spacing w:before="120" w:after="0"/>
      </w:pPr>
      <w:bookmarkStart w:id="126" w:name="_Implementation"/>
      <w:bookmarkStart w:id="127" w:name="_Toc170128784"/>
      <w:bookmarkStart w:id="128" w:name="_Toc173318072"/>
      <w:bookmarkEnd w:id="126"/>
      <w:r w:rsidRPr="005B05B3">
        <w:lastRenderedPageBreak/>
        <w:t>Implementation</w:t>
      </w:r>
      <w:bookmarkEnd w:id="127"/>
      <w:bookmarkEnd w:id="128"/>
    </w:p>
    <w:p w14:paraId="68BF58D7" w14:textId="4FD92A52" w:rsidR="00DB58D5" w:rsidRPr="005B05B3" w:rsidRDefault="00725AF9" w:rsidP="00DB58D5">
      <w:r w:rsidRPr="005B05B3">
        <w:rPr>
          <w:noProof/>
        </w:rPr>
        <mc:AlternateContent>
          <mc:Choice Requires="wps">
            <w:drawing>
              <wp:anchor distT="0" distB="0" distL="114300" distR="114300" simplePos="0" relativeHeight="251655173" behindDoc="1" locked="0" layoutInCell="1" allowOverlap="1" wp14:anchorId="10C45776" wp14:editId="4043C5F9">
                <wp:simplePos x="0" y="0"/>
                <wp:positionH relativeFrom="column">
                  <wp:posOffset>-77492</wp:posOffset>
                </wp:positionH>
                <wp:positionV relativeFrom="page">
                  <wp:posOffset>2014780</wp:posOffset>
                </wp:positionV>
                <wp:extent cx="6140450" cy="7716509"/>
                <wp:effectExtent l="0" t="0" r="6350" b="5715"/>
                <wp:wrapNone/>
                <wp:docPr id="101708409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0450" cy="7716509"/>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E7926" id="Rectangle 1" o:spid="_x0000_s1026" alt="&quot;&quot;" style="position:absolute;margin-left:-6.1pt;margin-top:158.65pt;width:483.5pt;height:607.6pt;z-index:-25166130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" fillcolor="#e8e8e8 [3214]" stroked="f" strokeweight="1pt">
                <w10:wrap anchory="page"/>
              </v:rect>
            </w:pict>
          </mc:Fallback>
        </mc:AlternateContent>
      </w:r>
      <w:r w:rsidR="00DB58D5" w:rsidRPr="005B05B3">
        <w:t xml:space="preserve">To implement these recommendations, the Taskforce recommend the following </w:t>
      </w:r>
      <w:r w:rsidR="00DB58D5" w:rsidRPr="007A1427">
        <w:rPr>
          <w:b/>
          <w:bCs/>
        </w:rPr>
        <w:t>Implementation Actions</w:t>
      </w:r>
      <w:r w:rsidR="00DB58D5" w:rsidRPr="005B05B3">
        <w:t>:</w:t>
      </w:r>
    </w:p>
    <w:p w14:paraId="3F81C40E" w14:textId="57EB75C8" w:rsidR="00236B20" w:rsidRPr="005B05B3" w:rsidRDefault="00236B20" w:rsidP="00726A26">
      <w:pPr>
        <w:spacing w:after="0" w:line="276" w:lineRule="auto"/>
        <w:rPr>
          <w:b/>
          <w:bCs/>
        </w:rPr>
      </w:pPr>
      <w:r w:rsidRPr="005B05B3">
        <w:rPr>
          <w:b/>
          <w:bCs/>
        </w:rPr>
        <w:t>Recommendation 1</w:t>
      </w:r>
      <w:r w:rsidR="00FF78A1" w:rsidRPr="005B05B3">
        <w:rPr>
          <w:b/>
          <w:bCs/>
        </w:rPr>
        <w:t>2</w:t>
      </w:r>
    </w:p>
    <w:p w14:paraId="0FC0242C" w14:textId="77777777" w:rsidR="00DB58D5" w:rsidRPr="005B05B3" w:rsidRDefault="00DB58D5" w:rsidP="001D5DC8">
      <w:pPr>
        <w:spacing w:after="0" w:line="276" w:lineRule="auto"/>
      </w:pPr>
      <w:r w:rsidRPr="005B05B3">
        <w:t xml:space="preserve">The Taskforce recommends that the existing core functions of the Commission be expanded in a </w:t>
      </w:r>
      <w:r w:rsidRPr="005B05B3">
        <w:rPr>
          <w:b/>
        </w:rPr>
        <w:t>co-design</w:t>
      </w:r>
      <w:r w:rsidRPr="005B05B3">
        <w:t xml:space="preserve"> process with people with disability for the purposes of implementing the proposed registration model, with the following considered to be added to the core functions:</w:t>
      </w:r>
    </w:p>
    <w:p w14:paraId="59386D52" w14:textId="77777777" w:rsidR="00DB58D5" w:rsidRPr="005B05B3" w:rsidRDefault="00DB58D5" w:rsidP="002248D1">
      <w:pPr>
        <w:pStyle w:val="ListParagraph"/>
        <w:numPr>
          <w:ilvl w:val="0"/>
          <w:numId w:val="52"/>
        </w:numPr>
        <w:spacing w:after="160" w:line="276" w:lineRule="auto"/>
      </w:pPr>
      <w:r w:rsidRPr="005B05B3">
        <w:t>The promotion of best practice within service providers to deliver high quality, individualised and innovative services.</w:t>
      </w:r>
    </w:p>
    <w:p w14:paraId="64C6CB9D" w14:textId="77777777" w:rsidR="00DB58D5" w:rsidRPr="005B05B3" w:rsidRDefault="00DB58D5" w:rsidP="002248D1">
      <w:pPr>
        <w:pStyle w:val="ListParagraph"/>
        <w:numPr>
          <w:ilvl w:val="0"/>
          <w:numId w:val="52"/>
        </w:numPr>
        <w:spacing w:after="160" w:line="276" w:lineRule="auto"/>
      </w:pPr>
      <w:r w:rsidRPr="005B05B3">
        <w:t>The promotion of safe, secure workplaces that value workers providing disability support services.</w:t>
      </w:r>
    </w:p>
    <w:p w14:paraId="397E244C" w14:textId="3D32AA4D" w:rsidR="00DB58D5" w:rsidRPr="005B05B3" w:rsidRDefault="00DB58D5" w:rsidP="002248D1">
      <w:pPr>
        <w:pStyle w:val="ListParagraph"/>
        <w:numPr>
          <w:ilvl w:val="0"/>
          <w:numId w:val="52"/>
        </w:numPr>
        <w:spacing w:after="160" w:line="276" w:lineRule="auto"/>
        <w:rPr>
          <w:b/>
        </w:rPr>
      </w:pPr>
      <w:r w:rsidRPr="005B05B3">
        <w:t>The reduction of segregation in closed settings and causes of isolation of people with disability.</w:t>
      </w:r>
    </w:p>
    <w:p w14:paraId="694A1AA6" w14:textId="7F12719D" w:rsidR="00236B20" w:rsidRPr="005B05B3" w:rsidRDefault="00236B20" w:rsidP="00726A26">
      <w:pPr>
        <w:spacing w:after="0" w:line="276" w:lineRule="auto"/>
        <w:rPr>
          <w:b/>
        </w:rPr>
      </w:pPr>
      <w:r w:rsidRPr="005B05B3">
        <w:rPr>
          <w:b/>
        </w:rPr>
        <w:t>Recommendation 1</w:t>
      </w:r>
      <w:r w:rsidR="00FF78A1" w:rsidRPr="005B05B3">
        <w:rPr>
          <w:b/>
        </w:rPr>
        <w:t>3</w:t>
      </w:r>
    </w:p>
    <w:p w14:paraId="37433E6B" w14:textId="435E97C3" w:rsidR="00DB58D5" w:rsidRPr="005B05B3" w:rsidRDefault="00DB58D5" w:rsidP="00E14AE3">
      <w:pPr>
        <w:spacing w:after="160" w:line="276" w:lineRule="auto"/>
      </w:pPr>
      <w:r w:rsidRPr="005B05B3">
        <w:rPr>
          <w:b/>
          <w:bCs/>
        </w:rPr>
        <w:t>Provider registration:</w:t>
      </w:r>
      <w:r w:rsidRPr="005B05B3">
        <w:t xml:space="preserve"> a new legislative framework to support the recommended Provider Framework is required, including the separation of the registration and reportable incidents. Within the legislative framework, there needs to be consideration of the recognition of other professional registration </w:t>
      </w:r>
      <w:r w:rsidR="00F0425C" w:rsidRPr="005B05B3">
        <w:t>including</w:t>
      </w:r>
      <w:r w:rsidRPr="005B05B3">
        <w:t xml:space="preserve"> allied health practitioners.</w:t>
      </w:r>
    </w:p>
    <w:p w14:paraId="66ED88CA" w14:textId="143026A3" w:rsidR="00236B20" w:rsidRPr="005B05B3" w:rsidRDefault="00236B20" w:rsidP="00E14AE3">
      <w:pPr>
        <w:spacing w:after="0" w:line="276" w:lineRule="auto"/>
        <w:rPr>
          <w:b/>
          <w:bCs/>
        </w:rPr>
      </w:pPr>
      <w:r w:rsidRPr="005B05B3">
        <w:rPr>
          <w:b/>
          <w:bCs/>
        </w:rPr>
        <w:t>Recommendation 1</w:t>
      </w:r>
      <w:r w:rsidR="00FF78A1" w:rsidRPr="005B05B3">
        <w:rPr>
          <w:b/>
          <w:bCs/>
        </w:rPr>
        <w:t>4</w:t>
      </w:r>
    </w:p>
    <w:p w14:paraId="29BE5B4D" w14:textId="3DD4D038" w:rsidR="00DB58D5" w:rsidRPr="005B05B3" w:rsidRDefault="00DB58D5" w:rsidP="00E14AE3">
      <w:pPr>
        <w:spacing w:after="160" w:line="276" w:lineRule="auto"/>
      </w:pPr>
      <w:r w:rsidRPr="005B05B3">
        <w:rPr>
          <w:b/>
        </w:rPr>
        <w:t xml:space="preserve">Worker registration: </w:t>
      </w:r>
      <w:r w:rsidRPr="005B05B3">
        <w:t>a legislative framework to support the recommended worker registration framework is required. This should be co-designed with people with disability, the disability sector and workers and their union representatives.</w:t>
      </w:r>
    </w:p>
    <w:p w14:paraId="2F5B4255" w14:textId="2844D21E" w:rsidR="00107EDF" w:rsidRPr="005B05B3" w:rsidRDefault="00107EDF" w:rsidP="00E14AE3">
      <w:pPr>
        <w:spacing w:after="0" w:line="276" w:lineRule="auto"/>
        <w:rPr>
          <w:b/>
          <w:bCs/>
        </w:rPr>
      </w:pPr>
      <w:r w:rsidRPr="005B05B3">
        <w:rPr>
          <w:b/>
          <w:bCs/>
        </w:rPr>
        <w:t>Recommendation 1</w:t>
      </w:r>
      <w:r w:rsidR="00FF78A1" w:rsidRPr="005B05B3">
        <w:rPr>
          <w:b/>
          <w:bCs/>
        </w:rPr>
        <w:t>5</w:t>
      </w:r>
    </w:p>
    <w:p w14:paraId="06C156F1" w14:textId="77777777" w:rsidR="00DB58D5" w:rsidRPr="005B05B3" w:rsidRDefault="00DB58D5" w:rsidP="00E14AE3">
      <w:pPr>
        <w:spacing w:after="0" w:line="276" w:lineRule="auto"/>
      </w:pPr>
      <w:r w:rsidRPr="005B05B3">
        <w:t xml:space="preserve">The </w:t>
      </w:r>
      <w:r w:rsidRPr="005B05B3">
        <w:rPr>
          <w:b/>
        </w:rPr>
        <w:t>Complaints function</w:t>
      </w:r>
      <w:r w:rsidRPr="005B05B3">
        <w:t xml:space="preserve"> should be redesigned in the NDIS Act to include:</w:t>
      </w:r>
    </w:p>
    <w:p w14:paraId="42311758" w14:textId="77E1AB42" w:rsidR="00DB58D5" w:rsidRPr="005B05B3" w:rsidRDefault="00DB58D5" w:rsidP="00E14AE3">
      <w:pPr>
        <w:pStyle w:val="ListParagraph"/>
        <w:numPr>
          <w:ilvl w:val="0"/>
          <w:numId w:val="53"/>
        </w:numPr>
        <w:spacing w:line="276" w:lineRule="auto"/>
        <w:ind w:left="993"/>
      </w:pPr>
      <w:r w:rsidRPr="005B05B3">
        <w:t>preliminary inquiries</w:t>
      </w:r>
    </w:p>
    <w:p w14:paraId="705962DB" w14:textId="1D936A1A" w:rsidR="00DB58D5" w:rsidRPr="005B05B3" w:rsidRDefault="00DB58D5" w:rsidP="00E14AE3">
      <w:pPr>
        <w:pStyle w:val="ListParagraph"/>
        <w:numPr>
          <w:ilvl w:val="0"/>
          <w:numId w:val="53"/>
        </w:numPr>
        <w:spacing w:after="160" w:line="276" w:lineRule="auto"/>
        <w:ind w:left="993"/>
      </w:pPr>
      <w:r w:rsidRPr="005B05B3">
        <w:t>investigations, including a right to entry in certain circumstances while balancing the right to privacy especially for private homes</w:t>
      </w:r>
    </w:p>
    <w:p w14:paraId="30326E3C" w14:textId="0F2E6EB7" w:rsidR="00DB58D5" w:rsidRPr="005B05B3" w:rsidRDefault="00DB58D5" w:rsidP="002248D1">
      <w:pPr>
        <w:pStyle w:val="ListParagraph"/>
        <w:numPr>
          <w:ilvl w:val="0"/>
          <w:numId w:val="53"/>
        </w:numPr>
        <w:spacing w:after="160" w:line="279" w:lineRule="auto"/>
        <w:ind w:left="993"/>
      </w:pPr>
      <w:r w:rsidRPr="005B05B3">
        <w:t>arrangements for investigations by other authorities such as the Australian Crime Commission, Australian Competition and Consumer Commissioner or the Ombudsman</w:t>
      </w:r>
    </w:p>
    <w:p w14:paraId="19BBC53F" w14:textId="372EFB2F" w:rsidR="00DB58D5" w:rsidRPr="005B05B3" w:rsidRDefault="00DB58D5" w:rsidP="002248D1">
      <w:pPr>
        <w:pStyle w:val="ListParagraph"/>
        <w:numPr>
          <w:ilvl w:val="0"/>
          <w:numId w:val="53"/>
        </w:numPr>
        <w:spacing w:after="160" w:line="279" w:lineRule="auto"/>
        <w:ind w:left="993"/>
      </w:pPr>
      <w:r w:rsidRPr="005B05B3">
        <w:t>power to obtain information and documents</w:t>
      </w:r>
    </w:p>
    <w:p w14:paraId="538AC65F" w14:textId="2F526042" w:rsidR="00DB58D5" w:rsidRPr="005B05B3" w:rsidRDefault="00DB58D5" w:rsidP="002248D1">
      <w:pPr>
        <w:pStyle w:val="ListParagraph"/>
        <w:numPr>
          <w:ilvl w:val="0"/>
          <w:numId w:val="53"/>
        </w:numPr>
        <w:spacing w:after="160" w:line="279" w:lineRule="auto"/>
        <w:ind w:left="993"/>
      </w:pPr>
      <w:r w:rsidRPr="005B05B3">
        <w:t>administrative review of the decision in relation to the outcome of the complaint. An internal review and external review of the outcome should be made available. The Administrative Appeals Tribunal should be empowered to conduct external reviews of the Commissioner’s decisions on complaints.</w:t>
      </w:r>
    </w:p>
    <w:p w14:paraId="13B2DC38" w14:textId="22E67EB7" w:rsidR="00107EDF" w:rsidRPr="005B05B3" w:rsidRDefault="00F10C69" w:rsidP="00725AF9">
      <w:pPr>
        <w:keepNext/>
        <w:spacing w:after="0" w:line="276" w:lineRule="auto"/>
        <w:rPr>
          <w:b/>
          <w:bCs/>
        </w:rPr>
      </w:pPr>
      <w:r w:rsidRPr="005B05B3">
        <w:rPr>
          <w:noProof/>
        </w:rPr>
        <w:lastRenderedPageBreak/>
        <mc:AlternateContent>
          <mc:Choice Requires="wps">
            <w:drawing>
              <wp:anchor distT="0" distB="0" distL="114300" distR="114300" simplePos="0" relativeHeight="251661324" behindDoc="1" locked="0" layoutInCell="1" allowOverlap="1" wp14:anchorId="7F97EB6C" wp14:editId="772D4A7D">
                <wp:simplePos x="0" y="0"/>
                <wp:positionH relativeFrom="column">
                  <wp:posOffset>-139485</wp:posOffset>
                </wp:positionH>
                <wp:positionV relativeFrom="page">
                  <wp:posOffset>759417</wp:posOffset>
                </wp:positionV>
                <wp:extent cx="6140450" cy="8864901"/>
                <wp:effectExtent l="0" t="0" r="6350" b="0"/>
                <wp:wrapNone/>
                <wp:docPr id="5993955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0450" cy="8864901"/>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C7239" id="Rectangle 1" o:spid="_x0000_s1026" alt="&quot;&quot;" style="position:absolute;margin-left:-11pt;margin-top:59.8pt;width:483.5pt;height:698pt;z-index:-2516551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" fillcolor="#e8e8e8 [3214]" stroked="f" strokeweight="1pt">
                <w10:wrap anchory="page"/>
              </v:rect>
            </w:pict>
          </mc:Fallback>
        </mc:AlternateContent>
      </w:r>
      <w:r w:rsidR="00107EDF" w:rsidRPr="005B05B3">
        <w:rPr>
          <w:b/>
          <w:bCs/>
        </w:rPr>
        <w:t>Recommendation 1</w:t>
      </w:r>
      <w:r w:rsidR="00FF78A1" w:rsidRPr="005B05B3">
        <w:rPr>
          <w:b/>
          <w:bCs/>
        </w:rPr>
        <w:t>6</w:t>
      </w:r>
    </w:p>
    <w:p w14:paraId="0DE9051A" w14:textId="683E9AD6" w:rsidR="00DB58D5" w:rsidRPr="005B05B3" w:rsidRDefault="00DB58D5" w:rsidP="00725AF9">
      <w:pPr>
        <w:spacing w:line="276" w:lineRule="auto"/>
      </w:pPr>
      <w:r w:rsidRPr="005B05B3">
        <w:t xml:space="preserve">The legislative provision for the </w:t>
      </w:r>
      <w:r w:rsidRPr="005B05B3">
        <w:rPr>
          <w:b/>
        </w:rPr>
        <w:t>Code of Conduct</w:t>
      </w:r>
      <w:r w:rsidRPr="005B05B3">
        <w:t xml:space="preserve"> will need to be redesigned, including making it clear that it applies to any good or service purchased with NDIS funding, which may be a registered provider or not.</w:t>
      </w:r>
    </w:p>
    <w:p w14:paraId="6AE6C9E4" w14:textId="07CB402A" w:rsidR="00107EDF" w:rsidRPr="005B05B3" w:rsidRDefault="00107EDF" w:rsidP="00725AF9">
      <w:pPr>
        <w:spacing w:before="120" w:after="0" w:line="276" w:lineRule="auto"/>
        <w:rPr>
          <w:b/>
          <w:bCs/>
        </w:rPr>
      </w:pPr>
      <w:r w:rsidRPr="005B05B3">
        <w:rPr>
          <w:b/>
          <w:bCs/>
        </w:rPr>
        <w:t>Recommendation 1</w:t>
      </w:r>
      <w:r w:rsidR="00FF78A1" w:rsidRPr="005B05B3">
        <w:rPr>
          <w:b/>
          <w:bCs/>
        </w:rPr>
        <w:t>7</w:t>
      </w:r>
    </w:p>
    <w:p w14:paraId="1498AA99" w14:textId="42A00A15" w:rsidR="00CB5496" w:rsidRPr="005B05B3" w:rsidRDefault="00DB58D5" w:rsidP="00725AF9">
      <w:pPr>
        <w:spacing w:line="276" w:lineRule="auto"/>
      </w:pPr>
      <w:r w:rsidRPr="005B05B3">
        <w:rPr>
          <w:b/>
        </w:rPr>
        <w:t xml:space="preserve">Audits: </w:t>
      </w:r>
      <w:r w:rsidRPr="005B05B3">
        <w:t>legislative change is needed which will be co-designed with people with disability, their families and the sector. In particular, we recommend that audits be enshrined in the NDIS, shifting away from reliance on Rules and Guidelines to set the standards for the audit process.</w:t>
      </w:r>
    </w:p>
    <w:p w14:paraId="26FC894E" w14:textId="2F6D65E9" w:rsidR="00107EDF" w:rsidRPr="005B05B3" w:rsidRDefault="00107EDF" w:rsidP="00725AF9">
      <w:pPr>
        <w:spacing w:after="0" w:line="276" w:lineRule="auto"/>
        <w:rPr>
          <w:b/>
          <w:bCs/>
        </w:rPr>
      </w:pPr>
      <w:r w:rsidRPr="005B05B3">
        <w:rPr>
          <w:b/>
          <w:bCs/>
        </w:rPr>
        <w:t>Recommendation 1</w:t>
      </w:r>
      <w:r w:rsidR="00FF78A1" w:rsidRPr="005B05B3">
        <w:rPr>
          <w:b/>
          <w:bCs/>
        </w:rPr>
        <w:t>8</w:t>
      </w:r>
    </w:p>
    <w:p w14:paraId="19E58C72" w14:textId="1F39B36F" w:rsidR="00DB58D5" w:rsidRPr="005B05B3" w:rsidRDefault="00DB58D5" w:rsidP="00725AF9">
      <w:pPr>
        <w:spacing w:line="276" w:lineRule="auto"/>
      </w:pPr>
      <w:r w:rsidRPr="005B05B3">
        <w:rPr>
          <w:b/>
        </w:rPr>
        <w:t xml:space="preserve">Practice Standards: </w:t>
      </w:r>
      <w:r w:rsidRPr="005B05B3">
        <w:t>require an amendment to the governing Rules to ensure that Practice Standards are co-designed with people with disability.</w:t>
      </w:r>
    </w:p>
    <w:p w14:paraId="34E02FFB" w14:textId="12EB6620" w:rsidR="00107EDF" w:rsidRPr="005B05B3" w:rsidRDefault="00107EDF" w:rsidP="00725AF9">
      <w:pPr>
        <w:spacing w:after="0" w:line="276" w:lineRule="auto"/>
        <w:rPr>
          <w:b/>
          <w:bCs/>
        </w:rPr>
      </w:pPr>
      <w:r w:rsidRPr="005B05B3">
        <w:rPr>
          <w:b/>
          <w:bCs/>
        </w:rPr>
        <w:t xml:space="preserve">Recommendation </w:t>
      </w:r>
      <w:r w:rsidR="008C1229" w:rsidRPr="005B05B3">
        <w:rPr>
          <w:b/>
          <w:bCs/>
        </w:rPr>
        <w:t>19</w:t>
      </w:r>
    </w:p>
    <w:p w14:paraId="48BC061D" w14:textId="66648559" w:rsidR="00BE1D26" w:rsidRPr="005B05B3" w:rsidRDefault="00BE1D26" w:rsidP="00725AF9">
      <w:pPr>
        <w:spacing w:line="276" w:lineRule="auto"/>
      </w:pPr>
      <w:r w:rsidRPr="005B05B3">
        <w:rPr>
          <w:b/>
          <w:bCs/>
        </w:rPr>
        <w:t>Monitoring and compliance:</w:t>
      </w:r>
      <w:r w:rsidRPr="005B05B3">
        <w:t xml:space="preserve"> </w:t>
      </w:r>
      <w:r w:rsidR="00DB58D5" w:rsidRPr="005B05B3">
        <w:t>Department of Social Services (DSS) and NDIS Commission to work together to develop reform for monitoring and compliance powers.</w:t>
      </w:r>
    </w:p>
    <w:p w14:paraId="50A0EA83" w14:textId="77777777" w:rsidR="00BE1D26" w:rsidRPr="005B05B3" w:rsidRDefault="00BE1D26" w:rsidP="00725AF9">
      <w:pPr>
        <w:spacing w:after="0" w:line="276" w:lineRule="auto"/>
        <w:rPr>
          <w:rFonts w:eastAsia="Arial"/>
          <w:b/>
          <w:bCs/>
        </w:rPr>
      </w:pPr>
      <w:r w:rsidRPr="005B05B3">
        <w:rPr>
          <w:rFonts w:eastAsia="Arial"/>
          <w:b/>
          <w:bCs/>
        </w:rPr>
        <w:t>Recommendation 20</w:t>
      </w:r>
    </w:p>
    <w:p w14:paraId="623795D4" w14:textId="78F7AC7B" w:rsidR="00BE1D26" w:rsidRPr="005B05B3" w:rsidRDefault="00BE1D26" w:rsidP="00725AF9">
      <w:pPr>
        <w:spacing w:after="0" w:line="276" w:lineRule="auto"/>
        <w:rPr>
          <w:rFonts w:eastAsia="Arial"/>
        </w:rPr>
      </w:pPr>
      <w:r w:rsidRPr="005B05B3">
        <w:rPr>
          <w:rFonts w:eastAsia="Arial"/>
        </w:rPr>
        <w:t>NDIS Commission to establish:</w:t>
      </w:r>
    </w:p>
    <w:p w14:paraId="097BDB0F" w14:textId="6EA0AA0B" w:rsidR="00BE1D26" w:rsidRPr="005B05B3" w:rsidRDefault="00BE1D26" w:rsidP="00E14AE3">
      <w:pPr>
        <w:pStyle w:val="ListParagraph"/>
        <w:numPr>
          <w:ilvl w:val="0"/>
          <w:numId w:val="71"/>
        </w:numPr>
        <w:spacing w:line="276" w:lineRule="auto"/>
        <w:ind w:left="709"/>
      </w:pPr>
      <w:r w:rsidRPr="005B05B3">
        <w:t xml:space="preserve">an </w:t>
      </w:r>
      <w:r w:rsidRPr="005B05B3">
        <w:rPr>
          <w:b/>
          <w:bCs/>
        </w:rPr>
        <w:t>Innovation Community of Practice</w:t>
      </w:r>
      <w:r w:rsidRPr="005B05B3">
        <w:t xml:space="preserve"> </w:t>
      </w:r>
      <w:r w:rsidRPr="005B05B3">
        <w:rPr>
          <w:b/>
          <w:bCs/>
        </w:rPr>
        <w:t>and working groups</w:t>
      </w:r>
      <w:r w:rsidRPr="005B05B3">
        <w:t>, which act to support and nurture quality and innovation within the NDIS</w:t>
      </w:r>
    </w:p>
    <w:p w14:paraId="3F6DD20C" w14:textId="0E6EF46D" w:rsidR="00BE1D26" w:rsidRDefault="00BE1D26" w:rsidP="00E14AE3">
      <w:pPr>
        <w:pStyle w:val="ListParagraph"/>
        <w:numPr>
          <w:ilvl w:val="0"/>
          <w:numId w:val="71"/>
        </w:numPr>
        <w:ind w:left="709"/>
      </w:pPr>
      <w:r w:rsidRPr="005B05B3">
        <w:t>a</w:t>
      </w:r>
      <w:r w:rsidRPr="005B05B3">
        <w:rPr>
          <w:b/>
          <w:bCs/>
        </w:rPr>
        <w:t xml:space="preserve"> project group to consider the utility of the introduction and mandating of Individual Safeguarding Plans</w:t>
      </w:r>
      <w:r w:rsidRPr="005B05B3">
        <w:t xml:space="preserve"> for participants without individual natural safeguarding relationships and/or for those participants in congregant care settings or in clusters supported by a singular provider</w:t>
      </w:r>
      <w:r w:rsidRPr="00E14AE3">
        <w:t>.</w:t>
      </w:r>
    </w:p>
    <w:p w14:paraId="0F86DFD4" w14:textId="59DAE8F2" w:rsidR="00E14AE3" w:rsidRPr="00E14AE3" w:rsidRDefault="00E14AE3" w:rsidP="00725AF9">
      <w:pPr>
        <w:spacing w:after="0"/>
        <w:rPr>
          <w:b/>
          <w:bCs/>
        </w:rPr>
      </w:pPr>
      <w:r w:rsidRPr="00E14AE3">
        <w:rPr>
          <w:b/>
          <w:bCs/>
        </w:rPr>
        <w:t>Recommendation 21</w:t>
      </w:r>
    </w:p>
    <w:p w14:paraId="087A4EA9" w14:textId="4E9317E3" w:rsidR="00E14AE3" w:rsidRPr="00E14AE3" w:rsidRDefault="00A01F81" w:rsidP="00E14AE3">
      <w:r w:rsidRPr="00A01F81">
        <w:t xml:space="preserve">The Taskforce agrees with the Disability Royal Commission </w:t>
      </w:r>
      <w:r w:rsidR="00AA66D9">
        <w:t xml:space="preserve">Final Report </w:t>
      </w:r>
      <w:r w:rsidRPr="00A01F81">
        <w:t xml:space="preserve">for there to be a </w:t>
      </w:r>
      <w:r w:rsidRPr="00A01F81">
        <w:rPr>
          <w:b/>
          <w:bCs/>
        </w:rPr>
        <w:t>nationally consistent Community Visitor Scheme</w:t>
      </w:r>
      <w:r w:rsidRPr="00A01F81">
        <w:t xml:space="preserve"> in each state and territory to provide independent oversight is required</w:t>
      </w:r>
      <w:r w:rsidR="00E14AE3">
        <w:t>.</w:t>
      </w:r>
    </w:p>
    <w:p w14:paraId="71F3F46C" w14:textId="723B24BC" w:rsidR="00615A0B" w:rsidRPr="005B05B3" w:rsidRDefault="00224B01" w:rsidP="00615A0B">
      <w:pPr>
        <w:spacing w:line="276" w:lineRule="auto"/>
      </w:pPr>
      <w:r w:rsidRPr="005B05B3">
        <w:t xml:space="preserve">The implementation of the proposed model is imperative to its success. While the Taskforce </w:t>
      </w:r>
      <w:r w:rsidR="005D6AB4" w:rsidRPr="005B05B3">
        <w:t xml:space="preserve">Terms </w:t>
      </w:r>
      <w:r w:rsidR="000046EA">
        <w:t>of</w:t>
      </w:r>
      <w:r w:rsidR="005D6AB4" w:rsidRPr="005B05B3">
        <w:t xml:space="preserve"> Reference did</w:t>
      </w:r>
      <w:r w:rsidRPr="005B05B3">
        <w:t xml:space="preserve"> not </w:t>
      </w:r>
      <w:r w:rsidR="005D6AB4" w:rsidRPr="005B05B3">
        <w:t xml:space="preserve">ask us to </w:t>
      </w:r>
      <w:r w:rsidRPr="005B05B3">
        <w:t xml:space="preserve">provide costings or data modelling of the proposed model, there are key legislative, policy and operational changes which the proposed model depends on. </w:t>
      </w:r>
    </w:p>
    <w:p w14:paraId="236E1650" w14:textId="4B918BA6" w:rsidR="00224B01" w:rsidRPr="005B05B3" w:rsidRDefault="00224B01" w:rsidP="00933267">
      <w:pPr>
        <w:spacing w:line="276" w:lineRule="auto"/>
      </w:pPr>
      <w:r w:rsidRPr="005B05B3">
        <w:t xml:space="preserve">The purpose of this </w:t>
      </w:r>
      <w:r w:rsidR="005D6AB4" w:rsidRPr="005B05B3">
        <w:t xml:space="preserve">part of </w:t>
      </w:r>
      <w:r w:rsidR="00911D9A" w:rsidRPr="005B05B3">
        <w:t>our</w:t>
      </w:r>
      <w:r w:rsidR="00F9250D" w:rsidRPr="005B05B3">
        <w:t xml:space="preserve"> </w:t>
      </w:r>
      <w:r w:rsidR="005D6AB4" w:rsidRPr="005B05B3">
        <w:t>advice</w:t>
      </w:r>
      <w:r w:rsidRPr="005B05B3">
        <w:t xml:space="preserve"> is to </w:t>
      </w:r>
      <w:r w:rsidR="00614F3C" w:rsidRPr="005B05B3">
        <w:t>provide some guidance</w:t>
      </w:r>
      <w:r w:rsidRPr="005B05B3">
        <w:t xml:space="preserve"> for the </w:t>
      </w:r>
      <w:r w:rsidR="008B7BCA" w:rsidRPr="005B05B3">
        <w:t>implementation our</w:t>
      </w:r>
      <w:r w:rsidRPr="005B05B3">
        <w:t xml:space="preserve"> p</w:t>
      </w:r>
      <w:r w:rsidR="00615A0B" w:rsidRPr="005B05B3">
        <w:t>ro</w:t>
      </w:r>
      <w:r w:rsidRPr="005B05B3">
        <w:t xml:space="preserve">posed model. The Taskforce is mindful that this is not a comprehensive implementation plan and acknowledges that it will need to be developed, based on the response of the </w:t>
      </w:r>
      <w:r w:rsidR="001B3304" w:rsidRPr="005B05B3">
        <w:t>G</w:t>
      </w:r>
      <w:r w:rsidRPr="005B05B3">
        <w:t xml:space="preserve">overnment to </w:t>
      </w:r>
      <w:r w:rsidR="000A34F5" w:rsidRPr="005B05B3">
        <w:t>the Taskforce’s advice</w:t>
      </w:r>
      <w:r w:rsidRPr="005B05B3">
        <w:t>.</w:t>
      </w:r>
    </w:p>
    <w:p w14:paraId="515AB176" w14:textId="77777777" w:rsidR="00224B01" w:rsidRPr="00C04F70" w:rsidRDefault="0FC48F6E" w:rsidP="003D35AB">
      <w:pPr>
        <w:keepNext/>
        <w:spacing w:after="120"/>
        <w:rPr>
          <w:color w:val="0D2B58"/>
          <w:sz w:val="32"/>
          <w:szCs w:val="32"/>
        </w:rPr>
      </w:pPr>
      <w:bookmarkStart w:id="129" w:name="_Toc170128785"/>
      <w:bookmarkStart w:id="130" w:name="_Toc170808376"/>
      <w:bookmarkStart w:id="131" w:name="_Toc170919700"/>
      <w:r w:rsidRPr="00C04F70">
        <w:rPr>
          <w:color w:val="0D2B58"/>
          <w:sz w:val="32"/>
          <w:szCs w:val="32"/>
        </w:rPr>
        <w:lastRenderedPageBreak/>
        <w:t>Principles of implementation</w:t>
      </w:r>
      <w:bookmarkEnd w:id="129"/>
      <w:bookmarkEnd w:id="130"/>
      <w:bookmarkEnd w:id="131"/>
    </w:p>
    <w:p w14:paraId="1F56D0C3" w14:textId="77777777" w:rsidR="00224B01" w:rsidRPr="005B05B3" w:rsidRDefault="00224B01" w:rsidP="00224B01">
      <w:r w:rsidRPr="005B05B3">
        <w:t>The proposed model – a graduated, risk-proportionate registration model for NDIS Providers – must be built on the following principles:</w:t>
      </w:r>
    </w:p>
    <w:p w14:paraId="60939AF6" w14:textId="77777777" w:rsidR="00224B01" w:rsidRPr="005B05B3" w:rsidRDefault="00224B01" w:rsidP="002248D1">
      <w:pPr>
        <w:pStyle w:val="ListParagraph"/>
        <w:numPr>
          <w:ilvl w:val="0"/>
          <w:numId w:val="43"/>
        </w:numPr>
        <w:spacing w:after="160" w:line="279" w:lineRule="auto"/>
      </w:pPr>
      <w:r w:rsidRPr="005B05B3">
        <w:t>Participant-focused</w:t>
      </w:r>
    </w:p>
    <w:p w14:paraId="19ACAC35" w14:textId="25D1392D" w:rsidR="00224B01" w:rsidRPr="005B05B3" w:rsidRDefault="00224B01" w:rsidP="002248D1">
      <w:pPr>
        <w:pStyle w:val="ListParagraph"/>
        <w:numPr>
          <w:ilvl w:val="0"/>
          <w:numId w:val="43"/>
        </w:numPr>
        <w:spacing w:after="160" w:line="279" w:lineRule="auto"/>
      </w:pPr>
      <w:r w:rsidRPr="005B05B3">
        <w:t>Accessible</w:t>
      </w:r>
    </w:p>
    <w:p w14:paraId="105722C2" w14:textId="77777777" w:rsidR="00224B01" w:rsidRPr="005B05B3" w:rsidRDefault="00224B01" w:rsidP="002248D1">
      <w:pPr>
        <w:pStyle w:val="ListParagraph"/>
        <w:numPr>
          <w:ilvl w:val="0"/>
          <w:numId w:val="43"/>
        </w:numPr>
        <w:spacing w:after="160" w:line="279" w:lineRule="auto"/>
      </w:pPr>
      <w:r w:rsidRPr="005B05B3">
        <w:t>Timely</w:t>
      </w:r>
    </w:p>
    <w:p w14:paraId="79DD141C" w14:textId="602AE393" w:rsidR="00224B01" w:rsidRPr="005B05B3" w:rsidRDefault="00224B01" w:rsidP="002248D1">
      <w:pPr>
        <w:pStyle w:val="ListParagraph"/>
        <w:numPr>
          <w:ilvl w:val="0"/>
          <w:numId w:val="43"/>
        </w:numPr>
        <w:spacing w:after="160" w:line="279" w:lineRule="auto"/>
      </w:pPr>
      <w:r w:rsidRPr="005B05B3">
        <w:t>Impartial</w:t>
      </w:r>
    </w:p>
    <w:p w14:paraId="315979BF" w14:textId="77777777" w:rsidR="00224B01" w:rsidRPr="005B05B3" w:rsidRDefault="00224B01" w:rsidP="00224B01">
      <w:r w:rsidRPr="005B05B3">
        <w:t>For successful implementation of the model, the Taskforce notes that the following features are essential:</w:t>
      </w:r>
    </w:p>
    <w:p w14:paraId="50A06CBA" w14:textId="29A72D75" w:rsidR="00224B01" w:rsidRPr="005B05B3" w:rsidRDefault="00224B01" w:rsidP="002248D1">
      <w:pPr>
        <w:pStyle w:val="ListParagraph"/>
        <w:numPr>
          <w:ilvl w:val="0"/>
          <w:numId w:val="32"/>
        </w:numPr>
        <w:spacing w:after="160" w:line="279" w:lineRule="auto"/>
      </w:pPr>
      <w:r w:rsidRPr="005B05B3">
        <w:rPr>
          <w:b/>
        </w:rPr>
        <w:t>Co-design:</w:t>
      </w:r>
      <w:r w:rsidRPr="005B05B3">
        <w:t xml:space="preserve"> policies and approaches must be developed and designed with people with disabilities, their families and the sector.</w:t>
      </w:r>
    </w:p>
    <w:p w14:paraId="3577FB54" w14:textId="280334FC" w:rsidR="00224B01" w:rsidRPr="005B05B3" w:rsidRDefault="00224B01" w:rsidP="002248D1">
      <w:pPr>
        <w:pStyle w:val="ListParagraph"/>
        <w:numPr>
          <w:ilvl w:val="0"/>
          <w:numId w:val="32"/>
        </w:numPr>
        <w:spacing w:after="160" w:line="279" w:lineRule="auto"/>
      </w:pPr>
      <w:r w:rsidRPr="005B05B3">
        <w:rPr>
          <w:b/>
        </w:rPr>
        <w:t>Developing a local presence:</w:t>
      </w:r>
      <w:r w:rsidRPr="005B05B3">
        <w:t xml:space="preserve"> the Commission must operate in local communities, including at </w:t>
      </w:r>
      <w:r w:rsidR="00DE184E" w:rsidRPr="005B05B3">
        <w:t>s</w:t>
      </w:r>
      <w:r w:rsidRPr="005B05B3">
        <w:t xml:space="preserve">tate and </w:t>
      </w:r>
      <w:r w:rsidR="00DE184E" w:rsidRPr="005B05B3">
        <w:t>t</w:t>
      </w:r>
      <w:r w:rsidRPr="005B05B3">
        <w:t>erritory levels to build trust and effectiveness in operations.</w:t>
      </w:r>
    </w:p>
    <w:p w14:paraId="41C125D8" w14:textId="5A885936" w:rsidR="00224B01" w:rsidRPr="005B05B3" w:rsidRDefault="00224B01" w:rsidP="002248D1">
      <w:pPr>
        <w:pStyle w:val="ListParagraph"/>
        <w:numPr>
          <w:ilvl w:val="0"/>
          <w:numId w:val="32"/>
        </w:numPr>
        <w:spacing w:after="160" w:line="279" w:lineRule="auto"/>
      </w:pPr>
      <w:r w:rsidRPr="005B05B3">
        <w:rPr>
          <w:b/>
        </w:rPr>
        <w:t>Technology:</w:t>
      </w:r>
      <w:r w:rsidRPr="005B05B3">
        <w:t xml:space="preserve"> operationalising the proposed model will rely heavily on an advancement in technology used to perform registration, gather and analys</w:t>
      </w:r>
      <w:r w:rsidR="00517B45">
        <w:t>e</w:t>
      </w:r>
      <w:r w:rsidRPr="005B05B3">
        <w:t xml:space="preserve"> regulatory intelligence and facilitate accessible communication with the Commission.</w:t>
      </w:r>
    </w:p>
    <w:p w14:paraId="0F446EAE" w14:textId="4266109C" w:rsidR="00224B01" w:rsidRPr="00C04F70" w:rsidRDefault="0FC48F6E" w:rsidP="005F48E1">
      <w:pPr>
        <w:spacing w:before="360" w:after="120"/>
        <w:rPr>
          <w:color w:val="0D2B58"/>
          <w:sz w:val="32"/>
          <w:szCs w:val="32"/>
        </w:rPr>
      </w:pPr>
      <w:bookmarkStart w:id="132" w:name="_Toc170128786"/>
      <w:bookmarkStart w:id="133" w:name="_Toc170808377"/>
      <w:bookmarkStart w:id="134" w:name="_Toc170919701"/>
      <w:r w:rsidRPr="00C04F70">
        <w:rPr>
          <w:color w:val="0D2B58"/>
          <w:sz w:val="32"/>
          <w:szCs w:val="32"/>
        </w:rPr>
        <w:t xml:space="preserve">The role of </w:t>
      </w:r>
      <w:r w:rsidR="00F9250D" w:rsidRPr="00C04F70">
        <w:rPr>
          <w:color w:val="0D2B58"/>
          <w:sz w:val="32"/>
          <w:szCs w:val="32"/>
        </w:rPr>
        <w:t>Commonwealth agencies</w:t>
      </w:r>
      <w:r w:rsidRPr="00C04F70">
        <w:rPr>
          <w:color w:val="0D2B58"/>
          <w:sz w:val="32"/>
          <w:szCs w:val="32"/>
        </w:rPr>
        <w:t xml:space="preserve"> in implementing the model</w:t>
      </w:r>
      <w:bookmarkEnd w:id="132"/>
      <w:bookmarkEnd w:id="133"/>
      <w:bookmarkEnd w:id="134"/>
    </w:p>
    <w:p w14:paraId="02E39BB5" w14:textId="38ADE43C" w:rsidR="00224B01" w:rsidRPr="005B05B3" w:rsidRDefault="00224B01" w:rsidP="5EFE2499">
      <w:r w:rsidRPr="005B05B3">
        <w:t xml:space="preserve">Ensuring that the proposed model is operationalised to realise the rights of people with disability is paramount. The design and implementation of the proposed model will have shared responsibility across DSS, the </w:t>
      </w:r>
      <w:r w:rsidR="00B53A9D" w:rsidRPr="005B05B3">
        <w:t xml:space="preserve">NDIA </w:t>
      </w:r>
      <w:r w:rsidRPr="005B05B3">
        <w:t>and the NDIS Commission.</w:t>
      </w:r>
    </w:p>
    <w:p w14:paraId="70D912F1" w14:textId="2B259D0E" w:rsidR="00224B01" w:rsidRPr="005B05B3" w:rsidRDefault="00224B01" w:rsidP="00224B01">
      <w:r w:rsidRPr="005B05B3">
        <w:t>The Taskforce acknowledges the importance of these three agencies exercising their respective powers and responsibilities to deliver and implement the proposed model. We underscore the importance of the unified and collaborative relationship of these agencies to effectively deliver their respective functions. This extends to the importance of information sharing between the agencies, and in particular the NDIA and NDIS Commission, which we will discuss later in this Chapter.</w:t>
      </w:r>
    </w:p>
    <w:p w14:paraId="240B25E0" w14:textId="48385BD9" w:rsidR="00224B01" w:rsidRPr="005B05B3" w:rsidRDefault="00224B01" w:rsidP="005B05B3">
      <w:r w:rsidRPr="005B05B3">
        <w:t>As the NDIS Commission has legislative responsibility for the registration and reportable incidents function</w:t>
      </w:r>
      <w:r w:rsidRPr="005B05B3">
        <w:rPr>
          <w:rStyle w:val="FootnoteReference"/>
        </w:rPr>
        <w:footnoteReference w:id="254"/>
      </w:r>
      <w:r w:rsidRPr="005B05B3">
        <w:t xml:space="preserve"> which is the basis on which the proposed model is legalised (with legislative amendment as recommended), much of the implementation of the proposed model falls to them. </w:t>
      </w:r>
    </w:p>
    <w:p w14:paraId="39269647" w14:textId="1B14CD74" w:rsidR="008143F4" w:rsidRPr="00C04F70" w:rsidRDefault="008143F4" w:rsidP="005F48E1">
      <w:pPr>
        <w:keepNext/>
        <w:spacing w:after="120"/>
        <w:rPr>
          <w:color w:val="0D2B58"/>
          <w:sz w:val="32"/>
          <w:szCs w:val="32"/>
        </w:rPr>
      </w:pPr>
      <w:bookmarkStart w:id="135" w:name="_Toc170808379"/>
      <w:bookmarkStart w:id="136" w:name="_Toc170128788"/>
      <w:bookmarkStart w:id="137" w:name="_Toc170919702"/>
      <w:r w:rsidRPr="00C04F70">
        <w:rPr>
          <w:color w:val="0D2B58"/>
          <w:sz w:val="32"/>
          <w:szCs w:val="32"/>
        </w:rPr>
        <w:lastRenderedPageBreak/>
        <w:t>NDI</w:t>
      </w:r>
      <w:r w:rsidR="00400F11" w:rsidRPr="00C04F70">
        <w:rPr>
          <w:color w:val="0D2B58"/>
          <w:sz w:val="32"/>
          <w:szCs w:val="32"/>
        </w:rPr>
        <w:t>S</w:t>
      </w:r>
      <w:r w:rsidRPr="00C04F70">
        <w:rPr>
          <w:color w:val="0D2B58"/>
          <w:sz w:val="32"/>
          <w:szCs w:val="32"/>
        </w:rPr>
        <w:t xml:space="preserve"> Act</w:t>
      </w:r>
      <w:bookmarkEnd w:id="135"/>
      <w:bookmarkEnd w:id="136"/>
      <w:bookmarkEnd w:id="137"/>
    </w:p>
    <w:p w14:paraId="65325043" w14:textId="77777777" w:rsidR="0079025F" w:rsidRDefault="00224B01" w:rsidP="005B05B3">
      <w:r w:rsidRPr="005B05B3">
        <w:t xml:space="preserve">In proposing a model which makes such a significant shift from what is currently in place, the Taskforce can see the benefit of the Government introducing a new legislative instrument for the purposes of the establishment, functions and powers of the Commission and Commissioner. </w:t>
      </w:r>
    </w:p>
    <w:p w14:paraId="19125346" w14:textId="538F6CC7" w:rsidR="00E7498E" w:rsidRPr="005B05B3" w:rsidRDefault="00280C36" w:rsidP="00E7498E">
      <w:r w:rsidRPr="005B05B3">
        <w:t>T</w:t>
      </w:r>
      <w:r w:rsidR="00224B01" w:rsidRPr="005B05B3">
        <w:t xml:space="preserve">he current functions of the </w:t>
      </w:r>
      <w:r w:rsidR="00224B01" w:rsidRPr="00963793">
        <w:t>Commission</w:t>
      </w:r>
      <w:r w:rsidRPr="00963793">
        <w:rPr>
          <w:rStyle w:val="FootnoteReference"/>
        </w:rPr>
        <w:t xml:space="preserve"> </w:t>
      </w:r>
      <w:r w:rsidRPr="00963793">
        <w:t>under the NDIS Act</w:t>
      </w:r>
      <w:r w:rsidRPr="005B05B3">
        <w:t xml:space="preserve"> </w:t>
      </w:r>
      <w:r w:rsidR="00224B01" w:rsidRPr="005B05B3">
        <w:t xml:space="preserve">remain important and needed </w:t>
      </w:r>
      <w:r w:rsidRPr="005B05B3">
        <w:t xml:space="preserve">for </w:t>
      </w:r>
      <w:r w:rsidR="00224B01" w:rsidRPr="005B05B3">
        <w:t xml:space="preserve">the proposed model but require redesign and reform. </w:t>
      </w:r>
      <w:r w:rsidR="00E7498E" w:rsidRPr="005B05B3">
        <w:t>The Taskforce makes recommendations below to realign the organisational structure to align with the proposed model and recommended legislative changes.</w:t>
      </w:r>
    </w:p>
    <w:p w14:paraId="49D1CE49" w14:textId="20B0A1BB" w:rsidR="00224B01" w:rsidRPr="005B05B3" w:rsidRDefault="00963793" w:rsidP="005F48E1">
      <w:pPr>
        <w:pStyle w:val="TSDAltHeading2"/>
        <w:spacing w:before="360"/>
      </w:pPr>
      <w:bookmarkStart w:id="138" w:name="_Toc173318073"/>
      <w:r>
        <w:t>B</w:t>
      </w:r>
      <w:r w:rsidR="00E41741">
        <w:t>uilding on c</w:t>
      </w:r>
      <w:r w:rsidR="00224B01" w:rsidRPr="005B05B3">
        <w:t>ore functions</w:t>
      </w:r>
      <w:r w:rsidR="00E41741">
        <w:t xml:space="preserve"> </w:t>
      </w:r>
      <w:r>
        <w:t>of the Commission</w:t>
      </w:r>
      <w:bookmarkEnd w:id="138"/>
    </w:p>
    <w:p w14:paraId="441A18D9" w14:textId="77777777" w:rsidR="0009395C" w:rsidRDefault="00224B01" w:rsidP="00224B01">
      <w:r w:rsidRPr="005B05B3">
        <w:t xml:space="preserve">The core functions of the Commission are currently described in section 181E of the Act. The Taskforce acknowledges that they remain important in the context of the proposed model. </w:t>
      </w:r>
    </w:p>
    <w:p w14:paraId="10E39306" w14:textId="76A3310F" w:rsidR="00224B01" w:rsidRPr="005B05B3" w:rsidRDefault="00224B01" w:rsidP="00224B01">
      <w:r w:rsidRPr="005B05B3">
        <w:t xml:space="preserve">We recommend that the existing core functions be built upon and developed in a </w:t>
      </w:r>
      <w:r w:rsidR="0009395C">
        <w:br/>
      </w:r>
      <w:r w:rsidRPr="005B05B3">
        <w:t>co-design process with people with disability for the purposes of the proposed model.</w:t>
      </w:r>
      <w:r w:rsidR="00620E2E">
        <w:t xml:space="preserve"> These include:</w:t>
      </w:r>
    </w:p>
    <w:p w14:paraId="058C121E" w14:textId="77777777" w:rsidR="00224B01" w:rsidRPr="005B05B3" w:rsidRDefault="47F10C47" w:rsidP="002248D1">
      <w:pPr>
        <w:pStyle w:val="ListParagraph"/>
        <w:numPr>
          <w:ilvl w:val="0"/>
          <w:numId w:val="33"/>
        </w:numPr>
        <w:spacing w:after="160" w:line="279" w:lineRule="auto"/>
      </w:pPr>
      <w:r w:rsidRPr="005B05B3">
        <w:t>The reduction of segregation in closed settings and causes of isolation of people with disability.</w:t>
      </w:r>
    </w:p>
    <w:p w14:paraId="699FC091" w14:textId="77777777" w:rsidR="00224B01" w:rsidRPr="005B05B3" w:rsidRDefault="47F10C47" w:rsidP="002248D1">
      <w:pPr>
        <w:pStyle w:val="ListParagraph"/>
        <w:numPr>
          <w:ilvl w:val="0"/>
          <w:numId w:val="33"/>
        </w:numPr>
        <w:spacing w:after="160" w:line="279" w:lineRule="auto"/>
      </w:pPr>
      <w:r w:rsidRPr="005B05B3">
        <w:t>The promotion of best practice within service providers to deliver high quality, individualised and innovative services.</w:t>
      </w:r>
    </w:p>
    <w:p w14:paraId="3D597E20" w14:textId="5E23B437" w:rsidR="00224B01" w:rsidRPr="005B05B3" w:rsidRDefault="47F10C47" w:rsidP="002248D1">
      <w:pPr>
        <w:pStyle w:val="ListParagraph"/>
        <w:numPr>
          <w:ilvl w:val="0"/>
          <w:numId w:val="33"/>
        </w:numPr>
        <w:spacing w:after="160" w:line="279" w:lineRule="auto"/>
      </w:pPr>
      <w:r w:rsidRPr="005B05B3">
        <w:t xml:space="preserve">The promotion of safe, secure </w:t>
      </w:r>
      <w:r w:rsidR="00144E9F" w:rsidRPr="005B05B3">
        <w:t>workplaces that</w:t>
      </w:r>
      <w:r w:rsidRPr="005B05B3">
        <w:t xml:space="preserve"> value workers providing disability support services.</w:t>
      </w:r>
    </w:p>
    <w:p w14:paraId="5ED43042" w14:textId="597FB7F4" w:rsidR="00EE1FB7" w:rsidRPr="005B05B3" w:rsidRDefault="00EE1FB7" w:rsidP="00A808C5">
      <w:pPr>
        <w:spacing w:after="120"/>
      </w:pPr>
      <w:r w:rsidRPr="005B05B3">
        <w:t>To operationalise the proposed model, the Taskforce recommends that there must be the following statutory positions in the Commission a:</w:t>
      </w:r>
    </w:p>
    <w:p w14:paraId="0D4C4B7E" w14:textId="77777777" w:rsidR="00EE1FB7" w:rsidRPr="005B05B3" w:rsidRDefault="00EE1FB7" w:rsidP="002248D1">
      <w:pPr>
        <w:pStyle w:val="ListParagraph"/>
        <w:numPr>
          <w:ilvl w:val="0"/>
          <w:numId w:val="34"/>
        </w:numPr>
        <w:spacing w:after="160" w:line="279" w:lineRule="auto"/>
      </w:pPr>
      <w:r w:rsidRPr="005B05B3">
        <w:t>Complaints Commissioner</w:t>
      </w:r>
    </w:p>
    <w:p w14:paraId="42F8C962" w14:textId="77777777" w:rsidR="00EE1FB7" w:rsidRPr="005B05B3" w:rsidRDefault="00EE1FB7" w:rsidP="002248D1">
      <w:pPr>
        <w:pStyle w:val="ListParagraph"/>
        <w:numPr>
          <w:ilvl w:val="0"/>
          <w:numId w:val="34"/>
        </w:numPr>
        <w:spacing w:after="160" w:line="279" w:lineRule="auto"/>
      </w:pPr>
      <w:r w:rsidRPr="005B05B3">
        <w:t>Registrar</w:t>
      </w:r>
    </w:p>
    <w:p w14:paraId="5D529FAC" w14:textId="77777777" w:rsidR="00EE1FB7" w:rsidRPr="005B05B3" w:rsidRDefault="00EE1FB7" w:rsidP="002248D1">
      <w:pPr>
        <w:pStyle w:val="ListParagraph"/>
        <w:numPr>
          <w:ilvl w:val="0"/>
          <w:numId w:val="34"/>
        </w:numPr>
        <w:spacing w:after="160" w:line="279" w:lineRule="auto"/>
      </w:pPr>
      <w:r w:rsidRPr="005B05B3">
        <w:t>Senior Practitioner</w:t>
      </w:r>
    </w:p>
    <w:p w14:paraId="45C478FA" w14:textId="2DC9296D" w:rsidR="00EE1FB7" w:rsidRPr="005B05B3" w:rsidRDefault="00EE1FB7" w:rsidP="00A808C5">
      <w:pPr>
        <w:spacing w:after="120"/>
      </w:pPr>
      <w:r w:rsidRPr="005B05B3">
        <w:t>Within the Commission, the operational units should be established in the following areas to support the statutory positions:</w:t>
      </w:r>
    </w:p>
    <w:p w14:paraId="1D61F374" w14:textId="58965BA7" w:rsidR="00EE1FB7" w:rsidRPr="005B05B3" w:rsidRDefault="00EE1FB7" w:rsidP="002248D1">
      <w:pPr>
        <w:pStyle w:val="ListParagraph"/>
        <w:numPr>
          <w:ilvl w:val="0"/>
          <w:numId w:val="35"/>
        </w:numPr>
        <w:spacing w:after="160" w:line="279" w:lineRule="auto"/>
        <w:rPr>
          <w:rFonts w:eastAsia="Aptos" w:cs="Aptos"/>
        </w:rPr>
      </w:pPr>
      <w:r w:rsidRPr="005B05B3">
        <w:rPr>
          <w:rFonts w:eastAsia="Aptos" w:cs="Aptos"/>
        </w:rPr>
        <w:t>Self-directed</w:t>
      </w:r>
      <w:r w:rsidR="00E30AC8">
        <w:rPr>
          <w:rFonts w:eastAsia="Aptos" w:cs="Aptos"/>
        </w:rPr>
        <w:t xml:space="preserve"> supports</w:t>
      </w:r>
    </w:p>
    <w:p w14:paraId="51C55A71" w14:textId="23F36E54" w:rsidR="00EE1FB7" w:rsidRPr="005B05B3" w:rsidRDefault="00EE1FB7" w:rsidP="002248D1">
      <w:pPr>
        <w:pStyle w:val="ListParagraph"/>
        <w:numPr>
          <w:ilvl w:val="0"/>
          <w:numId w:val="35"/>
        </w:numPr>
        <w:spacing w:after="160" w:line="279" w:lineRule="auto"/>
        <w:rPr>
          <w:rFonts w:eastAsia="Aptos" w:cs="Aptos"/>
        </w:rPr>
      </w:pPr>
      <w:r w:rsidRPr="005B05B3">
        <w:rPr>
          <w:rFonts w:eastAsia="Aptos" w:cs="Aptos"/>
        </w:rPr>
        <w:t xml:space="preserve">First </w:t>
      </w:r>
      <w:r w:rsidR="009F1317">
        <w:rPr>
          <w:rFonts w:eastAsia="Aptos" w:cs="Aptos"/>
        </w:rPr>
        <w:t>N</w:t>
      </w:r>
      <w:r w:rsidRPr="005B05B3">
        <w:rPr>
          <w:rFonts w:eastAsia="Aptos" w:cs="Aptos"/>
        </w:rPr>
        <w:t>ations</w:t>
      </w:r>
      <w:r w:rsidR="00E30AC8">
        <w:rPr>
          <w:rFonts w:eastAsia="Aptos" w:cs="Aptos"/>
        </w:rPr>
        <w:t xml:space="preserve"> people</w:t>
      </w:r>
    </w:p>
    <w:p w14:paraId="1B2B8ED3" w14:textId="04955F85" w:rsidR="00EE1FB7" w:rsidRPr="005B05B3" w:rsidRDefault="00EE1FB7" w:rsidP="002248D1">
      <w:pPr>
        <w:pStyle w:val="ListParagraph"/>
        <w:numPr>
          <w:ilvl w:val="0"/>
          <w:numId w:val="35"/>
        </w:numPr>
        <w:spacing w:after="160" w:line="279" w:lineRule="auto"/>
        <w:rPr>
          <w:rFonts w:eastAsia="Aptos" w:cs="Aptos"/>
        </w:rPr>
      </w:pPr>
      <w:r w:rsidRPr="005B05B3">
        <w:rPr>
          <w:rFonts w:eastAsia="Aptos" w:cs="Aptos"/>
        </w:rPr>
        <w:t>Rural and remote</w:t>
      </w:r>
    </w:p>
    <w:p w14:paraId="7112EC19" w14:textId="731AF194" w:rsidR="00EE1FB7" w:rsidRPr="005B05B3" w:rsidRDefault="00EE1FB7" w:rsidP="002248D1">
      <w:pPr>
        <w:pStyle w:val="ListParagraph"/>
        <w:numPr>
          <w:ilvl w:val="0"/>
          <w:numId w:val="35"/>
        </w:numPr>
        <w:spacing w:after="160" w:line="279" w:lineRule="auto"/>
        <w:rPr>
          <w:rFonts w:eastAsia="Aptos" w:cs="Aptos"/>
        </w:rPr>
      </w:pPr>
      <w:r w:rsidRPr="005B05B3">
        <w:rPr>
          <w:rFonts w:eastAsia="Aptos" w:cs="Aptos"/>
        </w:rPr>
        <w:t>Engagement</w:t>
      </w:r>
    </w:p>
    <w:p w14:paraId="7DF864CD" w14:textId="5CD87AA0" w:rsidR="00EE1FB7" w:rsidRPr="005B05B3" w:rsidRDefault="00EE1FB7" w:rsidP="002248D1">
      <w:pPr>
        <w:pStyle w:val="ListParagraph"/>
        <w:numPr>
          <w:ilvl w:val="0"/>
          <w:numId w:val="35"/>
        </w:numPr>
        <w:spacing w:after="160" w:line="279" w:lineRule="auto"/>
        <w:rPr>
          <w:rFonts w:eastAsia="Aptos" w:cs="Aptos"/>
        </w:rPr>
      </w:pPr>
      <w:r w:rsidRPr="005B05B3">
        <w:rPr>
          <w:rFonts w:eastAsia="Aptos" w:cs="Aptos"/>
        </w:rPr>
        <w:t>Safeguarding</w:t>
      </w:r>
    </w:p>
    <w:p w14:paraId="3D401811" w14:textId="717E3054" w:rsidR="00EE1FB7" w:rsidRPr="005B05B3" w:rsidRDefault="00EE1FB7" w:rsidP="002248D1">
      <w:pPr>
        <w:pStyle w:val="ListParagraph"/>
        <w:numPr>
          <w:ilvl w:val="0"/>
          <w:numId w:val="35"/>
        </w:numPr>
        <w:spacing w:after="160" w:line="279" w:lineRule="auto"/>
        <w:rPr>
          <w:rFonts w:eastAsia="Aptos" w:cs="Aptos"/>
        </w:rPr>
      </w:pPr>
      <w:r w:rsidRPr="005B05B3">
        <w:rPr>
          <w:rFonts w:eastAsia="Aptos" w:cs="Aptos"/>
        </w:rPr>
        <w:t>Innovation</w:t>
      </w:r>
    </w:p>
    <w:p w14:paraId="5EE806EF" w14:textId="1110FD81" w:rsidR="00EE1FB7" w:rsidRPr="005B05B3" w:rsidRDefault="00EE1FB7" w:rsidP="002248D1">
      <w:pPr>
        <w:pStyle w:val="ListParagraph"/>
        <w:numPr>
          <w:ilvl w:val="0"/>
          <w:numId w:val="35"/>
        </w:numPr>
        <w:spacing w:after="160" w:line="279" w:lineRule="auto"/>
        <w:rPr>
          <w:rFonts w:eastAsia="Aptos" w:cs="Aptos"/>
        </w:rPr>
      </w:pPr>
      <w:r w:rsidRPr="005B05B3">
        <w:rPr>
          <w:rFonts w:eastAsia="Aptos" w:cs="Aptos"/>
        </w:rPr>
        <w:t>Human rights</w:t>
      </w:r>
    </w:p>
    <w:p w14:paraId="60F9E56C" w14:textId="2CA7589B" w:rsidR="00EE1FB7" w:rsidRPr="005B05B3" w:rsidRDefault="00EE1FB7" w:rsidP="00DC56F6">
      <w:r w:rsidRPr="005B05B3">
        <w:rPr>
          <w:rFonts w:eastAsia="Aptos" w:cs="Aptos"/>
        </w:rPr>
        <w:lastRenderedPageBreak/>
        <w:t>Some of what we have suggested above might already be in place</w:t>
      </w:r>
      <w:r w:rsidR="00DC069C" w:rsidRPr="005B05B3">
        <w:rPr>
          <w:rFonts w:eastAsia="Aptos" w:cs="Aptos"/>
        </w:rPr>
        <w:t>.</w:t>
      </w:r>
      <w:r w:rsidRPr="005B05B3">
        <w:t xml:space="preserve"> </w:t>
      </w:r>
      <w:r w:rsidR="00DC069C" w:rsidRPr="005B05B3">
        <w:rPr>
          <w:rFonts w:eastAsia="Aptos" w:cs="Aptos"/>
        </w:rPr>
        <w:t>W</w:t>
      </w:r>
      <w:r w:rsidRPr="005B05B3">
        <w:t xml:space="preserve">here that is the case we are recommending that the Commission refocus these functions as part of implementing the new </w:t>
      </w:r>
      <w:r w:rsidR="237D840D" w:rsidRPr="005B05B3">
        <w:t>model</w:t>
      </w:r>
      <w:r w:rsidRPr="005B05B3">
        <w:t xml:space="preserve">. </w:t>
      </w:r>
    </w:p>
    <w:p w14:paraId="6635E869" w14:textId="31849BC9" w:rsidR="004D2C09" w:rsidRPr="005B05B3" w:rsidRDefault="004D2C09" w:rsidP="005F48E1">
      <w:pPr>
        <w:pStyle w:val="TSDAltHeading2"/>
        <w:spacing w:before="360"/>
      </w:pPr>
      <w:bookmarkStart w:id="139" w:name="_Toc173318074"/>
      <w:r w:rsidRPr="005B05B3">
        <w:t>Legislative reform</w:t>
      </w:r>
      <w:r w:rsidR="00963793">
        <w:t>s</w:t>
      </w:r>
      <w:bookmarkEnd w:id="139"/>
    </w:p>
    <w:p w14:paraId="1742514E" w14:textId="2E8506D6" w:rsidR="004D2C09" w:rsidRDefault="004D2C09" w:rsidP="2319A92E">
      <w:r w:rsidRPr="005B05B3">
        <w:t xml:space="preserve">In preparing this advice, the Taskforce has considered the proposed model against the current legislative framework and provides guidance on where legislative reform is needed to give effect to the proposed model, if accepted. This is especially important for the establishment of registration categories (as described in </w:t>
      </w:r>
      <w:hyperlink w:anchor="_Registration_categories" w:history="1">
        <w:r w:rsidRPr="001D199F">
          <w:rPr>
            <w:rStyle w:val="Hyperlink"/>
            <w:rFonts w:ascii="Aptos" w:hAnsi="Aptos"/>
          </w:rPr>
          <w:t xml:space="preserve">Chapter </w:t>
        </w:r>
        <w:r w:rsidR="001D199F" w:rsidRPr="001D199F">
          <w:rPr>
            <w:rStyle w:val="Hyperlink"/>
            <w:rFonts w:ascii="Aptos" w:hAnsi="Aptos"/>
          </w:rPr>
          <w:t>5</w:t>
        </w:r>
      </w:hyperlink>
      <w:r w:rsidRPr="005B05B3">
        <w:t xml:space="preserve">) and Provider Obligations and Processes (as described in </w:t>
      </w:r>
      <w:hyperlink w:anchor="_NDIS_Provider_Obligations" w:history="1">
        <w:r w:rsidRPr="001D199F">
          <w:rPr>
            <w:rStyle w:val="Hyperlink"/>
            <w:rFonts w:ascii="Aptos" w:hAnsi="Aptos"/>
          </w:rPr>
          <w:t xml:space="preserve">Chapter </w:t>
        </w:r>
        <w:r w:rsidR="001D199F" w:rsidRPr="001D199F">
          <w:rPr>
            <w:rStyle w:val="Hyperlink"/>
            <w:rFonts w:ascii="Aptos" w:hAnsi="Aptos"/>
          </w:rPr>
          <w:t>8</w:t>
        </w:r>
      </w:hyperlink>
      <w:r w:rsidRPr="005B05B3">
        <w:t>).</w:t>
      </w:r>
    </w:p>
    <w:p w14:paraId="2F04EE59" w14:textId="2AFB046C" w:rsidR="00E30AC8" w:rsidRPr="005B05B3" w:rsidRDefault="00E30AC8" w:rsidP="009F682D">
      <w:pPr>
        <w:pStyle w:val="TSDAltHeading3"/>
      </w:pPr>
      <w:r>
        <w:t>Opportunity for a new Act</w:t>
      </w:r>
    </w:p>
    <w:p w14:paraId="2FD29ABB" w14:textId="2D077D5C" w:rsidR="00280C36" w:rsidRPr="005B05B3" w:rsidRDefault="00280C36" w:rsidP="0054409A">
      <w:pPr>
        <w:spacing w:line="276" w:lineRule="auto"/>
      </w:pPr>
      <w:r w:rsidRPr="005B05B3">
        <w:t>While the NDIS Act could continue to establish the NDIS Commission, a separate Act would offer the opportunity for clear Objects, Principles and specific functions and powers, separate from the provision of reasonable and necessary supports to support the independence and social and economic participation of people with disability.</w:t>
      </w:r>
      <w:r w:rsidRPr="005B05B3">
        <w:rPr>
          <w:rStyle w:val="FootnoteReference"/>
          <w:b/>
          <w:bCs/>
        </w:rPr>
        <w:footnoteReference w:id="255"/>
      </w:r>
      <w:r w:rsidRPr="005B05B3">
        <w:t xml:space="preserve"> A separate Act would also emphasise the independence of the Commissioner and Commission, which is imperative under the proposed model.</w:t>
      </w:r>
    </w:p>
    <w:p w14:paraId="2D4874D5" w14:textId="14D8471C" w:rsidR="00224B01" w:rsidRPr="00EB2989" w:rsidRDefault="00224B01" w:rsidP="009F682D">
      <w:pPr>
        <w:pStyle w:val="TSDAltHeading3"/>
        <w:rPr>
          <w:u w:val="single"/>
        </w:rPr>
      </w:pPr>
      <w:r w:rsidRPr="005B05B3">
        <w:t>Provider registration</w:t>
      </w:r>
    </w:p>
    <w:p w14:paraId="34327CA4" w14:textId="791EE0F3" w:rsidR="00224B01" w:rsidRPr="005B05B3" w:rsidRDefault="00224B01" w:rsidP="0054409A">
      <w:pPr>
        <w:spacing w:line="276" w:lineRule="auto"/>
      </w:pPr>
      <w:r w:rsidRPr="005B05B3">
        <w:t xml:space="preserve">Section 181F of the Act provides the current registration (and reportable incident) function. Sections 73B to 73S of the Act are also imperative to the registration function, providing for the registration requirements of NDIS Providers. Due to the significant change from the current model to the proposed model, the Taskforce recommends that a new framework be designed for provider registration. This should include the requirement to be registered for all NDIS </w:t>
      </w:r>
      <w:r w:rsidR="0053091A" w:rsidRPr="005B05B3">
        <w:t>p</w:t>
      </w:r>
      <w:r w:rsidRPr="005B05B3">
        <w:t xml:space="preserve">roviders and the obligations which flow from the registration. Currently, the </w:t>
      </w:r>
      <w:r w:rsidRPr="005B05B3">
        <w:rPr>
          <w:i/>
          <w:iCs/>
        </w:rPr>
        <w:t>NDIS (Provider Registration and Practice Standards) Rules 2018</w:t>
      </w:r>
      <w:r w:rsidRPr="005B05B3">
        <w:t xml:space="preserve"> set out some of the conditions that providers must comply with to become and remain registered providers. They also set out the NDIS Practice Standards that apply to all registered NDIS providers delivering more complex support in areas such as behaviour support, early childhood support, specialist behaviour support, support coordination and </w:t>
      </w:r>
      <w:r w:rsidR="00766109" w:rsidRPr="005B05B3">
        <w:t>SDA</w:t>
      </w:r>
      <w:r w:rsidRPr="005B05B3">
        <w:t>.</w:t>
      </w:r>
      <w:r w:rsidRPr="005B05B3">
        <w:rPr>
          <w:rStyle w:val="FootnoteReference"/>
        </w:rPr>
        <w:footnoteReference w:id="256"/>
      </w:r>
      <w:r w:rsidRPr="005B05B3">
        <w:t xml:space="preserve"> With the change in definition, this legislative framework for this function is relatively sound if the application of the new definition is considered. However, the Taskforce recommend that registration and reportable incident functions are separated so that the provider registration system can be articulated in a legislative Part and reportable incidents be captured as a provider obligation.</w:t>
      </w:r>
    </w:p>
    <w:p w14:paraId="0FE47646" w14:textId="77777777" w:rsidR="00224B01" w:rsidRPr="00EB2989" w:rsidRDefault="00224B01" w:rsidP="009F682D">
      <w:pPr>
        <w:pStyle w:val="TSDAltHeading3"/>
        <w:rPr>
          <w:rFonts w:eastAsia="Aptos" w:cs="Aptos"/>
          <w:color w:val="auto"/>
        </w:rPr>
      </w:pPr>
      <w:r w:rsidRPr="00D8016C">
        <w:lastRenderedPageBreak/>
        <w:t>Worker registration</w:t>
      </w:r>
    </w:p>
    <w:p w14:paraId="71B4AB95" w14:textId="5F11EA49" w:rsidR="00D91E1C" w:rsidRPr="005B05B3" w:rsidRDefault="00224B01" w:rsidP="0054409A">
      <w:pPr>
        <w:spacing w:line="276" w:lineRule="auto"/>
      </w:pPr>
      <w:r w:rsidRPr="005B05B3">
        <w:t xml:space="preserve">There is currently no worker registration scheme under the NDIS Act. This will need to be a framework included in the Act. The Taskforce recommend that it be co-designed with people with disability and workers. Discussion on the parameters of worker registration can be found in </w:t>
      </w:r>
      <w:hyperlink w:anchor="_Regulation_of_the" w:history="1">
        <w:r w:rsidRPr="0054409A">
          <w:rPr>
            <w:rStyle w:val="Hyperlink"/>
            <w:rFonts w:ascii="Aptos" w:hAnsi="Aptos"/>
          </w:rPr>
          <w:t xml:space="preserve">Chapter </w:t>
        </w:r>
        <w:r w:rsidR="0054409A" w:rsidRPr="0054409A">
          <w:rPr>
            <w:rStyle w:val="Hyperlink"/>
            <w:rFonts w:ascii="Aptos" w:hAnsi="Aptos"/>
          </w:rPr>
          <w:t>9</w:t>
        </w:r>
      </w:hyperlink>
      <w:r w:rsidRPr="005B05B3">
        <w:t>.</w:t>
      </w:r>
    </w:p>
    <w:p w14:paraId="312B0A2D" w14:textId="37E545D4" w:rsidR="00224B01" w:rsidRPr="005B05B3" w:rsidRDefault="00224B01" w:rsidP="009F682D">
      <w:pPr>
        <w:pStyle w:val="TSDAltHeading3"/>
      </w:pPr>
      <w:r w:rsidRPr="005B05B3">
        <w:t>Complaints</w:t>
      </w:r>
    </w:p>
    <w:p w14:paraId="5B32268E" w14:textId="30A8B0B5" w:rsidR="00224B01" w:rsidRPr="005B05B3" w:rsidRDefault="00224B01" w:rsidP="0054409A">
      <w:pPr>
        <w:spacing w:line="276" w:lineRule="auto"/>
      </w:pPr>
      <w:r w:rsidRPr="005B05B3">
        <w:t>The Commissioner’s complaints function is provided by section 181G of the Act.</w:t>
      </w:r>
    </w:p>
    <w:p w14:paraId="2DFDF6FF" w14:textId="5431DA90" w:rsidR="00224B01" w:rsidRPr="005B05B3" w:rsidRDefault="00224B01" w:rsidP="0054409A">
      <w:pPr>
        <w:spacing w:line="276" w:lineRule="auto"/>
      </w:pPr>
      <w:r w:rsidRPr="005B05B3">
        <w:t xml:space="preserve">Currently, flowing from the NDIS Act, the complaints process is set out the </w:t>
      </w:r>
      <w:r w:rsidRPr="005B05B3">
        <w:rPr>
          <w:i/>
          <w:iCs/>
        </w:rPr>
        <w:t xml:space="preserve">National Disability Insurance Scheme (Complaints Management and Resolution) Rules 2018, </w:t>
      </w:r>
      <w:r w:rsidRPr="005B05B3">
        <w:t>including the complaints process</w:t>
      </w:r>
      <w:r w:rsidR="00077AE5">
        <w:t>,</w:t>
      </w:r>
      <w:r w:rsidRPr="005B05B3">
        <w:rPr>
          <w:rStyle w:val="FootnoteReference"/>
        </w:rPr>
        <w:footnoteReference w:id="257"/>
      </w:r>
      <w:r w:rsidRPr="005B05B3">
        <w:t xml:space="preserve"> resolving the complaint</w:t>
      </w:r>
      <w:r w:rsidRPr="005B05B3">
        <w:rPr>
          <w:rStyle w:val="FootnoteReference"/>
        </w:rPr>
        <w:footnoteReference w:id="258"/>
      </w:r>
      <w:r w:rsidRPr="005B05B3">
        <w:t xml:space="preserve"> and seeking a reconsideration of the decision</w:t>
      </w:r>
      <w:r w:rsidR="00077AE5">
        <w:t>.</w:t>
      </w:r>
      <w:r w:rsidRPr="005B05B3">
        <w:rPr>
          <w:rStyle w:val="FootnoteReference"/>
        </w:rPr>
        <w:footnoteReference w:id="259"/>
      </w:r>
      <w:r w:rsidRPr="005B05B3">
        <w:t xml:space="preserve"> In response to a complaint, the Commissioner may:</w:t>
      </w:r>
    </w:p>
    <w:p w14:paraId="02F94D36" w14:textId="4EC4EC24" w:rsidR="00224B01" w:rsidRPr="005B05B3" w:rsidRDefault="00E141A7" w:rsidP="006B016C">
      <w:pPr>
        <w:pStyle w:val="ListParagraph"/>
        <w:numPr>
          <w:ilvl w:val="0"/>
          <w:numId w:val="36"/>
        </w:numPr>
        <w:spacing w:line="276" w:lineRule="auto"/>
        <w:ind w:left="851"/>
      </w:pPr>
      <w:r w:rsidRPr="005B05B3">
        <w:t>t</w:t>
      </w:r>
      <w:r w:rsidR="00224B01" w:rsidRPr="005B05B3">
        <w:t>ake no action or defer taking action</w:t>
      </w:r>
      <w:r w:rsidR="0077198E" w:rsidRPr="005B05B3">
        <w:t>. F</w:t>
      </w:r>
      <w:r w:rsidR="00224B01" w:rsidRPr="005B05B3">
        <w:t>or example, if the complaint was not made in good faith or there is not enough information to continue</w:t>
      </w:r>
    </w:p>
    <w:p w14:paraId="3113C96A" w14:textId="76258C4C" w:rsidR="00224B01" w:rsidRPr="005B05B3" w:rsidRDefault="00FC4881" w:rsidP="006B016C">
      <w:pPr>
        <w:pStyle w:val="ListParagraph"/>
        <w:numPr>
          <w:ilvl w:val="0"/>
          <w:numId w:val="36"/>
        </w:numPr>
        <w:spacing w:after="160" w:line="276" w:lineRule="auto"/>
        <w:ind w:left="851"/>
      </w:pPr>
      <w:r w:rsidRPr="005B05B3">
        <w:t>h</w:t>
      </w:r>
      <w:r w:rsidR="00224B01" w:rsidRPr="005B05B3">
        <w:t>elp the complainant and other affected people to work with the NDIS provider to resolve the complaint</w:t>
      </w:r>
    </w:p>
    <w:p w14:paraId="5F22B536" w14:textId="198435EC" w:rsidR="00224B01" w:rsidRPr="005B05B3" w:rsidRDefault="00FC4881" w:rsidP="006B016C">
      <w:pPr>
        <w:pStyle w:val="ListParagraph"/>
        <w:numPr>
          <w:ilvl w:val="0"/>
          <w:numId w:val="36"/>
        </w:numPr>
        <w:spacing w:after="160" w:line="276" w:lineRule="auto"/>
        <w:ind w:left="851"/>
      </w:pPr>
      <w:r w:rsidRPr="005B05B3">
        <w:t>u</w:t>
      </w:r>
      <w:r w:rsidR="00224B01" w:rsidRPr="005B05B3">
        <w:t>ndertake a resolution process.</w:t>
      </w:r>
      <w:r w:rsidR="00224B01" w:rsidRPr="005B05B3">
        <w:rPr>
          <w:rStyle w:val="FootnoteReference"/>
        </w:rPr>
        <w:footnoteReference w:id="260"/>
      </w:r>
    </w:p>
    <w:p w14:paraId="518EB0F5" w14:textId="77777777" w:rsidR="00224B01" w:rsidRPr="005B05B3" w:rsidRDefault="00224B01" w:rsidP="0054409A">
      <w:pPr>
        <w:spacing w:line="276" w:lineRule="auto"/>
      </w:pPr>
      <w:r w:rsidRPr="005B05B3">
        <w:t>The Commissioner may also undertake inquiries, in response to a complaint or on their own initiative.</w:t>
      </w:r>
      <w:r w:rsidRPr="005B05B3">
        <w:rPr>
          <w:rStyle w:val="FootnoteReference"/>
        </w:rPr>
        <w:footnoteReference w:id="261"/>
      </w:r>
      <w:r w:rsidRPr="005B05B3">
        <w:t xml:space="preserve"> The Commissioner may conduct an inquiry as they think fit and is not bound by the rules of evidence.</w:t>
      </w:r>
      <w:r w:rsidRPr="005B05B3">
        <w:rPr>
          <w:rStyle w:val="FootnoteReference"/>
        </w:rPr>
        <w:footnoteReference w:id="262"/>
      </w:r>
      <w:r w:rsidRPr="005B05B3">
        <w:t xml:space="preserve"> In conducting an inquiry, the Commissioner may:</w:t>
      </w:r>
    </w:p>
    <w:p w14:paraId="6A2786C3" w14:textId="00157162" w:rsidR="00224B01" w:rsidRPr="005B05B3" w:rsidRDefault="00224B01" w:rsidP="006B016C">
      <w:pPr>
        <w:pStyle w:val="ListParagraph"/>
        <w:numPr>
          <w:ilvl w:val="0"/>
          <w:numId w:val="37"/>
        </w:numPr>
        <w:spacing w:after="160" w:line="276" w:lineRule="auto"/>
        <w:ind w:left="993"/>
      </w:pPr>
      <w:r w:rsidRPr="005B05B3">
        <w:t>consult with other persons, bodies and governments on matters relating to the inquiry</w:t>
      </w:r>
    </w:p>
    <w:p w14:paraId="0969C5ED" w14:textId="51AB7D7D" w:rsidR="00224B01" w:rsidRPr="005B05B3" w:rsidRDefault="00224B01" w:rsidP="006B016C">
      <w:pPr>
        <w:pStyle w:val="ListParagraph"/>
        <w:numPr>
          <w:ilvl w:val="0"/>
          <w:numId w:val="37"/>
        </w:numPr>
        <w:spacing w:after="160" w:line="276" w:lineRule="auto"/>
        <w:ind w:left="993"/>
      </w:pPr>
      <w:r w:rsidRPr="005B05B3">
        <w:t>request information that is relevant to the inquiry from any person</w:t>
      </w:r>
    </w:p>
    <w:p w14:paraId="39DADBD5" w14:textId="77777777" w:rsidR="00224B01" w:rsidRPr="005B05B3" w:rsidRDefault="00224B01" w:rsidP="006B016C">
      <w:pPr>
        <w:pStyle w:val="ListParagraph"/>
        <w:numPr>
          <w:ilvl w:val="0"/>
          <w:numId w:val="37"/>
        </w:numPr>
        <w:spacing w:after="160" w:line="279" w:lineRule="auto"/>
        <w:ind w:left="993"/>
      </w:pPr>
      <w:r w:rsidRPr="005B05B3">
        <w:t>provide opportunities for people with disability to participate in the inquiry.</w:t>
      </w:r>
      <w:r w:rsidRPr="005B05B3">
        <w:rPr>
          <w:rStyle w:val="FootnoteReference"/>
        </w:rPr>
        <w:footnoteReference w:id="263"/>
      </w:r>
    </w:p>
    <w:p w14:paraId="1C303FD7" w14:textId="77777777" w:rsidR="00224B01" w:rsidRPr="005B05B3" w:rsidRDefault="00224B01" w:rsidP="00224B01">
      <w:r w:rsidRPr="005B05B3">
        <w:t>The Commissioner may prepare and publish a report setting out their findings in relation to the Inquiry.</w:t>
      </w:r>
      <w:r w:rsidRPr="005B05B3">
        <w:rPr>
          <w:rStyle w:val="FootnoteReference"/>
        </w:rPr>
        <w:footnoteReference w:id="264"/>
      </w:r>
    </w:p>
    <w:p w14:paraId="020DDD32" w14:textId="2C32AC76" w:rsidR="00224B01" w:rsidRPr="005B05B3" w:rsidRDefault="00224B01" w:rsidP="006B016C">
      <w:pPr>
        <w:spacing w:after="120"/>
      </w:pPr>
      <w:r w:rsidRPr="005B05B3">
        <w:t xml:space="preserve">The Taskforce has heard that the current complaints function does not </w:t>
      </w:r>
      <w:r w:rsidR="00E06828" w:rsidRPr="005B05B3">
        <w:t>work,</w:t>
      </w:r>
      <w:r w:rsidRPr="005B05B3">
        <w:t xml:space="preserve"> and the complaints process needs to be redesigned to be more effective. Our concerns with the execution of the current complaints process are well detailed in </w:t>
      </w:r>
      <w:hyperlink w:anchor="_NDIS_Provider_Obligations" w:history="1">
        <w:r w:rsidRPr="002A2B99">
          <w:rPr>
            <w:rStyle w:val="Hyperlink"/>
            <w:rFonts w:ascii="Aptos" w:hAnsi="Aptos"/>
          </w:rPr>
          <w:t xml:space="preserve">Chapter </w:t>
        </w:r>
        <w:r w:rsidR="002A2B99" w:rsidRPr="002A2B99">
          <w:rPr>
            <w:rStyle w:val="Hyperlink"/>
            <w:rFonts w:ascii="Aptos" w:hAnsi="Aptos"/>
          </w:rPr>
          <w:t>8</w:t>
        </w:r>
      </w:hyperlink>
      <w:r w:rsidRPr="005B05B3">
        <w:t xml:space="preserve">. Reflecting </w:t>
      </w:r>
      <w:r w:rsidRPr="005B05B3">
        <w:lastRenderedPageBreak/>
        <w:t>those concerns, we recommend that the complaints function be redesigned to reflect that similar to the Commonwealth Ombudsman, with a clear legislative framework for complaints being set out. Complaints functions that should be considered to implement the intention of the proposed model include:</w:t>
      </w:r>
    </w:p>
    <w:p w14:paraId="68EB8294" w14:textId="3AFA09CA" w:rsidR="00224B01" w:rsidRPr="005B05B3" w:rsidRDefault="00826633" w:rsidP="002248D1">
      <w:pPr>
        <w:pStyle w:val="ListParagraph"/>
        <w:numPr>
          <w:ilvl w:val="0"/>
          <w:numId w:val="10"/>
        </w:numPr>
        <w:spacing w:after="160" w:line="279" w:lineRule="auto"/>
      </w:pPr>
      <w:r w:rsidRPr="005B05B3">
        <w:t>p</w:t>
      </w:r>
      <w:r w:rsidR="47F10C47" w:rsidRPr="005B05B3">
        <w:t>reliminary inquiries</w:t>
      </w:r>
    </w:p>
    <w:p w14:paraId="2DFD698C" w14:textId="3C68BA2D" w:rsidR="00224B01" w:rsidRPr="005B05B3" w:rsidRDefault="00826633" w:rsidP="002248D1">
      <w:pPr>
        <w:pStyle w:val="ListParagraph"/>
        <w:numPr>
          <w:ilvl w:val="0"/>
          <w:numId w:val="10"/>
        </w:numPr>
        <w:spacing w:after="160" w:line="279" w:lineRule="auto"/>
      </w:pPr>
      <w:r w:rsidRPr="005B05B3">
        <w:t>i</w:t>
      </w:r>
      <w:r w:rsidR="47F10C47" w:rsidRPr="005B05B3">
        <w:t>nvestigations, including a right to entry in certain circumstances while balancing the right to privacy especially for private homes</w:t>
      </w:r>
    </w:p>
    <w:p w14:paraId="6DC6DB0D" w14:textId="60E0B301" w:rsidR="00224B01" w:rsidRPr="005B05B3" w:rsidRDefault="00826633" w:rsidP="002248D1">
      <w:pPr>
        <w:pStyle w:val="ListParagraph"/>
        <w:numPr>
          <w:ilvl w:val="0"/>
          <w:numId w:val="10"/>
        </w:numPr>
        <w:spacing w:after="160" w:line="279" w:lineRule="auto"/>
      </w:pPr>
      <w:r w:rsidRPr="005B05B3">
        <w:t>a</w:t>
      </w:r>
      <w:r w:rsidR="47F10C47" w:rsidRPr="005B05B3">
        <w:t>rrangements for investigations by other authorities such as the Australian Crime Commission, Australian Competition and Consumer Commissioner or the Ombudsman</w:t>
      </w:r>
      <w:r w:rsidRPr="005B05B3">
        <w:t xml:space="preserve"> with:</w:t>
      </w:r>
    </w:p>
    <w:p w14:paraId="3C3F06F1" w14:textId="5E166AEC" w:rsidR="00224B01" w:rsidRPr="005B05B3" w:rsidRDefault="00826633" w:rsidP="002248D1">
      <w:pPr>
        <w:pStyle w:val="ListParagraph"/>
        <w:numPr>
          <w:ilvl w:val="0"/>
          <w:numId w:val="38"/>
        </w:numPr>
        <w:spacing w:after="160" w:line="279" w:lineRule="auto"/>
      </w:pPr>
      <w:r w:rsidRPr="005B05B3">
        <w:t>p</w:t>
      </w:r>
      <w:r w:rsidR="47F10C47" w:rsidRPr="005B05B3">
        <w:t>ower to obtain information and documents</w:t>
      </w:r>
    </w:p>
    <w:p w14:paraId="62CBFEC8" w14:textId="2A29DA58" w:rsidR="00826633" w:rsidRPr="005B05B3" w:rsidRDefault="00826633" w:rsidP="002248D1">
      <w:pPr>
        <w:pStyle w:val="ListParagraph"/>
        <w:numPr>
          <w:ilvl w:val="0"/>
          <w:numId w:val="38"/>
        </w:numPr>
        <w:spacing w:after="160" w:line="279" w:lineRule="auto"/>
      </w:pPr>
      <w:r w:rsidRPr="005B05B3">
        <w:t>a</w:t>
      </w:r>
      <w:r w:rsidR="47F10C47" w:rsidRPr="005B05B3">
        <w:t>dministrative review of the decision in relation to the outcome of the complaint.</w:t>
      </w:r>
    </w:p>
    <w:p w14:paraId="3BAC9121" w14:textId="34D6784F" w:rsidR="00826633" w:rsidRPr="005B05B3" w:rsidRDefault="00BC64E2" w:rsidP="002248D1">
      <w:pPr>
        <w:pStyle w:val="ListParagraph"/>
        <w:numPr>
          <w:ilvl w:val="0"/>
          <w:numId w:val="38"/>
        </w:numPr>
        <w:spacing w:after="160" w:line="279" w:lineRule="auto"/>
      </w:pPr>
      <w:r w:rsidRPr="005B05B3">
        <w:t>a</w:t>
      </w:r>
      <w:r w:rsidR="47F10C47" w:rsidRPr="005B05B3">
        <w:t>n internal review and external review of the outcome should be made available</w:t>
      </w:r>
    </w:p>
    <w:p w14:paraId="0A759437" w14:textId="770AB540" w:rsidR="00224B01" w:rsidRPr="005B05B3" w:rsidRDefault="00BC64E2" w:rsidP="002248D1">
      <w:pPr>
        <w:pStyle w:val="ListParagraph"/>
        <w:numPr>
          <w:ilvl w:val="0"/>
          <w:numId w:val="38"/>
        </w:numPr>
        <w:spacing w:after="160" w:line="279" w:lineRule="auto"/>
      </w:pPr>
      <w:r w:rsidRPr="005B05B3">
        <w:t>t</w:t>
      </w:r>
      <w:r w:rsidR="47F10C47" w:rsidRPr="005B05B3">
        <w:t xml:space="preserve">he </w:t>
      </w:r>
      <w:r w:rsidR="47F10C47" w:rsidRPr="005B05B3">
        <w:rPr>
          <w:rFonts w:cs="Open Sans"/>
          <w:color w:val="222222"/>
          <w:shd w:val="clear" w:color="auto" w:fill="FFFFFF"/>
        </w:rPr>
        <w:t xml:space="preserve">Administrative </w:t>
      </w:r>
      <w:r w:rsidR="00A23092" w:rsidRPr="005B05B3">
        <w:rPr>
          <w:rFonts w:cs="Open Sans"/>
          <w:color w:val="222222"/>
          <w:shd w:val="clear" w:color="auto" w:fill="FFFFFF"/>
        </w:rPr>
        <w:t>Review Tribunal</w:t>
      </w:r>
      <w:r w:rsidR="00A23092" w:rsidRPr="005B05B3" w:rsidDel="00A23092">
        <w:t xml:space="preserve"> </w:t>
      </w:r>
      <w:r w:rsidR="47F10C47" w:rsidRPr="005B05B3">
        <w:t>empowered to conduct external reviews of the Commissioner’s decisions on complaints.</w:t>
      </w:r>
    </w:p>
    <w:p w14:paraId="7D6B8E4E" w14:textId="3E1C6EEF" w:rsidR="00224B01" w:rsidRPr="005B05B3" w:rsidRDefault="00224B01" w:rsidP="00224B01">
      <w:r w:rsidRPr="005B05B3">
        <w:t>This will require legislative change but is an important step toward creating an effective and fit</w:t>
      </w:r>
      <w:r w:rsidR="00503EA4" w:rsidRPr="005B05B3">
        <w:t xml:space="preserve"> </w:t>
      </w:r>
      <w:r w:rsidRPr="005B05B3">
        <w:t>for</w:t>
      </w:r>
      <w:r w:rsidR="00503EA4" w:rsidRPr="005B05B3">
        <w:t xml:space="preserve"> </w:t>
      </w:r>
      <w:r w:rsidRPr="005B05B3">
        <w:t>purpose complaints mechanism.</w:t>
      </w:r>
    </w:p>
    <w:p w14:paraId="20D8BE16" w14:textId="63D89041" w:rsidR="00224B01" w:rsidRPr="005B05B3" w:rsidRDefault="00224B01" w:rsidP="009F682D">
      <w:pPr>
        <w:pStyle w:val="TSDAltHeading3"/>
      </w:pPr>
      <w:r w:rsidRPr="005B05B3">
        <w:t>Code of Conduct</w:t>
      </w:r>
    </w:p>
    <w:p w14:paraId="36011162" w14:textId="04219E4D" w:rsidR="00224B01" w:rsidRPr="005B05B3" w:rsidRDefault="00224B01" w:rsidP="00224B01">
      <w:r w:rsidRPr="005B05B3">
        <w:t xml:space="preserve">While the Taskforce has recommended that the Code of Conduct remain a creature of legislation, legislative change is required to ensure that the Code of Conduct apply broadly. At the moment, the Code of Code applies to all NDIS Providers which is defined to include anywhere that receives NDIS funding which is not a </w:t>
      </w:r>
      <w:r w:rsidR="007265EA" w:rsidRPr="005B05B3">
        <w:t>p</w:t>
      </w:r>
      <w:r w:rsidRPr="005B05B3">
        <w:t>articipant. As the Taskforce has recommended that this definition be narrowed to sharpen the regulator’s focus and strengthen regulation through registration, the legislative provision for the Code of Conduct will need to be redesigned. It should be clear that the Code of Conduct applies to any good or service purchased with NDIS funding, which may be a registered provider or not.</w:t>
      </w:r>
    </w:p>
    <w:p w14:paraId="67EF34B5" w14:textId="18C29284" w:rsidR="00224B01" w:rsidRPr="005B05B3" w:rsidRDefault="00224B01" w:rsidP="00224B01">
      <w:r w:rsidRPr="005B05B3">
        <w:t>Further, in redesigning the Code of Conduct, this broad application should be considered and reflected. For example, there is benefit in considering provisions for goods as distinct from services and for there to be clear expectations of those who provide services in closed or congregate settings.</w:t>
      </w:r>
    </w:p>
    <w:p w14:paraId="5EC5E72F" w14:textId="77777777" w:rsidR="00224B01" w:rsidRPr="005B05B3" w:rsidRDefault="00224B01" w:rsidP="009F682D">
      <w:pPr>
        <w:pStyle w:val="TSDAltHeading3"/>
      </w:pPr>
      <w:r w:rsidRPr="003D35AB">
        <w:t>Worker</w:t>
      </w:r>
      <w:r w:rsidRPr="005B05B3">
        <w:t xml:space="preserve"> screening</w:t>
      </w:r>
    </w:p>
    <w:p w14:paraId="2F996986" w14:textId="3CE3C310" w:rsidR="00224B01" w:rsidRPr="005B05B3" w:rsidRDefault="00224B01" w:rsidP="00224B01">
      <w:r w:rsidRPr="005B05B3">
        <w:t xml:space="preserve">The Taskforce has recommended that </w:t>
      </w:r>
      <w:r w:rsidR="00E27866" w:rsidRPr="005B05B3">
        <w:t>s</w:t>
      </w:r>
      <w:r w:rsidRPr="005B05B3">
        <w:t xml:space="preserve">tate and </w:t>
      </w:r>
      <w:r w:rsidR="00E27866" w:rsidRPr="005B05B3">
        <w:t>t</w:t>
      </w:r>
      <w:r w:rsidRPr="005B05B3">
        <w:t xml:space="preserve">erritory and Commonwealth </w:t>
      </w:r>
      <w:r w:rsidR="00EE3CC0" w:rsidRPr="005B05B3">
        <w:t>g</w:t>
      </w:r>
      <w:r w:rsidRPr="005B05B3">
        <w:t xml:space="preserve">overnments improve information sharing between jurisdictions to ensure that the information considered in a screening assessment is complete, accurate and robust. We </w:t>
      </w:r>
      <w:r w:rsidRPr="005B05B3">
        <w:lastRenderedPageBreak/>
        <w:t>do not propose specific legislative amendment that is required but do not the value having specific legislative provisions to support this.</w:t>
      </w:r>
    </w:p>
    <w:p w14:paraId="2B720F06" w14:textId="77777777" w:rsidR="00224B01" w:rsidRPr="005B05B3" w:rsidRDefault="00224B01" w:rsidP="009F682D">
      <w:pPr>
        <w:pStyle w:val="TSDAltHeading3"/>
      </w:pPr>
      <w:r w:rsidRPr="005B05B3">
        <w:t>Audits</w:t>
      </w:r>
    </w:p>
    <w:p w14:paraId="51B72EBF" w14:textId="059DF328" w:rsidR="00224B01" w:rsidRPr="005B05B3" w:rsidRDefault="00224B01" w:rsidP="00224B01">
      <w:r w:rsidRPr="005B05B3">
        <w:t xml:space="preserve">Currently, all NDIS Providers (per the existing definition) who apply for or renew their registration with the NDIS Commission undergo an audit against the NDIS Practice Standards. The audit is conducted by an independent approved quality auditor appointed under section 73D of the NDIS Act. Auditors consider the </w:t>
      </w:r>
      <w:r w:rsidR="00694241" w:rsidRPr="005B05B3">
        <w:t>p</w:t>
      </w:r>
      <w:r w:rsidRPr="005B05B3">
        <w:t xml:space="preserve">rovider’s size, scope and service delivery risk when determining their activities in the audit. The registration groups that the </w:t>
      </w:r>
      <w:r w:rsidR="00694241" w:rsidRPr="005B05B3">
        <w:t>p</w:t>
      </w:r>
      <w:r w:rsidRPr="005B05B3">
        <w:t xml:space="preserve">rovider has registered for </w:t>
      </w:r>
      <w:r w:rsidR="00B660D1">
        <w:t xml:space="preserve">will </w:t>
      </w:r>
      <w:r w:rsidRPr="005B05B3">
        <w:t xml:space="preserve">determine whether a certification or verification audit is needed, as set out in Part 6 of the </w:t>
      </w:r>
      <w:r w:rsidRPr="005B05B3">
        <w:rPr>
          <w:i/>
        </w:rPr>
        <w:t>NDIS (Provider Registration and Practice Standards) Rules 2018</w:t>
      </w:r>
      <w:r w:rsidRPr="005B05B3">
        <w:t xml:space="preserve">. The approved quality auditor will provide information that enables the NDIS Commissioner to use information to inform their decision in determining the </w:t>
      </w:r>
      <w:r w:rsidR="00694241" w:rsidRPr="005B05B3">
        <w:t>p</w:t>
      </w:r>
      <w:r w:rsidRPr="005B05B3">
        <w:t xml:space="preserve">rovider’s suitability in accordance with the </w:t>
      </w:r>
      <w:r w:rsidRPr="005B05B3">
        <w:rPr>
          <w:i/>
        </w:rPr>
        <w:t>NDIS (Approved Quality Auditors Scheme) Guidelines 2018</w:t>
      </w:r>
      <w:r w:rsidRPr="005B05B3">
        <w:t>.</w:t>
      </w:r>
    </w:p>
    <w:p w14:paraId="7B893FDB" w14:textId="0B010A09" w:rsidR="00224B01" w:rsidRPr="005B05B3" w:rsidRDefault="00224B01" w:rsidP="00224B01">
      <w:r w:rsidRPr="005B05B3">
        <w:t xml:space="preserve">Ensuring a risk-proportionate approach, verification and certification audits distinguish between low and higher risk supports and services. Verification quality audits are conducted for lower complexity supports and services. Many providers that have this type of audit are subject to professional regulation as a requirement of doing business such as AHPRA or other professional bodies. The approved quality auditor will undertake a desktop review of the required documentary evidence outlined for each profession in the Verification Module. Whereas certification quality audits are for more complex or higher risk supports and services. The </w:t>
      </w:r>
      <w:r w:rsidR="00694241" w:rsidRPr="005B05B3">
        <w:t>p</w:t>
      </w:r>
      <w:r w:rsidRPr="005B05B3">
        <w:t xml:space="preserve">rovider is required to engage an approved quality auditor and they will conduct document reviews, site visits and interviews with NDIS Participants and workers. For </w:t>
      </w:r>
      <w:r w:rsidR="00770828">
        <w:t>p</w:t>
      </w:r>
      <w:r w:rsidRPr="005B05B3">
        <w:t>roviders who provide higher risk and complex supports, registration is usually for three years but a mid-term audit is required no later than 18 months after the beginning of the period of registration. Some service types</w:t>
      </w:r>
      <w:r w:rsidR="00AA0371" w:rsidRPr="005B05B3">
        <w:t>,</w:t>
      </w:r>
      <w:r w:rsidRPr="005B05B3">
        <w:t xml:space="preserve"> such as </w:t>
      </w:r>
      <w:r w:rsidR="00AA0371" w:rsidRPr="005B05B3">
        <w:t>SDA</w:t>
      </w:r>
      <w:r w:rsidRPr="005B05B3">
        <w:t xml:space="preserve"> or early childhood supports delivered by an individual or partnership</w:t>
      </w:r>
      <w:r w:rsidR="00AA0371" w:rsidRPr="005B05B3">
        <w:t>,</w:t>
      </w:r>
      <w:r w:rsidRPr="005B05B3">
        <w:t xml:space="preserve"> are not required to undergo a mid-term audit.</w:t>
      </w:r>
    </w:p>
    <w:p w14:paraId="1BBE4725" w14:textId="2C11EF00" w:rsidR="00224B01" w:rsidRPr="005B05B3" w:rsidRDefault="00224B01" w:rsidP="00224B01">
      <w:r w:rsidRPr="005B05B3">
        <w:t>To implement the recommendations of the Taskforce to redesign the audit process, significant legislative change is required. It is difficult for the Taskforce to outline the specific scope of legislative change because we have recommended that the process be co-designed with people with disabilities, their families and the sector. This will inform the policy basis on which legislation will be designed. However, a salient point that is clear from our consideration of the effectiveness of audits is that audits should be enshrined in the Act, shifting away from reliance on Rules and Guidelines to set the standards of the audit process.</w:t>
      </w:r>
    </w:p>
    <w:p w14:paraId="6DBC04BF" w14:textId="77777777" w:rsidR="00224B01" w:rsidRPr="005B05B3" w:rsidRDefault="00224B01" w:rsidP="009F682D">
      <w:pPr>
        <w:pStyle w:val="TSDAltHeading3"/>
      </w:pPr>
      <w:r w:rsidRPr="005B05B3">
        <w:lastRenderedPageBreak/>
        <w:t>Incident reports</w:t>
      </w:r>
    </w:p>
    <w:p w14:paraId="610EF6F7" w14:textId="2FF5A1AA" w:rsidR="00224B01" w:rsidRPr="005B05B3" w:rsidRDefault="00224B01" w:rsidP="00224B01">
      <w:pPr>
        <w:rPr>
          <w:rFonts w:eastAsia="Aptos" w:cs="Aptos"/>
        </w:rPr>
      </w:pPr>
      <w:r w:rsidRPr="005B05B3">
        <w:t xml:space="preserve">As the Taskforce has indicated support for the current incident management and reportable incidents approach as provided in </w:t>
      </w:r>
      <w:r w:rsidRPr="005B05B3">
        <w:rPr>
          <w:rFonts w:eastAsia="Aptos" w:cs="Aptos"/>
          <w:color w:val="auto"/>
        </w:rPr>
        <w:t xml:space="preserve">section 73Z of the NDIS Act and </w:t>
      </w:r>
      <w:r w:rsidRPr="005B05B3">
        <w:rPr>
          <w:rFonts w:eastAsia="Aptos" w:cs="Aptos"/>
          <w:i/>
          <w:iCs/>
          <w:color w:val="auto"/>
        </w:rPr>
        <w:t xml:space="preserve">NDIS (Incident Management and Reportable Incidents) Rules 2018, </w:t>
      </w:r>
      <w:r w:rsidRPr="005B05B3">
        <w:rPr>
          <w:rFonts w:eastAsia="Aptos" w:cs="Aptos"/>
          <w:color w:val="auto"/>
        </w:rPr>
        <w:t xml:space="preserve">no reform is recommended for these provisions. The Taskforce has noted that referrals need to be made from the NDIS Commissioner to relevant authorities such as police, the ACCC or Ombudsman to ensure that reportable incidents are appropriately addressed. Consideration should be given to having </w:t>
      </w:r>
      <w:r w:rsidR="00B22A45" w:rsidRPr="005B05B3">
        <w:rPr>
          <w:rFonts w:eastAsia="Aptos" w:cs="Aptos"/>
          <w:color w:val="auto"/>
        </w:rPr>
        <w:t>these powers</w:t>
      </w:r>
      <w:r w:rsidRPr="005B05B3">
        <w:rPr>
          <w:rFonts w:eastAsia="Aptos" w:cs="Aptos"/>
          <w:color w:val="auto"/>
        </w:rPr>
        <w:t xml:space="preserve"> reflected in the NDIS Act.</w:t>
      </w:r>
    </w:p>
    <w:p w14:paraId="16254B02" w14:textId="77777777" w:rsidR="00224B01" w:rsidRPr="00AB4ED4" w:rsidRDefault="00224B01" w:rsidP="009F682D">
      <w:pPr>
        <w:pStyle w:val="TSDAltHeading3"/>
        <w:rPr>
          <w:rFonts w:eastAsia="Aptos"/>
        </w:rPr>
      </w:pPr>
      <w:r w:rsidRPr="00D8016C">
        <w:t>Practice Standards</w:t>
      </w:r>
    </w:p>
    <w:p w14:paraId="3EA251FC" w14:textId="2CC2F302" w:rsidR="00224B01" w:rsidRPr="005B05B3" w:rsidRDefault="00A15AED" w:rsidP="000905E4">
      <w:pPr>
        <w:spacing w:line="276" w:lineRule="auto"/>
        <w:rPr>
          <w:rFonts w:eastAsia="Aptos" w:cs="Aptos"/>
        </w:rPr>
      </w:pPr>
      <w:r>
        <w:rPr>
          <w:rFonts w:eastAsia="Aptos" w:cs="Aptos"/>
          <w:color w:val="auto"/>
        </w:rPr>
        <w:t>The Practice Standards n</w:t>
      </w:r>
      <w:r w:rsidR="00224B01" w:rsidRPr="005B05B3">
        <w:rPr>
          <w:rFonts w:eastAsia="Aptos" w:cs="Aptos"/>
          <w:color w:val="auto"/>
        </w:rPr>
        <w:t>eed to include provision for co-design in the rules but otherwise, no changes needed.</w:t>
      </w:r>
    </w:p>
    <w:p w14:paraId="6B6BF944" w14:textId="516A96AD" w:rsidR="00224B01" w:rsidRPr="005B05B3" w:rsidRDefault="00224B01" w:rsidP="009F682D">
      <w:pPr>
        <w:pStyle w:val="TSDAltHeading3"/>
      </w:pPr>
      <w:bookmarkStart w:id="140" w:name="_Toc170128792"/>
      <w:r w:rsidRPr="005B05B3">
        <w:t>Monitoring and compliance powers</w:t>
      </w:r>
      <w:bookmarkEnd w:id="140"/>
    </w:p>
    <w:p w14:paraId="28468E4E" w14:textId="3B35E9F8" w:rsidR="00224B01" w:rsidRDefault="00224B01" w:rsidP="000905E4">
      <w:pPr>
        <w:spacing w:line="276" w:lineRule="auto"/>
      </w:pPr>
      <w:r w:rsidRPr="005B05B3">
        <w:t xml:space="preserve">With the establishment of the proposed registration scheme, it is critical that the NDIS Commissioner have the proper monitoring and compliance powers to be able to regulate the market and ultimately, reduce and eliminate the violence, abuse, neglect and exploitation of people with disability. The Taskforce has not made specific recommendations to the legislative reform needed for these </w:t>
      </w:r>
      <w:r w:rsidR="00E06828" w:rsidRPr="005B05B3">
        <w:t>powers but</w:t>
      </w:r>
      <w:r w:rsidRPr="005B05B3">
        <w:t xml:space="preserve"> suggests that DSS and the NDIS Commission work together to develop this reform in light of the proposed model.</w:t>
      </w:r>
    </w:p>
    <w:p w14:paraId="7D804BE7" w14:textId="14B9D792" w:rsidR="00E45C13" w:rsidRPr="005B05B3" w:rsidRDefault="006C1A9B" w:rsidP="005F48E1">
      <w:pPr>
        <w:pStyle w:val="TSDAltHeading2"/>
        <w:spacing w:before="360"/>
      </w:pPr>
      <w:bookmarkStart w:id="141" w:name="_Toc173318075"/>
      <w:r w:rsidRPr="005B05B3">
        <w:t>Additional proposals for implementation</w:t>
      </w:r>
      <w:bookmarkEnd w:id="141"/>
      <w:r w:rsidRPr="005B05B3">
        <w:t xml:space="preserve"> </w:t>
      </w:r>
    </w:p>
    <w:p w14:paraId="4031FC9C" w14:textId="602A3195" w:rsidR="0005128F" w:rsidRPr="005B05B3" w:rsidRDefault="0005128F" w:rsidP="009F682D">
      <w:pPr>
        <w:pStyle w:val="TSDAltHeading3"/>
      </w:pPr>
      <w:r w:rsidRPr="005B05B3">
        <w:t>Community of practice</w:t>
      </w:r>
      <w:r w:rsidR="002C0C93" w:rsidRPr="005B05B3">
        <w:t xml:space="preserve"> and working groups</w:t>
      </w:r>
    </w:p>
    <w:p w14:paraId="0680F1B0" w14:textId="02DF197C" w:rsidR="00183D27" w:rsidRPr="005B05B3" w:rsidRDefault="002C0C93" w:rsidP="000905E4">
      <w:pPr>
        <w:spacing w:after="160" w:line="276" w:lineRule="auto"/>
      </w:pPr>
      <w:r w:rsidRPr="005B05B3">
        <w:rPr>
          <w:rFonts w:eastAsia="Arial"/>
        </w:rPr>
        <w:t>To support implementation of the proposed model, i</w:t>
      </w:r>
      <w:r w:rsidR="0005128F" w:rsidRPr="005B05B3">
        <w:rPr>
          <w:rFonts w:eastAsia="Arial"/>
        </w:rPr>
        <w:t>t</w:t>
      </w:r>
      <w:r w:rsidRPr="005B05B3">
        <w:rPr>
          <w:rFonts w:eastAsia="Arial"/>
        </w:rPr>
        <w:t>’</w:t>
      </w:r>
      <w:r w:rsidR="0005128F" w:rsidRPr="005B05B3">
        <w:rPr>
          <w:rFonts w:eastAsia="Arial"/>
        </w:rPr>
        <w:t xml:space="preserve">s proposed the </w:t>
      </w:r>
      <w:r w:rsidR="00183D27" w:rsidRPr="005B05B3">
        <w:rPr>
          <w:rFonts w:eastAsia="Arial"/>
        </w:rPr>
        <w:t>NDIS Commission establish</w:t>
      </w:r>
      <w:r w:rsidR="0005128F" w:rsidRPr="005B05B3">
        <w:rPr>
          <w:rFonts w:eastAsia="Arial"/>
        </w:rPr>
        <w:t xml:space="preserve"> </w:t>
      </w:r>
      <w:r w:rsidR="00183D27" w:rsidRPr="005B05B3">
        <w:t>an Innovation Community of Practice which acts to support and nurture quality and innovation within the NDIS</w:t>
      </w:r>
      <w:r w:rsidR="0005128F" w:rsidRPr="005B05B3">
        <w:t>.</w:t>
      </w:r>
    </w:p>
    <w:p w14:paraId="6AAB8DEE" w14:textId="6061C03D" w:rsidR="002C0C93" w:rsidRPr="005B05B3" w:rsidRDefault="002C0C93" w:rsidP="000905E4">
      <w:pPr>
        <w:spacing w:after="0" w:line="276" w:lineRule="auto"/>
      </w:pPr>
      <w:r w:rsidRPr="005B05B3">
        <w:t>We heard about the value of having an NDIS with a market willing to innovate and harness new ways of delivering services that have the best outcomes for people with disability. The NDIS Commission is well placed to support this.</w:t>
      </w:r>
    </w:p>
    <w:p w14:paraId="1BC49DB8" w14:textId="1AD11D3F" w:rsidR="00183D27" w:rsidRPr="005B05B3" w:rsidRDefault="0005128F" w:rsidP="000905E4">
      <w:pPr>
        <w:spacing w:before="240" w:after="120" w:line="276" w:lineRule="auto"/>
        <w:rPr>
          <w:rFonts w:eastAsia="Arial"/>
        </w:rPr>
      </w:pPr>
      <w:r w:rsidRPr="005B05B3">
        <w:t xml:space="preserve">In addition it </w:t>
      </w:r>
      <w:r w:rsidR="002C0C93" w:rsidRPr="005B05B3">
        <w:t xml:space="preserve">would establish </w:t>
      </w:r>
      <w:r w:rsidR="00183D27" w:rsidRPr="005B05B3">
        <w:t>working groups on:</w:t>
      </w:r>
    </w:p>
    <w:p w14:paraId="60E358D5" w14:textId="77777777" w:rsidR="00183D27" w:rsidRPr="005B05B3" w:rsidRDefault="00183D27" w:rsidP="000905E4">
      <w:pPr>
        <w:pStyle w:val="ListParagraph"/>
        <w:numPr>
          <w:ilvl w:val="2"/>
          <w:numId w:val="83"/>
        </w:numPr>
      </w:pPr>
      <w:r w:rsidRPr="005B05B3">
        <w:t>the development of strategies and plans to improve safeguarding including appropriate system or standard for measuring any improvements</w:t>
      </w:r>
    </w:p>
    <w:p w14:paraId="0CD3DE0A" w14:textId="77777777" w:rsidR="00183D27" w:rsidRPr="005B05B3" w:rsidRDefault="00183D27" w:rsidP="000905E4">
      <w:pPr>
        <w:pStyle w:val="ListParagraph"/>
        <w:numPr>
          <w:ilvl w:val="2"/>
          <w:numId w:val="83"/>
        </w:numPr>
        <w:spacing w:before="120" w:after="160" w:line="279" w:lineRule="auto"/>
      </w:pPr>
      <w:r w:rsidRPr="005B05B3">
        <w:t>workforce development</w:t>
      </w:r>
    </w:p>
    <w:p w14:paraId="36F9E65F" w14:textId="77777777" w:rsidR="00183D27" w:rsidRPr="005B05B3" w:rsidRDefault="00183D27" w:rsidP="000905E4">
      <w:pPr>
        <w:pStyle w:val="ListParagraph"/>
        <w:numPr>
          <w:ilvl w:val="2"/>
          <w:numId w:val="83"/>
        </w:numPr>
        <w:spacing w:before="120" w:after="160" w:line="279" w:lineRule="auto"/>
      </w:pPr>
      <w:r w:rsidRPr="005B05B3">
        <w:t>modernising the Code of Practice</w:t>
      </w:r>
    </w:p>
    <w:p w14:paraId="2C07A1F4" w14:textId="77777777" w:rsidR="00183D27" w:rsidRPr="005B05B3" w:rsidRDefault="00183D27" w:rsidP="000905E4">
      <w:pPr>
        <w:pStyle w:val="ListParagraph"/>
        <w:numPr>
          <w:ilvl w:val="2"/>
          <w:numId w:val="83"/>
        </w:numPr>
        <w:spacing w:before="120" w:after="160" w:line="279" w:lineRule="auto"/>
      </w:pPr>
      <w:r w:rsidRPr="005B05B3">
        <w:t>reviewing the complaints process to ensure it is fit for purpose</w:t>
      </w:r>
    </w:p>
    <w:p w14:paraId="3BDCE682" w14:textId="77777777" w:rsidR="00183D27" w:rsidRPr="005B05B3" w:rsidRDefault="00183D27" w:rsidP="000905E4">
      <w:pPr>
        <w:pStyle w:val="ListParagraph"/>
        <w:numPr>
          <w:ilvl w:val="2"/>
          <w:numId w:val="83"/>
        </w:numPr>
        <w:spacing w:before="120" w:after="160" w:line="279" w:lineRule="auto"/>
      </w:pPr>
      <w:r w:rsidRPr="005B05B3">
        <w:lastRenderedPageBreak/>
        <w:t>improving upon the audit process including:</w:t>
      </w:r>
    </w:p>
    <w:p w14:paraId="447E67F3" w14:textId="77777777" w:rsidR="002C0C93" w:rsidRPr="005B05B3" w:rsidRDefault="00183D27" w:rsidP="002248D1">
      <w:pPr>
        <w:pStyle w:val="ListParagraph"/>
        <w:numPr>
          <w:ilvl w:val="4"/>
          <w:numId w:val="69"/>
        </w:numPr>
        <w:spacing w:before="120" w:after="160" w:line="279" w:lineRule="auto"/>
        <w:ind w:left="1701"/>
      </w:pPr>
      <w:r w:rsidRPr="005B05B3">
        <w:t xml:space="preserve"> benefits to be derived from the prior training of participants to enable their meaningful participation</w:t>
      </w:r>
    </w:p>
    <w:p w14:paraId="6F5DBADE" w14:textId="1EE57C76" w:rsidR="00183D27" w:rsidRPr="005B05B3" w:rsidRDefault="00183D27" w:rsidP="002248D1">
      <w:pPr>
        <w:pStyle w:val="ListParagraph"/>
        <w:numPr>
          <w:ilvl w:val="4"/>
          <w:numId w:val="69"/>
        </w:numPr>
        <w:spacing w:before="120" w:after="160" w:line="279" w:lineRule="auto"/>
        <w:ind w:left="1701"/>
      </w:pPr>
      <w:r w:rsidRPr="005B05B3">
        <w:t>how to meaningfully allow the participation of participants</w:t>
      </w:r>
      <w:r w:rsidR="00221E78">
        <w:t xml:space="preserve"> in auditing</w:t>
      </w:r>
      <w:r w:rsidR="00461DAB">
        <w:t>,</w:t>
      </w:r>
      <w:r w:rsidR="00221E78">
        <w:t xml:space="preserve"> witho</w:t>
      </w:r>
      <w:r w:rsidR="00411410">
        <w:t>ut burden</w:t>
      </w:r>
      <w:r w:rsidR="00461DAB">
        <w:t xml:space="preserve"> on them</w:t>
      </w:r>
      <w:r w:rsidR="00411410">
        <w:t>.</w:t>
      </w:r>
    </w:p>
    <w:p w14:paraId="1D0315B5" w14:textId="62DD18B1" w:rsidR="00A010B3" w:rsidRPr="005B05B3" w:rsidRDefault="00A010B3" w:rsidP="009F682D">
      <w:pPr>
        <w:pStyle w:val="TSDAltHeading3"/>
      </w:pPr>
      <w:r w:rsidRPr="005B05B3">
        <w:t>Safeguarding</w:t>
      </w:r>
    </w:p>
    <w:p w14:paraId="1AEB6BAF" w14:textId="1DA544A7" w:rsidR="00A010B3" w:rsidRPr="000905E4" w:rsidRDefault="00A010B3" w:rsidP="00AB4ED4">
      <w:r w:rsidRPr="00AB4ED4">
        <w:t>The Taskforce has heard that it is important that there are resources to support this capacity building, but also the important role that peer- led supports, including cultural supports, can play in educating and safeguarding.</w:t>
      </w:r>
    </w:p>
    <w:p w14:paraId="58774343" w14:textId="77777777" w:rsidR="003E20F5" w:rsidRDefault="00A010B3" w:rsidP="00E5783B">
      <w:pPr>
        <w:pStyle w:val="Quote"/>
      </w:pPr>
      <w:r w:rsidRPr="000905E4">
        <w:t xml:space="preserve">People with disability need to have </w:t>
      </w:r>
      <w:r w:rsidRPr="000905E4">
        <w:rPr>
          <w:b/>
          <w:bCs/>
        </w:rPr>
        <w:t xml:space="preserve">access to capacity building information and support </w:t>
      </w:r>
      <w:r w:rsidRPr="000905E4">
        <w:t>to engage with services and supports – for example, independent, accessible, peer led information and support to build skills and knowledge about what is a good quality service.</w:t>
      </w:r>
      <w:r w:rsidRPr="000905E4">
        <w:rPr>
          <w:rStyle w:val="FootnoteReference"/>
        </w:rPr>
        <w:footnoteReference w:id="265"/>
      </w:r>
    </w:p>
    <w:p w14:paraId="0CE430EE" w14:textId="414D95C3" w:rsidR="00A010B3" w:rsidRPr="000905E4" w:rsidRDefault="00A010B3" w:rsidP="00E5783B">
      <w:pPr>
        <w:pStyle w:val="Quote"/>
      </w:pPr>
      <w:r w:rsidRPr="000905E4">
        <w:rPr>
          <w:rFonts w:cs="Arial"/>
        </w:rPr>
        <w:t>Mainstream services should not be relied upon to provide services for Aboriginal and Torres Strait Islander communities, as this often results in the delivery of services that are not culturally safe for Aboriginal and Torres Strait Islander people.</w:t>
      </w:r>
      <w:r w:rsidRPr="000905E4">
        <w:rPr>
          <w:rStyle w:val="FootnoteReference"/>
          <w:rFonts w:cs="Arial"/>
        </w:rPr>
        <w:footnoteReference w:id="266"/>
      </w:r>
    </w:p>
    <w:p w14:paraId="2935C399" w14:textId="6642A11A" w:rsidR="00A010B3" w:rsidRPr="000905E4" w:rsidRDefault="00BC1D64" w:rsidP="00E5783B">
      <w:pPr>
        <w:spacing w:after="120"/>
      </w:pPr>
      <w:r w:rsidRPr="000905E4">
        <w:t>T</w:t>
      </w:r>
      <w:r w:rsidR="00A010B3" w:rsidRPr="000905E4">
        <w:t>he Taskforce recommends a renewed focus on the drivers of quality with the initial focus on:</w:t>
      </w:r>
    </w:p>
    <w:p w14:paraId="0E9D93B6" w14:textId="6B8D7E83" w:rsidR="00A010B3" w:rsidRPr="000905E4" w:rsidRDefault="00FC4881" w:rsidP="002248D1">
      <w:pPr>
        <w:pStyle w:val="ListParagraph"/>
        <w:numPr>
          <w:ilvl w:val="0"/>
          <w:numId w:val="39"/>
        </w:numPr>
        <w:spacing w:after="160" w:line="279" w:lineRule="auto"/>
      </w:pPr>
      <w:r w:rsidRPr="000905E4">
        <w:t>t</w:t>
      </w:r>
      <w:r w:rsidR="00A010B3" w:rsidRPr="000905E4">
        <w:t>he development of strategies and plans to improve safeguarding including appropriate system or standard for measuring any improvements</w:t>
      </w:r>
    </w:p>
    <w:p w14:paraId="4E385966" w14:textId="2E3B55D0" w:rsidR="00A010B3" w:rsidRPr="000905E4" w:rsidRDefault="00FC4881" w:rsidP="002248D1">
      <w:pPr>
        <w:pStyle w:val="ListParagraph"/>
        <w:numPr>
          <w:ilvl w:val="0"/>
          <w:numId w:val="39"/>
        </w:numPr>
        <w:spacing w:after="160" w:line="279" w:lineRule="auto"/>
      </w:pPr>
      <w:r w:rsidRPr="000905E4">
        <w:t>w</w:t>
      </w:r>
      <w:r w:rsidR="00A010B3" w:rsidRPr="000905E4">
        <w:t>orkforce development</w:t>
      </w:r>
    </w:p>
    <w:p w14:paraId="62CA854E" w14:textId="3557C788" w:rsidR="00A010B3" w:rsidRPr="000905E4" w:rsidRDefault="008E4849" w:rsidP="002248D1">
      <w:pPr>
        <w:pStyle w:val="ListParagraph"/>
        <w:numPr>
          <w:ilvl w:val="0"/>
          <w:numId w:val="39"/>
        </w:numPr>
        <w:spacing w:after="160" w:line="279" w:lineRule="auto"/>
      </w:pPr>
      <w:r w:rsidRPr="000905E4">
        <w:t>m</w:t>
      </w:r>
      <w:r w:rsidR="00A010B3" w:rsidRPr="000905E4">
        <w:t>odernising the Code of Practice</w:t>
      </w:r>
    </w:p>
    <w:p w14:paraId="689EEE5A" w14:textId="499C427C" w:rsidR="00BB4FFF" w:rsidRPr="00A15AED" w:rsidRDefault="00A010B3" w:rsidP="00D8016C">
      <w:r w:rsidRPr="000905E4">
        <w:t xml:space="preserve">Given what the Taskforce heard about isolation being a key driver of risk to </w:t>
      </w:r>
      <w:r w:rsidR="00F7769C" w:rsidRPr="000905E4">
        <w:t>p</w:t>
      </w:r>
      <w:r w:rsidRPr="000905E4">
        <w:t xml:space="preserve">articipants, the Taskforce also recommends that a project group be established to consider the utility of the introduction and mandating of Individual Safeguarding Plans for </w:t>
      </w:r>
      <w:r w:rsidR="00B904C6" w:rsidRPr="000905E4">
        <w:t>p</w:t>
      </w:r>
      <w:r w:rsidRPr="000905E4">
        <w:t>articipants without individual natural safeguarding relationships and/or for those Participants in congregant care settings or in clusters supported by</w:t>
      </w:r>
      <w:r w:rsidRPr="00A15AED">
        <w:t xml:space="preserve"> </w:t>
      </w:r>
      <w:r w:rsidR="00AB0A76" w:rsidRPr="00A15AED">
        <w:t xml:space="preserve">a </w:t>
      </w:r>
      <w:r w:rsidRPr="00A15AED">
        <w:t xml:space="preserve">singular </w:t>
      </w:r>
      <w:bookmarkStart w:id="142" w:name="_Toc170808383"/>
      <w:r w:rsidR="00BB4FFF" w:rsidRPr="00A15AED">
        <w:t xml:space="preserve">provider. </w:t>
      </w:r>
    </w:p>
    <w:p w14:paraId="5A01BF0F" w14:textId="702578F9" w:rsidR="00D464C7" w:rsidRPr="00AB4ED4" w:rsidRDefault="00BB4FFF" w:rsidP="009F682D">
      <w:pPr>
        <w:pStyle w:val="TSDAltHeading3"/>
      </w:pPr>
      <w:r w:rsidRPr="00AB4ED4">
        <w:rPr>
          <w:rFonts w:eastAsiaTheme="majorEastAsia"/>
        </w:rPr>
        <w:t>Community</w:t>
      </w:r>
      <w:r w:rsidR="00D464C7" w:rsidRPr="00AB4ED4">
        <w:rPr>
          <w:rFonts w:eastAsiaTheme="majorEastAsia"/>
        </w:rPr>
        <w:t xml:space="preserve"> </w:t>
      </w:r>
      <w:r w:rsidR="00611A4A" w:rsidRPr="00AB4ED4">
        <w:rPr>
          <w:rFonts w:eastAsiaTheme="majorEastAsia"/>
        </w:rPr>
        <w:t>v</w:t>
      </w:r>
      <w:r w:rsidR="00D464C7" w:rsidRPr="00AB4ED4">
        <w:rPr>
          <w:rFonts w:eastAsiaTheme="majorEastAsia"/>
        </w:rPr>
        <w:t xml:space="preserve">isitor </w:t>
      </w:r>
      <w:r w:rsidR="00611A4A" w:rsidRPr="00AB4ED4">
        <w:rPr>
          <w:rFonts w:eastAsiaTheme="majorEastAsia"/>
        </w:rPr>
        <w:t>s</w:t>
      </w:r>
      <w:r w:rsidR="00D464C7" w:rsidRPr="00AB4ED4">
        <w:rPr>
          <w:rFonts w:eastAsiaTheme="majorEastAsia"/>
        </w:rPr>
        <w:t>cheme</w:t>
      </w:r>
      <w:r w:rsidR="00CC17F3" w:rsidRPr="00AB4ED4">
        <w:rPr>
          <w:rFonts w:eastAsiaTheme="majorEastAsia"/>
        </w:rPr>
        <w:t>s</w:t>
      </w:r>
      <w:bookmarkEnd w:id="142"/>
    </w:p>
    <w:p w14:paraId="39788E38" w14:textId="29EBE55E" w:rsidR="005529D0" w:rsidRPr="00AB4ED4" w:rsidRDefault="00187A54" w:rsidP="00AB4ED4">
      <w:r w:rsidRPr="00AB4ED4">
        <w:t xml:space="preserve">Community visitors are statutory appointed members of the community with powers to visit, inspect, and report on the experience of people in numerous settings, including congregate settings where more than one person lives in a group together in the same residential setting. </w:t>
      </w:r>
      <w:r w:rsidR="00D464C7" w:rsidRPr="00AB4ED4">
        <w:t xml:space="preserve">All states and territories except Western Australia and Tasmania have </w:t>
      </w:r>
      <w:r w:rsidR="00D464C7" w:rsidRPr="00AB4ED4">
        <w:lastRenderedPageBreak/>
        <w:t xml:space="preserve">a </w:t>
      </w:r>
      <w:r w:rsidR="00D12E79" w:rsidRPr="00AB4ED4">
        <w:t xml:space="preserve">disability </w:t>
      </w:r>
      <w:r w:rsidR="00D464C7" w:rsidRPr="00AB4ED4">
        <w:t>Community Visitor Scheme (CVS)</w:t>
      </w:r>
      <w:r w:rsidR="002731DF" w:rsidRPr="00AB4ED4">
        <w:t>, however</w:t>
      </w:r>
      <w:r w:rsidR="004E6EC7" w:rsidRPr="00AB4ED4">
        <w:t>,</w:t>
      </w:r>
      <w:r w:rsidR="002731DF" w:rsidRPr="00AB4ED4">
        <w:t xml:space="preserve"> each scheme operates separately and differently with regard to its scope, scale, and design. Variations include types of staffing (volunteers vs paid workers), scope (who or what establishments are visited, including in other sectors), frequency of visits, legislative powers (e.g. right of entry) and cost. </w:t>
      </w:r>
      <w:r w:rsidR="00D464C7" w:rsidRPr="00AB4ED4">
        <w:t xml:space="preserve">Their role is to independently monitor services and facilities provided to people with disability and assist with resolving issues or complaints. </w:t>
      </w:r>
      <w:r w:rsidR="005529D0" w:rsidRPr="00AB4ED4">
        <w:t>The Taskforce heard that a national CVS</w:t>
      </w:r>
      <w:r w:rsidR="00477F7B" w:rsidRPr="00AB4ED4">
        <w:t>,</w:t>
      </w:r>
      <w:r w:rsidR="005529D0" w:rsidRPr="00AB4ED4">
        <w:t xml:space="preserve"> that is delivered locally</w:t>
      </w:r>
      <w:r w:rsidR="00477F7B" w:rsidRPr="00AB4ED4">
        <w:t>,</w:t>
      </w:r>
      <w:r w:rsidR="005529D0" w:rsidRPr="00AB4ED4">
        <w:t xml:space="preserve"> is an important tool for monitoring compliance of NDIS providers to ensure quality and safety are maintained on the ground.</w:t>
      </w:r>
    </w:p>
    <w:p w14:paraId="25662440" w14:textId="5E47D7E7" w:rsidR="00D464C7" w:rsidRPr="00AB4ED4" w:rsidRDefault="00D464C7" w:rsidP="00E5783B">
      <w:pPr>
        <w:spacing w:line="276" w:lineRule="auto"/>
      </w:pPr>
      <w:r w:rsidRPr="005B05B3">
        <w:rPr>
          <w:rFonts w:eastAsia="Aptos" w:cs="Aptos"/>
        </w:rPr>
        <w:t>The Disability Royal Commission also heard about the important role of community visitors in promoting and protecting the rights and wellbeing of people with disability to prevent abuse and neglect, as well as an escalation pathway for issues to be addressed.</w:t>
      </w:r>
      <w:r w:rsidRPr="005B05B3">
        <w:rPr>
          <w:rStyle w:val="FootnoteReference"/>
          <w:rFonts w:eastAsia="Aptos" w:cs="Aptos"/>
        </w:rPr>
        <w:footnoteReference w:id="267"/>
      </w:r>
      <w:r w:rsidRPr="005B05B3">
        <w:rPr>
          <w:rFonts w:eastAsia="Aptos" w:cs="Aptos"/>
        </w:rPr>
        <w:t xml:space="preserve"> The Disability Royal Commission also heard about the inconsistency in these arrangements across the states and territories and importance in strengthening CVS arrangements with the NDIS.</w:t>
      </w:r>
      <w:r w:rsidRPr="005B05B3">
        <w:rPr>
          <w:rStyle w:val="FootnoteReference"/>
          <w:rFonts w:eastAsia="Aptos" w:cs="Aptos"/>
        </w:rPr>
        <w:footnoteReference w:id="268"/>
      </w:r>
    </w:p>
    <w:p w14:paraId="5A896937" w14:textId="0328EC24" w:rsidR="00D464C7" w:rsidRPr="005B05B3" w:rsidRDefault="00D464C7" w:rsidP="00E5783B">
      <w:pPr>
        <w:spacing w:line="276" w:lineRule="auto"/>
        <w:rPr>
          <w:rFonts w:eastAsia="Aptos" w:cs="Aptos"/>
        </w:rPr>
      </w:pPr>
      <w:r w:rsidRPr="005B05B3">
        <w:rPr>
          <w:rFonts w:eastAsia="Aptos" w:cs="Aptos"/>
        </w:rPr>
        <w:t>The Final Report of the Disability Royal Commission noted that its recommendations regarding CVS were informed by 4 separate reviews</w:t>
      </w:r>
      <w:r w:rsidRPr="005B05B3">
        <w:rPr>
          <w:rStyle w:val="FootnoteReference"/>
          <w:rFonts w:eastAsia="Aptos" w:cs="Aptos"/>
        </w:rPr>
        <w:footnoteReference w:id="269"/>
      </w:r>
      <w:r w:rsidRPr="005B05B3">
        <w:rPr>
          <w:rFonts w:eastAsia="Aptos" w:cs="Aptos"/>
        </w:rPr>
        <w:t xml:space="preserve"> and that </w:t>
      </w:r>
      <w:r w:rsidR="00AE18BE" w:rsidRPr="005B05B3">
        <w:rPr>
          <w:rFonts w:eastAsia="Aptos" w:cs="Aptos"/>
        </w:rPr>
        <w:t>‘</w:t>
      </w:r>
      <w:r w:rsidRPr="005B05B3">
        <w:rPr>
          <w:rFonts w:eastAsia="Aptos" w:cs="Aptos"/>
        </w:rPr>
        <w:t xml:space="preserve">each report </w:t>
      </w:r>
      <w:r w:rsidRPr="005B05B3">
        <w:t>supported the continuation of community visiting and provides evidence showing that CVS are widely valued as a quality and safeguarding mechanism.</w:t>
      </w:r>
      <w:r w:rsidR="00AE18BE" w:rsidRPr="005B05B3">
        <w:t>’</w:t>
      </w:r>
      <w:r w:rsidRPr="005B05B3">
        <w:rPr>
          <w:rStyle w:val="FootnoteReference"/>
        </w:rPr>
        <w:footnoteReference w:id="270"/>
      </w:r>
    </w:p>
    <w:p w14:paraId="3C72FDC3" w14:textId="4C22531B" w:rsidR="1F683786" w:rsidRPr="000905E4" w:rsidRDefault="00D464C7" w:rsidP="000905E4">
      <w:pPr>
        <w:spacing w:line="276" w:lineRule="auto"/>
        <w:rPr>
          <w:rFonts w:eastAsia="Aptos" w:cs="Aptos"/>
        </w:rPr>
      </w:pPr>
      <w:r w:rsidRPr="005B05B3">
        <w:rPr>
          <w:rFonts w:eastAsia="Aptos" w:cs="Aptos"/>
        </w:rPr>
        <w:t>The Disability Royal Commission recommended a nationally consistent approach to CVS and improved integration and reporting with the NDIS.</w:t>
      </w:r>
      <w:r w:rsidRPr="005B05B3">
        <w:rPr>
          <w:rStyle w:val="FootnoteReference"/>
          <w:rFonts w:eastAsia="Aptos" w:cs="Aptos"/>
        </w:rPr>
        <w:footnoteReference w:id="271"/>
      </w:r>
      <w:r w:rsidRPr="005B05B3">
        <w:rPr>
          <w:rFonts w:eastAsia="Aptos" w:cs="Aptos"/>
        </w:rPr>
        <w:t xml:space="preserve"> The Taskforce endorses the Disability Royal Commission recommendations that a nationally consistent CVS be delivered in each </w:t>
      </w:r>
      <w:r w:rsidR="00EE3CC0" w:rsidRPr="005B05B3">
        <w:rPr>
          <w:rFonts w:eastAsia="Aptos" w:cs="Aptos"/>
        </w:rPr>
        <w:t>s</w:t>
      </w:r>
      <w:r w:rsidRPr="005B05B3">
        <w:rPr>
          <w:rFonts w:eastAsia="Aptos" w:cs="Aptos"/>
        </w:rPr>
        <w:t xml:space="preserve">tate and </w:t>
      </w:r>
      <w:r w:rsidR="00EE3CC0" w:rsidRPr="005B05B3">
        <w:rPr>
          <w:rFonts w:eastAsia="Aptos" w:cs="Aptos"/>
        </w:rPr>
        <w:t>t</w:t>
      </w:r>
      <w:r w:rsidRPr="005B05B3">
        <w:rPr>
          <w:rFonts w:eastAsia="Aptos" w:cs="Aptos"/>
        </w:rPr>
        <w:t>erritory to provide independent oversight of the wellbeing of people with disability in congregate care or closed settings and to be available to people with disability in private settings who request visits to assist them to ensure quality and safety when managing their supports at home.</w:t>
      </w:r>
      <w:r w:rsidR="1F683786" w:rsidRPr="005B05B3">
        <w:br w:type="page"/>
      </w:r>
    </w:p>
    <w:p w14:paraId="427DDFB2" w14:textId="24D9C2F0" w:rsidR="00224B01" w:rsidRPr="005B05B3" w:rsidRDefault="005B0462" w:rsidP="002248D1">
      <w:pPr>
        <w:pStyle w:val="Heading1"/>
        <w:numPr>
          <w:ilvl w:val="0"/>
          <w:numId w:val="55"/>
        </w:numPr>
      </w:pPr>
      <w:bookmarkStart w:id="143" w:name="_Annexures"/>
      <w:bookmarkStart w:id="144" w:name="_Toc173318076"/>
      <w:bookmarkEnd w:id="143"/>
      <w:r w:rsidRPr="005B05B3">
        <w:lastRenderedPageBreak/>
        <w:t>Annexures</w:t>
      </w:r>
      <w:bookmarkEnd w:id="144"/>
      <w:r w:rsidR="001B5EF1" w:rsidRPr="005B05B3">
        <w:t xml:space="preserve"> </w:t>
      </w:r>
    </w:p>
    <w:p w14:paraId="554632AB" w14:textId="58BD45B3" w:rsidR="005B0462" w:rsidRPr="005B05B3" w:rsidRDefault="00753112" w:rsidP="007560EB">
      <w:pPr>
        <w:pStyle w:val="ListParagraph"/>
        <w:numPr>
          <w:ilvl w:val="0"/>
          <w:numId w:val="72"/>
        </w:numPr>
        <w:spacing w:line="276" w:lineRule="auto"/>
        <w:ind w:left="714" w:hanging="357"/>
        <w:contextualSpacing w:val="0"/>
      </w:pPr>
      <w:r w:rsidRPr="005B05B3">
        <w:t>Table 1: Graduated and risk-proportionate provider registration and enrolment (adapted from NDIS Review Figure 14)</w:t>
      </w:r>
      <w:r w:rsidR="005B0462" w:rsidRPr="005B05B3">
        <w:t xml:space="preserve"> </w:t>
      </w:r>
    </w:p>
    <w:p w14:paraId="7AE51E0F" w14:textId="1DF4D96F" w:rsidR="18446DFB" w:rsidRPr="005B05B3" w:rsidRDefault="18446DFB" w:rsidP="007560EB">
      <w:pPr>
        <w:pStyle w:val="ListParagraph"/>
        <w:numPr>
          <w:ilvl w:val="0"/>
          <w:numId w:val="72"/>
        </w:numPr>
        <w:spacing w:line="276" w:lineRule="auto"/>
        <w:ind w:left="714" w:hanging="357"/>
        <w:contextualSpacing w:val="0"/>
      </w:pPr>
      <w:r w:rsidRPr="005B05B3">
        <w:t>NDIS Provider and Worker Registration Taskforce – Terms of Reference</w:t>
      </w:r>
    </w:p>
    <w:p w14:paraId="7E80D154" w14:textId="77777777" w:rsidR="00E50DE5" w:rsidRPr="005B05B3" w:rsidRDefault="00E50DE5" w:rsidP="00753112">
      <w:pPr>
        <w:spacing w:line="276" w:lineRule="auto"/>
      </w:pPr>
    </w:p>
    <w:p w14:paraId="34D7F876" w14:textId="77777777" w:rsidR="00E50DE5" w:rsidRPr="005B05B3" w:rsidRDefault="00E50DE5" w:rsidP="00E50DE5">
      <w:pPr>
        <w:sectPr w:rsidR="00E50DE5" w:rsidRPr="005B05B3" w:rsidSect="006B016C">
          <w:headerReference w:type="default" r:id="rId33"/>
          <w:headerReference w:type="first" r:id="rId34"/>
          <w:pgSz w:w="11906" w:h="16838"/>
          <w:pgMar w:top="1250" w:right="1252" w:bottom="1277" w:left="1440" w:header="907" w:footer="709" w:gutter="0"/>
          <w:cols w:space="708"/>
          <w:titlePg/>
          <w:docGrid w:linePitch="360"/>
        </w:sectPr>
      </w:pPr>
    </w:p>
    <w:p w14:paraId="5E06BF8C" w14:textId="1BB2366C" w:rsidR="00841CDF" w:rsidRPr="00213D5C" w:rsidRDefault="00841CDF" w:rsidP="00213D5C">
      <w:pPr>
        <w:ind w:left="-567"/>
        <w:rPr>
          <w:color w:val="0D2B58"/>
          <w:sz w:val="32"/>
          <w:szCs w:val="32"/>
        </w:rPr>
      </w:pPr>
      <w:bookmarkStart w:id="145" w:name="Annexure_A"/>
      <w:bookmarkStart w:id="146" w:name="_Toc170808385"/>
      <w:bookmarkStart w:id="147" w:name="_Toc170919707"/>
      <w:r w:rsidRPr="00213D5C">
        <w:rPr>
          <w:b/>
          <w:bCs/>
          <w:color w:val="0D2B58"/>
          <w:sz w:val="44"/>
          <w:szCs w:val="44"/>
        </w:rPr>
        <w:lastRenderedPageBreak/>
        <w:t xml:space="preserve">Annexure </w:t>
      </w:r>
      <w:r w:rsidR="003E26C7" w:rsidRPr="00213D5C">
        <w:rPr>
          <w:b/>
          <w:bCs/>
          <w:color w:val="0D2B58"/>
          <w:sz w:val="44"/>
          <w:szCs w:val="44"/>
        </w:rPr>
        <w:t>A</w:t>
      </w:r>
      <w:bookmarkEnd w:id="145"/>
      <w:r w:rsidRPr="00213D5C">
        <w:rPr>
          <w:b/>
          <w:bCs/>
          <w:color w:val="0D2B58"/>
          <w:sz w:val="44"/>
          <w:szCs w:val="44"/>
        </w:rPr>
        <w:t>.</w:t>
      </w:r>
      <w:bookmarkEnd w:id="146"/>
      <w:bookmarkEnd w:id="147"/>
    </w:p>
    <w:p w14:paraId="689ADC87" w14:textId="4FCF1441" w:rsidR="0070148B" w:rsidRDefault="0070148B" w:rsidP="0070148B">
      <w:pPr>
        <w:ind w:left="-567"/>
      </w:pPr>
      <w:r>
        <w:t xml:space="preserve">Table </w:t>
      </w:r>
      <w:r>
        <w:fldChar w:fldCharType="begin"/>
      </w:r>
      <w:r>
        <w:instrText xml:space="preserve"> SEQ Table \* ARABIC </w:instrText>
      </w:r>
      <w:r>
        <w:fldChar w:fldCharType="separate"/>
      </w:r>
      <w:r>
        <w:rPr>
          <w:noProof/>
        </w:rPr>
        <w:t>1</w:t>
      </w:r>
      <w:r>
        <w:fldChar w:fldCharType="end"/>
      </w:r>
      <w:r w:rsidRPr="006B6E44">
        <w:t>: Graduated and risk-proportionate provider registration and enrolment (adapted from NDIS Review Figure 14)</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Graduated and risk-proportionate provider registration and enrolment"/>
      </w:tblPr>
      <w:tblGrid>
        <w:gridCol w:w="1418"/>
        <w:gridCol w:w="1874"/>
        <w:gridCol w:w="1670"/>
        <w:gridCol w:w="1984"/>
        <w:gridCol w:w="1701"/>
        <w:gridCol w:w="1701"/>
      </w:tblGrid>
      <w:tr w:rsidR="00032972" w:rsidRPr="005B05B3" w14:paraId="66CD1065" w14:textId="77777777" w:rsidTr="00F45A2D">
        <w:trPr>
          <w:trHeight w:val="984"/>
          <w:tblHeader/>
        </w:trPr>
        <w:tc>
          <w:tcPr>
            <w:tcW w:w="1418" w:type="dxa"/>
            <w:tcBorders>
              <w:bottom w:val="single" w:sz="12" w:space="0" w:color="156082" w:themeColor="accent1"/>
              <w:right w:val="single" w:sz="12" w:space="0" w:color="156082" w:themeColor="accent1"/>
            </w:tcBorders>
            <w:shd w:val="clear" w:color="auto" w:fill="FFFFFF" w:themeFill="background1"/>
          </w:tcPr>
          <w:p w14:paraId="43EF385F" w14:textId="1D475F5E" w:rsidR="00841CDF" w:rsidRPr="005B05B3" w:rsidRDefault="00F45A2D" w:rsidP="00B451FB">
            <w:pPr>
              <w:pStyle w:val="BodyText"/>
              <w:spacing w:beforeLines="60" w:before="144" w:afterLines="60" w:after="144" w:line="240" w:lineRule="auto"/>
              <w:rPr>
                <w:rFonts w:eastAsiaTheme="minorEastAsia" w:cstheme="minorHAnsi"/>
                <w:b/>
                <w:w w:val="0"/>
                <w:sz w:val="20"/>
                <w:szCs w:val="20"/>
              </w:rPr>
            </w:pPr>
            <w:bookmarkStart w:id="148" w:name="_Hlk170379978"/>
            <w:r>
              <w:rPr>
                <w:rFonts w:eastAsiaTheme="minorEastAsia" w:cstheme="minorHAnsi"/>
                <w:b/>
                <w:w w:val="0"/>
                <w:sz w:val="20"/>
                <w:szCs w:val="20"/>
              </w:rPr>
              <w:t>Components</w:t>
            </w:r>
          </w:p>
        </w:tc>
        <w:tc>
          <w:tcPr>
            <w:tcW w:w="1874" w:type="dxa"/>
            <w:tcBorders>
              <w:left w:val="single" w:sz="12" w:space="0" w:color="156082" w:themeColor="accent1"/>
              <w:bottom w:val="single" w:sz="12" w:space="0" w:color="156082" w:themeColor="accent1"/>
            </w:tcBorders>
            <w:shd w:val="clear" w:color="auto" w:fill="E8E8E8" w:themeFill="background2"/>
          </w:tcPr>
          <w:p w14:paraId="4B527E89" w14:textId="77777777" w:rsidR="00841CDF" w:rsidRPr="005B05B3" w:rsidRDefault="00841CDF" w:rsidP="00B451FB">
            <w:pPr>
              <w:pStyle w:val="BodyText"/>
              <w:spacing w:beforeLines="60" w:before="144" w:afterLines="60" w:after="144" w:line="240" w:lineRule="auto"/>
              <w:rPr>
                <w:rFonts w:eastAsiaTheme="minorEastAsia" w:cstheme="minorHAnsi"/>
                <w:b/>
                <w:bCs/>
                <w:color w:val="4EA72E" w:themeColor="accent6"/>
                <w:sz w:val="20"/>
                <w:szCs w:val="20"/>
              </w:rPr>
            </w:pPr>
            <w:r w:rsidRPr="005B05B3">
              <w:rPr>
                <w:rFonts w:eastAsiaTheme="minorEastAsia" w:cstheme="minorHAnsi"/>
                <w:b/>
                <w:bCs/>
                <w:color w:val="auto"/>
                <w:sz w:val="20"/>
                <w:szCs w:val="20"/>
              </w:rPr>
              <w:t>A. Advanced registration</w:t>
            </w:r>
          </w:p>
        </w:tc>
        <w:tc>
          <w:tcPr>
            <w:tcW w:w="1670" w:type="dxa"/>
            <w:tcBorders>
              <w:bottom w:val="single" w:sz="12" w:space="0" w:color="156082" w:themeColor="accent1"/>
            </w:tcBorders>
            <w:shd w:val="clear" w:color="auto" w:fill="FFFFFF" w:themeFill="background1"/>
          </w:tcPr>
          <w:p w14:paraId="36CD286F" w14:textId="77777777" w:rsidR="00841CDF" w:rsidRPr="005B05B3" w:rsidRDefault="00841CDF" w:rsidP="00B451FB">
            <w:pPr>
              <w:pStyle w:val="BodyText"/>
              <w:spacing w:beforeLines="60" w:before="144" w:afterLines="60" w:after="144" w:line="240" w:lineRule="auto"/>
              <w:rPr>
                <w:rFonts w:eastAsiaTheme="minorEastAsia" w:cstheme="minorHAnsi"/>
                <w:b/>
                <w:bCs/>
                <w:sz w:val="20"/>
                <w:szCs w:val="20"/>
              </w:rPr>
            </w:pPr>
            <w:r w:rsidRPr="005B05B3">
              <w:rPr>
                <w:rFonts w:eastAsiaTheme="minorEastAsia" w:cstheme="minorHAnsi"/>
                <w:b/>
                <w:bCs/>
                <w:color w:val="auto"/>
                <w:sz w:val="20"/>
                <w:szCs w:val="20"/>
              </w:rPr>
              <w:t>B. General registration</w:t>
            </w:r>
          </w:p>
        </w:tc>
        <w:tc>
          <w:tcPr>
            <w:tcW w:w="1984" w:type="dxa"/>
            <w:tcBorders>
              <w:bottom w:val="single" w:sz="12" w:space="0" w:color="156082" w:themeColor="accent1"/>
            </w:tcBorders>
            <w:shd w:val="clear" w:color="auto" w:fill="E8E8E8" w:themeFill="background2"/>
          </w:tcPr>
          <w:p w14:paraId="7794FBEB" w14:textId="77777777" w:rsidR="00841CDF" w:rsidRPr="005B05B3" w:rsidRDefault="00841CDF" w:rsidP="00B451FB">
            <w:pPr>
              <w:pStyle w:val="BodyText"/>
              <w:spacing w:beforeLines="60" w:before="144" w:afterLines="60" w:after="144" w:line="240" w:lineRule="auto"/>
              <w:rPr>
                <w:rFonts w:eastAsiaTheme="minorEastAsia" w:cstheme="minorHAnsi"/>
                <w:b/>
                <w:bCs/>
                <w:color w:val="4EA72E" w:themeColor="accent6"/>
                <w:sz w:val="20"/>
                <w:szCs w:val="20"/>
              </w:rPr>
            </w:pPr>
            <w:r w:rsidRPr="005B05B3">
              <w:rPr>
                <w:rFonts w:eastAsiaTheme="minorEastAsia" w:cstheme="minorHAnsi"/>
                <w:b/>
                <w:bCs/>
                <w:color w:val="auto"/>
                <w:sz w:val="20"/>
                <w:szCs w:val="20"/>
              </w:rPr>
              <w:t>C. Service for One/Self Directed Support Registration</w:t>
            </w:r>
          </w:p>
        </w:tc>
        <w:tc>
          <w:tcPr>
            <w:tcW w:w="1701" w:type="dxa"/>
            <w:tcBorders>
              <w:bottom w:val="single" w:sz="12" w:space="0" w:color="156082" w:themeColor="accent1"/>
            </w:tcBorders>
            <w:shd w:val="clear" w:color="auto" w:fill="FFFFFF" w:themeFill="background1"/>
          </w:tcPr>
          <w:p w14:paraId="29915F28" w14:textId="77777777" w:rsidR="00841CDF" w:rsidRPr="005B05B3" w:rsidRDefault="00841CDF" w:rsidP="00B451FB">
            <w:pPr>
              <w:pStyle w:val="BodyText"/>
              <w:spacing w:beforeLines="60" w:before="144" w:afterLines="60" w:after="144" w:line="240" w:lineRule="auto"/>
              <w:rPr>
                <w:rFonts w:eastAsiaTheme="minorEastAsia" w:cstheme="minorHAnsi"/>
                <w:b/>
                <w:bCs/>
                <w:w w:val="0"/>
                <w:sz w:val="20"/>
                <w:szCs w:val="20"/>
              </w:rPr>
            </w:pPr>
            <w:r w:rsidRPr="005B05B3">
              <w:rPr>
                <w:rFonts w:eastAsiaTheme="minorEastAsia" w:cstheme="minorHAnsi"/>
                <w:b/>
                <w:bCs/>
                <w:color w:val="auto"/>
                <w:sz w:val="20"/>
                <w:szCs w:val="20"/>
              </w:rPr>
              <w:t>D. Basic registration</w:t>
            </w:r>
          </w:p>
          <w:p w14:paraId="48FC53E1" w14:textId="77777777" w:rsidR="00841CDF" w:rsidRPr="005B05B3" w:rsidRDefault="00841CDF" w:rsidP="00B451FB">
            <w:pPr>
              <w:pStyle w:val="BodyText"/>
              <w:spacing w:beforeLines="60" w:before="144" w:afterLines="60" w:after="144" w:line="240" w:lineRule="auto"/>
              <w:rPr>
                <w:rFonts w:eastAsiaTheme="minorEastAsia" w:cstheme="minorHAnsi"/>
                <w:b/>
                <w:bCs/>
                <w:sz w:val="20"/>
                <w:szCs w:val="20"/>
              </w:rPr>
            </w:pPr>
          </w:p>
        </w:tc>
        <w:tc>
          <w:tcPr>
            <w:tcW w:w="1701" w:type="dxa"/>
            <w:tcBorders>
              <w:bottom w:val="single" w:sz="12" w:space="0" w:color="156082" w:themeColor="accent1"/>
            </w:tcBorders>
            <w:shd w:val="clear" w:color="auto" w:fill="E8E8E8" w:themeFill="background2"/>
          </w:tcPr>
          <w:p w14:paraId="132AAA1F" w14:textId="77777777" w:rsidR="00841CDF" w:rsidRPr="005B05B3" w:rsidRDefault="00841CDF" w:rsidP="00B451FB">
            <w:pPr>
              <w:pStyle w:val="BodyText"/>
              <w:spacing w:beforeLines="60" w:before="144" w:afterLines="60" w:after="144" w:line="240" w:lineRule="auto"/>
              <w:rPr>
                <w:rFonts w:eastAsiaTheme="minorEastAsia" w:cstheme="minorHAnsi"/>
                <w:b/>
                <w:bCs/>
                <w:color w:val="4EA72E" w:themeColor="accent6"/>
                <w:sz w:val="20"/>
                <w:szCs w:val="20"/>
              </w:rPr>
            </w:pPr>
            <w:r w:rsidRPr="005B05B3">
              <w:rPr>
                <w:rFonts w:eastAsiaTheme="minorEastAsia" w:cstheme="minorHAnsi"/>
                <w:b/>
                <w:bCs/>
                <w:color w:val="auto"/>
                <w:sz w:val="20"/>
                <w:szCs w:val="20"/>
              </w:rPr>
              <w:t>E. Purchase visibility only (not registration)</w:t>
            </w:r>
          </w:p>
        </w:tc>
      </w:tr>
      <w:bookmarkEnd w:id="148"/>
      <w:tr w:rsidR="00032972" w:rsidRPr="005B05B3" w14:paraId="41107A86" w14:textId="77777777" w:rsidTr="00F45A2D">
        <w:trPr>
          <w:trHeight w:val="1868"/>
        </w:trPr>
        <w:tc>
          <w:tcPr>
            <w:tcW w:w="1418" w:type="dxa"/>
            <w:tcBorders>
              <w:top w:val="single" w:sz="12" w:space="0" w:color="156082" w:themeColor="accent1"/>
              <w:right w:val="single" w:sz="12" w:space="0" w:color="156082" w:themeColor="accent1"/>
            </w:tcBorders>
            <w:shd w:val="clear" w:color="auto" w:fill="FFFFFF" w:themeFill="background1"/>
          </w:tcPr>
          <w:p w14:paraId="63FAE82D" w14:textId="77777777" w:rsidR="00841CDF" w:rsidRPr="005B05B3" w:rsidRDefault="00841CDF" w:rsidP="00B451FB">
            <w:pPr>
              <w:pStyle w:val="BodyText"/>
              <w:spacing w:beforeLines="60" w:before="144" w:afterLines="60" w:after="144" w:line="240" w:lineRule="auto"/>
              <w:rPr>
                <w:rFonts w:eastAsiaTheme="minorEastAsia" w:cstheme="minorHAnsi"/>
                <w:b/>
                <w:w w:val="0"/>
                <w:sz w:val="20"/>
                <w:szCs w:val="20"/>
              </w:rPr>
            </w:pPr>
            <w:r w:rsidRPr="005B05B3">
              <w:rPr>
                <w:rFonts w:eastAsiaTheme="minorEastAsia" w:cstheme="minorHAnsi"/>
                <w:b/>
                <w:w w:val="0"/>
                <w:sz w:val="20"/>
                <w:szCs w:val="20"/>
              </w:rPr>
              <w:t>Description</w:t>
            </w:r>
          </w:p>
        </w:tc>
        <w:tc>
          <w:tcPr>
            <w:tcW w:w="1874" w:type="dxa"/>
            <w:tcBorders>
              <w:top w:val="single" w:sz="12" w:space="0" w:color="156082" w:themeColor="accent1"/>
              <w:left w:val="single" w:sz="12" w:space="0" w:color="156082" w:themeColor="accent1"/>
            </w:tcBorders>
            <w:shd w:val="clear" w:color="auto" w:fill="E8E8E8" w:themeFill="background2"/>
          </w:tcPr>
          <w:p w14:paraId="2BA9FF5C"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In-depth registration for high-risk supports</w:t>
            </w:r>
          </w:p>
        </w:tc>
        <w:tc>
          <w:tcPr>
            <w:tcW w:w="1670" w:type="dxa"/>
            <w:tcBorders>
              <w:top w:val="single" w:sz="12" w:space="0" w:color="156082" w:themeColor="accent1"/>
            </w:tcBorders>
            <w:shd w:val="clear" w:color="auto" w:fill="FFFFFF" w:themeFill="background1"/>
          </w:tcPr>
          <w:p w14:paraId="33B62D50"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Graduated registration for medium-risk supports</w:t>
            </w:r>
          </w:p>
        </w:tc>
        <w:tc>
          <w:tcPr>
            <w:tcW w:w="1984" w:type="dxa"/>
            <w:tcBorders>
              <w:top w:val="single" w:sz="12" w:space="0" w:color="156082" w:themeColor="accent1"/>
            </w:tcBorders>
            <w:shd w:val="clear" w:color="auto" w:fill="E8E8E8" w:themeFill="background2"/>
          </w:tcPr>
          <w:p w14:paraId="6EF51513"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Registration of the participant/ guardian or other person with legal authority for the direct contracting of all supports</w:t>
            </w:r>
          </w:p>
        </w:tc>
        <w:tc>
          <w:tcPr>
            <w:tcW w:w="1701" w:type="dxa"/>
            <w:tcBorders>
              <w:top w:val="single" w:sz="12" w:space="0" w:color="156082" w:themeColor="accent1"/>
            </w:tcBorders>
            <w:shd w:val="clear" w:color="auto" w:fill="FFFFFF" w:themeFill="background1"/>
          </w:tcPr>
          <w:p w14:paraId="4B3670E3"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Light-touch registration for lower-risk supports</w:t>
            </w:r>
          </w:p>
        </w:tc>
        <w:tc>
          <w:tcPr>
            <w:tcW w:w="1701" w:type="dxa"/>
            <w:tcBorders>
              <w:top w:val="single" w:sz="12" w:space="0" w:color="156082" w:themeColor="accent1"/>
            </w:tcBorders>
            <w:shd w:val="clear" w:color="auto" w:fill="E8E8E8" w:themeFill="background2"/>
          </w:tcPr>
          <w:p w14:paraId="02959F64" w14:textId="77777777" w:rsidR="00841CDF" w:rsidRPr="005B05B3" w:rsidRDefault="00841CDF" w:rsidP="00B451FB">
            <w:pPr>
              <w:pStyle w:val="BodyText"/>
              <w:spacing w:beforeLines="60" w:before="144" w:afterLines="60" w:after="144" w:line="240" w:lineRule="auto"/>
              <w:rPr>
                <w:rFonts w:eastAsiaTheme="minorEastAsia" w:cstheme="minorHAnsi"/>
                <w:b/>
                <w:sz w:val="20"/>
                <w:szCs w:val="20"/>
              </w:rPr>
            </w:pPr>
            <w:r w:rsidRPr="005B05B3">
              <w:rPr>
                <w:rFonts w:eastAsiaTheme="minorEastAsia" w:cstheme="minorHAnsi"/>
                <w:sz w:val="20"/>
                <w:szCs w:val="20"/>
              </w:rPr>
              <w:t>For goods only from “mainstream” retailers where there is no support provided to the participant with visibility provided via the purchasing arrangements.</w:t>
            </w:r>
          </w:p>
        </w:tc>
      </w:tr>
      <w:tr w:rsidR="00841CDF" w:rsidRPr="005B05B3" w14:paraId="2EA7F9AA" w14:textId="77777777" w:rsidTr="00F45A2D">
        <w:trPr>
          <w:trHeight w:val="1982"/>
        </w:trPr>
        <w:tc>
          <w:tcPr>
            <w:tcW w:w="1418" w:type="dxa"/>
            <w:tcBorders>
              <w:right w:val="single" w:sz="12" w:space="0" w:color="156082" w:themeColor="accent1"/>
            </w:tcBorders>
            <w:shd w:val="clear" w:color="auto" w:fill="FFFFFF" w:themeFill="background1"/>
          </w:tcPr>
          <w:p w14:paraId="30392D31" w14:textId="77777777" w:rsidR="00841CDF" w:rsidRPr="005B05B3" w:rsidRDefault="00841CDF" w:rsidP="00B451FB">
            <w:pPr>
              <w:pStyle w:val="BodyText"/>
              <w:spacing w:beforeLines="60" w:before="144" w:afterLines="60" w:after="144" w:line="240" w:lineRule="auto"/>
              <w:rPr>
                <w:rFonts w:eastAsiaTheme="minorEastAsia" w:cstheme="minorHAnsi"/>
                <w:b/>
                <w:w w:val="0"/>
                <w:sz w:val="20"/>
                <w:szCs w:val="20"/>
              </w:rPr>
            </w:pPr>
            <w:r w:rsidRPr="005B05B3">
              <w:rPr>
                <w:rFonts w:eastAsiaTheme="minorEastAsia" w:cstheme="minorHAnsi"/>
                <w:b/>
                <w:w w:val="0"/>
                <w:sz w:val="20"/>
                <w:szCs w:val="20"/>
              </w:rPr>
              <w:t>Examples</w:t>
            </w:r>
          </w:p>
        </w:tc>
        <w:tc>
          <w:tcPr>
            <w:tcW w:w="1874" w:type="dxa"/>
            <w:tcBorders>
              <w:left w:val="single" w:sz="12" w:space="0" w:color="156082" w:themeColor="accent1"/>
            </w:tcBorders>
            <w:shd w:val="clear" w:color="auto" w:fill="E8E8E8" w:themeFill="background2"/>
          </w:tcPr>
          <w:p w14:paraId="1C87785C" w14:textId="77777777" w:rsidR="00841CDF" w:rsidRPr="005B05B3" w:rsidRDefault="00841CDF" w:rsidP="00B451FB">
            <w:pPr>
              <w:pStyle w:val="Default"/>
              <w:spacing w:beforeLines="60" w:before="144" w:afterLines="60" w:after="144"/>
              <w:rPr>
                <w:rFonts w:ascii="Aptos" w:hAnsi="Aptos" w:cstheme="minorHAnsi"/>
                <w:color w:val="000000" w:themeColor="text1"/>
                <w:sz w:val="20"/>
                <w:szCs w:val="20"/>
              </w:rPr>
            </w:pPr>
            <w:r w:rsidRPr="005B05B3">
              <w:rPr>
                <w:rFonts w:ascii="Aptos" w:hAnsi="Aptos" w:cstheme="minorHAnsi"/>
                <w:color w:val="000000" w:themeColor="text1"/>
                <w:sz w:val="20"/>
                <w:szCs w:val="20"/>
              </w:rPr>
              <w:t>Supports delivered in high-risk settings, such as daily living supports delivered in formal closed settings like group homes.  Including those operated by sole traders, where applicable.</w:t>
            </w:r>
          </w:p>
        </w:tc>
        <w:tc>
          <w:tcPr>
            <w:tcW w:w="1670" w:type="dxa"/>
            <w:shd w:val="clear" w:color="auto" w:fill="FFFFFF" w:themeFill="background1"/>
          </w:tcPr>
          <w:p w14:paraId="142126CF" w14:textId="77777777" w:rsidR="00841CDF" w:rsidRPr="005B05B3" w:rsidRDefault="00841CDF" w:rsidP="00B451FB">
            <w:pPr>
              <w:pStyle w:val="Default"/>
              <w:spacing w:beforeLines="60" w:before="144" w:afterLines="60" w:after="144"/>
              <w:rPr>
                <w:rFonts w:ascii="Aptos" w:hAnsi="Aptos" w:cstheme="minorHAnsi"/>
                <w:color w:val="000000" w:themeColor="text1"/>
                <w:sz w:val="20"/>
                <w:szCs w:val="20"/>
              </w:rPr>
            </w:pPr>
            <w:r w:rsidRPr="005B05B3">
              <w:rPr>
                <w:rFonts w:ascii="Aptos" w:hAnsi="Aptos" w:cstheme="minorHAnsi"/>
                <w:color w:val="000000" w:themeColor="text1"/>
                <w:sz w:val="20"/>
                <w:szCs w:val="20"/>
              </w:rPr>
              <w:t>High intensity supports (such as high intensity daily personal activities), supports that require additional skill and training (such as complex bowel care or injections), and supports involving significant 1:1 contact with people with disability. Including those operated by sole traders, where applicable.</w:t>
            </w:r>
          </w:p>
        </w:tc>
        <w:tc>
          <w:tcPr>
            <w:tcW w:w="1984" w:type="dxa"/>
            <w:shd w:val="clear" w:color="auto" w:fill="E8E8E8" w:themeFill="background2"/>
          </w:tcPr>
          <w:p w14:paraId="56DA8E51" w14:textId="77777777" w:rsidR="00841CDF" w:rsidRPr="005B05B3" w:rsidRDefault="00841CDF" w:rsidP="00B451FB">
            <w:pPr>
              <w:pStyle w:val="Default"/>
              <w:spacing w:beforeLines="60" w:before="144" w:afterLines="60" w:after="144"/>
              <w:rPr>
                <w:rFonts w:ascii="Aptos" w:hAnsi="Aptos" w:cstheme="minorHAnsi"/>
                <w:color w:val="000000" w:themeColor="text1"/>
                <w:sz w:val="20"/>
                <w:szCs w:val="20"/>
              </w:rPr>
            </w:pPr>
            <w:r w:rsidRPr="005B05B3">
              <w:rPr>
                <w:rFonts w:ascii="Aptos" w:hAnsi="Aptos" w:cstheme="minorHAnsi"/>
                <w:color w:val="000000" w:themeColor="text1"/>
                <w:sz w:val="20"/>
                <w:szCs w:val="20"/>
              </w:rPr>
              <w:t>Participants or their family member (for children under 18 years) or guardian or other legal authority directly employ and contract their own supports, including through independent contractors.</w:t>
            </w:r>
          </w:p>
        </w:tc>
        <w:tc>
          <w:tcPr>
            <w:tcW w:w="1701" w:type="dxa"/>
            <w:shd w:val="clear" w:color="auto" w:fill="FFFFFF" w:themeFill="background1"/>
          </w:tcPr>
          <w:p w14:paraId="19929F55" w14:textId="0970E9B5" w:rsidR="00841CDF" w:rsidRPr="005B05B3" w:rsidRDefault="00841CDF" w:rsidP="00B451FB">
            <w:pPr>
              <w:pStyle w:val="Default"/>
              <w:spacing w:beforeLines="60" w:before="144" w:afterLines="60" w:after="144"/>
              <w:rPr>
                <w:rFonts w:ascii="Aptos" w:hAnsi="Aptos" w:cstheme="minorHAnsi"/>
                <w:b/>
                <w:bCs/>
                <w:color w:val="000000" w:themeColor="text1"/>
                <w:sz w:val="20"/>
                <w:szCs w:val="20"/>
              </w:rPr>
            </w:pPr>
            <w:r w:rsidRPr="005B05B3">
              <w:rPr>
                <w:rFonts w:ascii="Aptos" w:hAnsi="Aptos" w:cstheme="minorHAnsi"/>
                <w:color w:val="000000" w:themeColor="text1"/>
                <w:sz w:val="20"/>
                <w:szCs w:val="20"/>
              </w:rPr>
              <w:t xml:space="preserve">Sole traders and supports such as social and community </w:t>
            </w:r>
            <w:r w:rsidR="006A7EA7" w:rsidRPr="005B05B3">
              <w:rPr>
                <w:rFonts w:ascii="Aptos" w:hAnsi="Aptos" w:cstheme="minorHAnsi"/>
                <w:color w:val="000000" w:themeColor="text1"/>
                <w:sz w:val="20"/>
                <w:szCs w:val="20"/>
              </w:rPr>
              <w:t>participation and</w:t>
            </w:r>
            <w:r w:rsidRPr="005B05B3">
              <w:rPr>
                <w:rFonts w:ascii="Aptos" w:hAnsi="Aptos" w:cstheme="minorHAnsi"/>
                <w:color w:val="000000" w:themeColor="text1"/>
                <w:sz w:val="20"/>
                <w:szCs w:val="20"/>
              </w:rPr>
              <w:t xml:space="preserve"> supports involving more limited 1:1 contact with people with disability. </w:t>
            </w:r>
          </w:p>
        </w:tc>
        <w:tc>
          <w:tcPr>
            <w:tcW w:w="1701" w:type="dxa"/>
            <w:shd w:val="clear" w:color="auto" w:fill="E8E8E8" w:themeFill="background2"/>
          </w:tcPr>
          <w:p w14:paraId="28F7348E" w14:textId="15A898EF" w:rsidR="00841CDF" w:rsidRPr="005B05B3" w:rsidRDefault="00841CDF" w:rsidP="00B451FB">
            <w:pPr>
              <w:pStyle w:val="Default"/>
              <w:spacing w:beforeLines="60" w:before="144" w:afterLines="60" w:after="144"/>
              <w:rPr>
                <w:rFonts w:ascii="Aptos" w:hAnsi="Aptos" w:cstheme="minorHAnsi"/>
                <w:color w:val="000000" w:themeColor="text1"/>
                <w:sz w:val="20"/>
                <w:szCs w:val="20"/>
              </w:rPr>
            </w:pPr>
            <w:r w:rsidRPr="005B05B3">
              <w:rPr>
                <w:rFonts w:ascii="Aptos" w:hAnsi="Aptos" w:cstheme="minorHAnsi"/>
                <w:color w:val="000000" w:themeColor="text1"/>
                <w:sz w:val="20"/>
                <w:szCs w:val="20"/>
              </w:rPr>
              <w:t xml:space="preserve">Standard goods purchased through mainstream retailers </w:t>
            </w:r>
            <w:r w:rsidR="00FA6E5F">
              <w:rPr>
                <w:rFonts w:ascii="Aptos" w:hAnsi="Aptos" w:cstheme="minorHAnsi"/>
                <w:color w:val="000000" w:themeColor="text1"/>
                <w:sz w:val="20"/>
                <w:szCs w:val="20"/>
              </w:rPr>
              <w:t>(</w:t>
            </w:r>
            <w:r w:rsidR="00BB4FFF" w:rsidRPr="005B05B3">
              <w:rPr>
                <w:rFonts w:ascii="Aptos" w:hAnsi="Aptos" w:cstheme="minorHAnsi"/>
                <w:color w:val="000000" w:themeColor="text1"/>
                <w:sz w:val="20"/>
                <w:szCs w:val="20"/>
              </w:rPr>
              <w:t>e.g.</w:t>
            </w:r>
            <w:r w:rsidRPr="005B05B3">
              <w:rPr>
                <w:rFonts w:ascii="Aptos" w:hAnsi="Aptos" w:cstheme="minorHAnsi"/>
                <w:color w:val="000000" w:themeColor="text1"/>
                <w:sz w:val="20"/>
                <w:szCs w:val="20"/>
              </w:rPr>
              <w:t xml:space="preserve"> a ramp from Hardware stores; headphones from electronics store.</w:t>
            </w:r>
            <w:r w:rsidR="00FA6E5F">
              <w:rPr>
                <w:rFonts w:ascii="Aptos" w:hAnsi="Aptos" w:cstheme="minorHAnsi"/>
                <w:color w:val="000000" w:themeColor="text1"/>
                <w:sz w:val="20"/>
                <w:szCs w:val="20"/>
              </w:rPr>
              <w:t>)</w:t>
            </w:r>
          </w:p>
        </w:tc>
      </w:tr>
      <w:tr w:rsidR="00841CDF" w:rsidRPr="005B05B3" w14:paraId="2A48356C" w14:textId="77777777" w:rsidTr="00F45A2D">
        <w:trPr>
          <w:trHeight w:val="300"/>
        </w:trPr>
        <w:tc>
          <w:tcPr>
            <w:tcW w:w="1418" w:type="dxa"/>
            <w:tcBorders>
              <w:right w:val="single" w:sz="12" w:space="0" w:color="156082" w:themeColor="accent1"/>
            </w:tcBorders>
            <w:shd w:val="clear" w:color="auto" w:fill="FFFFFF" w:themeFill="background1"/>
          </w:tcPr>
          <w:p w14:paraId="7D21AC92" w14:textId="77777777" w:rsidR="00841CDF" w:rsidRPr="005B05B3" w:rsidRDefault="00841CDF" w:rsidP="00B451FB">
            <w:pPr>
              <w:pStyle w:val="BodyText"/>
              <w:spacing w:beforeLines="60" w:before="144" w:afterLines="60" w:after="144" w:line="240" w:lineRule="auto"/>
              <w:rPr>
                <w:rFonts w:eastAsiaTheme="minorEastAsia" w:cstheme="minorHAnsi"/>
                <w:b/>
                <w:w w:val="0"/>
                <w:sz w:val="20"/>
                <w:szCs w:val="20"/>
              </w:rPr>
            </w:pPr>
            <w:r w:rsidRPr="005B05B3">
              <w:rPr>
                <w:rFonts w:eastAsiaTheme="minorEastAsia" w:cstheme="minorHAnsi"/>
                <w:b/>
                <w:sz w:val="20"/>
                <w:szCs w:val="20"/>
              </w:rPr>
              <w:t>Code of Conduct</w:t>
            </w:r>
          </w:p>
        </w:tc>
        <w:tc>
          <w:tcPr>
            <w:tcW w:w="1874" w:type="dxa"/>
            <w:tcBorders>
              <w:left w:val="single" w:sz="12" w:space="0" w:color="156082" w:themeColor="accent1"/>
            </w:tcBorders>
            <w:shd w:val="clear" w:color="auto" w:fill="E8E8E8" w:themeFill="background2"/>
          </w:tcPr>
          <w:p w14:paraId="0FE657A0"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Yes</w:t>
            </w:r>
          </w:p>
        </w:tc>
        <w:tc>
          <w:tcPr>
            <w:tcW w:w="1670" w:type="dxa"/>
            <w:shd w:val="clear" w:color="auto" w:fill="FFFFFF" w:themeFill="background1"/>
          </w:tcPr>
          <w:p w14:paraId="12BC4EE6"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Yes</w:t>
            </w:r>
          </w:p>
        </w:tc>
        <w:tc>
          <w:tcPr>
            <w:tcW w:w="1984" w:type="dxa"/>
            <w:shd w:val="clear" w:color="auto" w:fill="E8E8E8" w:themeFill="background2"/>
          </w:tcPr>
          <w:p w14:paraId="5D2B82C1"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Yes</w:t>
            </w:r>
          </w:p>
        </w:tc>
        <w:tc>
          <w:tcPr>
            <w:tcW w:w="1701" w:type="dxa"/>
            <w:shd w:val="clear" w:color="auto" w:fill="FFFFFF" w:themeFill="background1"/>
          </w:tcPr>
          <w:p w14:paraId="6943FE9A"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Yes</w:t>
            </w:r>
          </w:p>
        </w:tc>
        <w:tc>
          <w:tcPr>
            <w:tcW w:w="1701" w:type="dxa"/>
            <w:shd w:val="clear" w:color="auto" w:fill="E8E8E8" w:themeFill="background2"/>
          </w:tcPr>
          <w:p w14:paraId="708B47A3"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No</w:t>
            </w:r>
          </w:p>
        </w:tc>
      </w:tr>
      <w:tr w:rsidR="00841CDF" w:rsidRPr="005B05B3" w14:paraId="3DF5230A" w14:textId="77777777" w:rsidTr="00F45A2D">
        <w:trPr>
          <w:trHeight w:val="300"/>
        </w:trPr>
        <w:tc>
          <w:tcPr>
            <w:tcW w:w="1418" w:type="dxa"/>
            <w:tcBorders>
              <w:right w:val="single" w:sz="12" w:space="0" w:color="156082" w:themeColor="accent1"/>
            </w:tcBorders>
            <w:shd w:val="clear" w:color="auto" w:fill="FFFFFF" w:themeFill="background1"/>
          </w:tcPr>
          <w:p w14:paraId="2F3637CB" w14:textId="77777777" w:rsidR="00841CDF" w:rsidRPr="005B05B3" w:rsidRDefault="00841CDF" w:rsidP="00B451FB">
            <w:pPr>
              <w:pStyle w:val="BodyText"/>
              <w:spacing w:beforeLines="60" w:before="144" w:afterLines="60" w:after="144" w:line="240" w:lineRule="auto"/>
              <w:rPr>
                <w:rFonts w:eastAsiaTheme="minorEastAsia" w:cstheme="minorHAnsi"/>
                <w:b/>
                <w:w w:val="0"/>
                <w:sz w:val="20"/>
                <w:szCs w:val="20"/>
              </w:rPr>
            </w:pPr>
            <w:r w:rsidRPr="005B05B3">
              <w:rPr>
                <w:rFonts w:eastAsiaTheme="minorEastAsia" w:cstheme="minorHAnsi"/>
                <w:b/>
                <w:sz w:val="20"/>
                <w:szCs w:val="20"/>
              </w:rPr>
              <w:t>Worker screening (Action 17.4)</w:t>
            </w:r>
          </w:p>
        </w:tc>
        <w:tc>
          <w:tcPr>
            <w:tcW w:w="1874" w:type="dxa"/>
            <w:tcBorders>
              <w:left w:val="single" w:sz="12" w:space="0" w:color="156082" w:themeColor="accent1"/>
            </w:tcBorders>
            <w:shd w:val="clear" w:color="auto" w:fill="E8E8E8" w:themeFill="background2"/>
          </w:tcPr>
          <w:p w14:paraId="4E072C21"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Yes</w:t>
            </w:r>
          </w:p>
          <w:p w14:paraId="0434CF79" w14:textId="77777777" w:rsidR="00841CDF" w:rsidRPr="005B05B3" w:rsidRDefault="00841CDF" w:rsidP="00B451FB">
            <w:pPr>
              <w:pStyle w:val="ListBullet"/>
              <w:numPr>
                <w:ilvl w:val="0"/>
                <w:numId w:val="0"/>
              </w:numPr>
              <w:spacing w:beforeLines="60" w:before="144" w:afterLines="60" w:after="144" w:line="240" w:lineRule="auto"/>
              <w:ind w:left="31" w:hanging="31"/>
              <w:rPr>
                <w:rFonts w:eastAsiaTheme="minorEastAsia" w:cstheme="minorHAnsi"/>
                <w:w w:val="0"/>
                <w:sz w:val="20"/>
                <w:szCs w:val="20"/>
              </w:rPr>
            </w:pPr>
            <w:r w:rsidRPr="005B05B3">
              <w:rPr>
                <w:rFonts w:eastAsiaTheme="minorEastAsia" w:cstheme="minorHAnsi"/>
                <w:sz w:val="20"/>
                <w:szCs w:val="20"/>
              </w:rPr>
              <w:t>Workers in risk-assessed roles.</w:t>
            </w:r>
          </w:p>
        </w:tc>
        <w:tc>
          <w:tcPr>
            <w:tcW w:w="1670" w:type="dxa"/>
            <w:shd w:val="clear" w:color="auto" w:fill="FFFFFF" w:themeFill="background1"/>
          </w:tcPr>
          <w:p w14:paraId="7908147E"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Yes</w:t>
            </w:r>
          </w:p>
          <w:p w14:paraId="4607272D" w14:textId="77777777" w:rsidR="00841CDF" w:rsidRPr="005B05B3" w:rsidRDefault="00841CDF" w:rsidP="00B451FB">
            <w:pPr>
              <w:pStyle w:val="ListBullet"/>
              <w:numPr>
                <w:ilvl w:val="0"/>
                <w:numId w:val="0"/>
              </w:numPr>
              <w:spacing w:beforeLines="60" w:before="144" w:afterLines="60" w:after="144" w:line="240" w:lineRule="auto"/>
              <w:ind w:left="31" w:hanging="31"/>
              <w:rPr>
                <w:rFonts w:eastAsiaTheme="minorEastAsia" w:cstheme="minorHAnsi"/>
                <w:w w:val="0"/>
                <w:sz w:val="20"/>
                <w:szCs w:val="20"/>
              </w:rPr>
            </w:pPr>
            <w:r w:rsidRPr="005B05B3">
              <w:rPr>
                <w:rFonts w:eastAsiaTheme="minorEastAsia" w:cstheme="minorHAnsi"/>
                <w:sz w:val="20"/>
                <w:szCs w:val="20"/>
              </w:rPr>
              <w:t>Workers in risk-assessed roles.</w:t>
            </w:r>
          </w:p>
        </w:tc>
        <w:tc>
          <w:tcPr>
            <w:tcW w:w="1984" w:type="dxa"/>
            <w:shd w:val="clear" w:color="auto" w:fill="E8E8E8" w:themeFill="background2"/>
          </w:tcPr>
          <w:p w14:paraId="346A6E49" w14:textId="3C113F4B" w:rsidR="00841CDF" w:rsidRPr="005B05B3" w:rsidRDefault="00DF6ADE" w:rsidP="00B451FB">
            <w:pPr>
              <w:pStyle w:val="BodyText"/>
              <w:spacing w:beforeLines="60" w:before="144" w:afterLines="60" w:after="144" w:line="240" w:lineRule="auto"/>
              <w:rPr>
                <w:rFonts w:eastAsiaTheme="minorEastAsia" w:cstheme="minorHAnsi"/>
                <w:sz w:val="20"/>
                <w:szCs w:val="20"/>
              </w:rPr>
            </w:pPr>
            <w:r w:rsidRPr="00DF6ADE">
              <w:rPr>
                <w:rFonts w:eastAsiaTheme="minorEastAsia" w:cstheme="minorHAnsi"/>
                <w:sz w:val="20"/>
                <w:szCs w:val="20"/>
              </w:rPr>
              <w:t xml:space="preserve">Decisions related to worker screening requirements need to be considered in context of services </w:t>
            </w:r>
            <w:r w:rsidRPr="00DF6ADE">
              <w:rPr>
                <w:rFonts w:eastAsiaTheme="minorEastAsia" w:cstheme="minorHAnsi"/>
                <w:sz w:val="20"/>
                <w:szCs w:val="20"/>
              </w:rPr>
              <w:lastRenderedPageBreak/>
              <w:t>for one/ self-directed supports. Consultation required.</w:t>
            </w:r>
          </w:p>
        </w:tc>
        <w:tc>
          <w:tcPr>
            <w:tcW w:w="1701" w:type="dxa"/>
            <w:shd w:val="clear" w:color="auto" w:fill="FFFFFF" w:themeFill="background1"/>
          </w:tcPr>
          <w:p w14:paraId="7215B69D" w14:textId="1510A502" w:rsidR="00841CDF" w:rsidRPr="005B05B3" w:rsidRDefault="00BA147D" w:rsidP="00B451FB">
            <w:pPr>
              <w:pStyle w:val="BodyText"/>
              <w:spacing w:beforeLines="60" w:before="144" w:afterLines="60" w:after="144" w:line="240" w:lineRule="auto"/>
              <w:rPr>
                <w:rFonts w:eastAsiaTheme="minorEastAsia" w:cstheme="minorHAnsi"/>
                <w:w w:val="0"/>
                <w:sz w:val="20"/>
                <w:szCs w:val="20"/>
              </w:rPr>
            </w:pPr>
            <w:r>
              <w:rPr>
                <w:rFonts w:eastAsiaTheme="minorEastAsia" w:cstheme="minorHAnsi"/>
                <w:sz w:val="20"/>
                <w:szCs w:val="20"/>
              </w:rPr>
              <w:lastRenderedPageBreak/>
              <w:t>No</w:t>
            </w:r>
          </w:p>
          <w:p w14:paraId="460BABE8" w14:textId="5B913414" w:rsidR="00841CDF" w:rsidRPr="005B05B3" w:rsidRDefault="00841CDF" w:rsidP="00B451FB">
            <w:pPr>
              <w:pStyle w:val="ListBullet"/>
              <w:numPr>
                <w:ilvl w:val="0"/>
                <w:numId w:val="0"/>
              </w:numPr>
              <w:spacing w:beforeLines="60" w:before="144" w:afterLines="60" w:after="144" w:line="240" w:lineRule="auto"/>
              <w:ind w:left="31" w:hanging="31"/>
              <w:rPr>
                <w:rFonts w:eastAsiaTheme="minorEastAsia" w:cstheme="minorHAnsi"/>
                <w:w w:val="0"/>
                <w:sz w:val="20"/>
                <w:szCs w:val="20"/>
              </w:rPr>
            </w:pPr>
          </w:p>
        </w:tc>
        <w:tc>
          <w:tcPr>
            <w:tcW w:w="1701" w:type="dxa"/>
            <w:shd w:val="clear" w:color="auto" w:fill="E8E8E8" w:themeFill="background2"/>
          </w:tcPr>
          <w:p w14:paraId="48CEBB52"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No</w:t>
            </w:r>
          </w:p>
        </w:tc>
      </w:tr>
      <w:tr w:rsidR="00841CDF" w:rsidRPr="005B05B3" w14:paraId="58EF78B4" w14:textId="77777777" w:rsidTr="00F45A2D">
        <w:trPr>
          <w:trHeight w:val="300"/>
        </w:trPr>
        <w:tc>
          <w:tcPr>
            <w:tcW w:w="1418" w:type="dxa"/>
            <w:tcBorders>
              <w:right w:val="single" w:sz="12" w:space="0" w:color="156082" w:themeColor="accent1"/>
            </w:tcBorders>
            <w:shd w:val="clear" w:color="auto" w:fill="FFFFFF" w:themeFill="background1"/>
          </w:tcPr>
          <w:p w14:paraId="004DFFD8" w14:textId="77777777" w:rsidR="00841CDF" w:rsidRPr="005B05B3" w:rsidRDefault="00841CDF" w:rsidP="00B451FB">
            <w:pPr>
              <w:pStyle w:val="BodyText"/>
              <w:spacing w:beforeLines="60" w:before="144" w:afterLines="60" w:after="144" w:line="240" w:lineRule="auto"/>
              <w:rPr>
                <w:rFonts w:eastAsiaTheme="minorEastAsia" w:cstheme="minorHAnsi"/>
                <w:b/>
                <w:w w:val="0"/>
                <w:sz w:val="20"/>
                <w:szCs w:val="20"/>
              </w:rPr>
            </w:pPr>
            <w:r w:rsidRPr="005B05B3">
              <w:rPr>
                <w:rFonts w:eastAsiaTheme="minorEastAsia" w:cstheme="minorHAnsi"/>
                <w:b/>
                <w:sz w:val="20"/>
                <w:szCs w:val="20"/>
              </w:rPr>
              <w:t>Subject to complaints process</w:t>
            </w:r>
          </w:p>
        </w:tc>
        <w:tc>
          <w:tcPr>
            <w:tcW w:w="1874" w:type="dxa"/>
            <w:tcBorders>
              <w:left w:val="single" w:sz="12" w:space="0" w:color="156082" w:themeColor="accent1"/>
            </w:tcBorders>
            <w:shd w:val="clear" w:color="auto" w:fill="E8E8E8" w:themeFill="background2"/>
          </w:tcPr>
          <w:p w14:paraId="4B5CA057"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Yes</w:t>
            </w:r>
          </w:p>
        </w:tc>
        <w:tc>
          <w:tcPr>
            <w:tcW w:w="1670" w:type="dxa"/>
            <w:shd w:val="clear" w:color="auto" w:fill="FFFFFF" w:themeFill="background1"/>
          </w:tcPr>
          <w:p w14:paraId="3B7FFD27"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Yes</w:t>
            </w:r>
          </w:p>
        </w:tc>
        <w:tc>
          <w:tcPr>
            <w:tcW w:w="1984" w:type="dxa"/>
            <w:shd w:val="clear" w:color="auto" w:fill="E8E8E8" w:themeFill="background2"/>
          </w:tcPr>
          <w:p w14:paraId="381F9756" w14:textId="0C74A858" w:rsidR="00841CDF" w:rsidRPr="005B05B3" w:rsidRDefault="002D2BEA" w:rsidP="00B451FB">
            <w:pPr>
              <w:pStyle w:val="BodyText"/>
              <w:spacing w:beforeLines="60" w:before="144" w:afterLines="60" w:after="144" w:line="240" w:lineRule="auto"/>
              <w:rPr>
                <w:rFonts w:eastAsiaTheme="minorEastAsia" w:cstheme="minorHAnsi"/>
                <w:sz w:val="20"/>
                <w:szCs w:val="20"/>
              </w:rPr>
            </w:pPr>
            <w:r w:rsidRPr="002D2BEA">
              <w:rPr>
                <w:rFonts w:eastAsiaTheme="minorEastAsia" w:cstheme="minorHAnsi"/>
                <w:sz w:val="20"/>
                <w:szCs w:val="20"/>
              </w:rPr>
              <w:t>Decisions related to the complaints process needs to be considered in the context of services for one/ self-directed supports. Consultation required.</w:t>
            </w:r>
          </w:p>
        </w:tc>
        <w:tc>
          <w:tcPr>
            <w:tcW w:w="1701" w:type="dxa"/>
            <w:shd w:val="clear" w:color="auto" w:fill="FFFFFF" w:themeFill="background1"/>
          </w:tcPr>
          <w:p w14:paraId="2EFD93BD"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Yes</w:t>
            </w:r>
          </w:p>
        </w:tc>
        <w:tc>
          <w:tcPr>
            <w:tcW w:w="1701" w:type="dxa"/>
            <w:shd w:val="clear" w:color="auto" w:fill="E8E8E8" w:themeFill="background2"/>
          </w:tcPr>
          <w:p w14:paraId="511976CD"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No (normal consumer protection applies)</w:t>
            </w:r>
          </w:p>
        </w:tc>
      </w:tr>
      <w:tr w:rsidR="00841CDF" w:rsidRPr="005B05B3" w14:paraId="5EB992B9" w14:textId="77777777" w:rsidTr="00F45A2D">
        <w:trPr>
          <w:trHeight w:val="300"/>
        </w:trPr>
        <w:tc>
          <w:tcPr>
            <w:tcW w:w="1418" w:type="dxa"/>
            <w:tcBorders>
              <w:right w:val="single" w:sz="12" w:space="0" w:color="156082" w:themeColor="accent1"/>
            </w:tcBorders>
            <w:shd w:val="clear" w:color="auto" w:fill="FFFFFF" w:themeFill="background1"/>
          </w:tcPr>
          <w:p w14:paraId="75F6703F" w14:textId="77777777" w:rsidR="00841CDF" w:rsidRPr="005B05B3" w:rsidRDefault="00841CDF" w:rsidP="00B451FB">
            <w:pPr>
              <w:pStyle w:val="BodyText"/>
              <w:spacing w:beforeLines="60" w:before="144" w:afterLines="60" w:after="144" w:line="240" w:lineRule="auto"/>
              <w:rPr>
                <w:rFonts w:eastAsiaTheme="minorEastAsia" w:cstheme="minorHAnsi"/>
                <w:b/>
                <w:w w:val="0"/>
                <w:sz w:val="20"/>
                <w:szCs w:val="20"/>
              </w:rPr>
            </w:pPr>
            <w:r w:rsidRPr="005B05B3">
              <w:rPr>
                <w:rFonts w:eastAsiaTheme="minorEastAsia" w:cstheme="minorHAnsi"/>
                <w:b/>
                <w:sz w:val="20"/>
                <w:szCs w:val="20"/>
              </w:rPr>
              <w:t>Report incidents</w:t>
            </w:r>
          </w:p>
        </w:tc>
        <w:tc>
          <w:tcPr>
            <w:tcW w:w="1874" w:type="dxa"/>
            <w:tcBorders>
              <w:left w:val="single" w:sz="12" w:space="0" w:color="156082" w:themeColor="accent1"/>
            </w:tcBorders>
            <w:shd w:val="clear" w:color="auto" w:fill="E8E8E8" w:themeFill="background2"/>
          </w:tcPr>
          <w:p w14:paraId="0A3D1F72"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Yes</w:t>
            </w:r>
          </w:p>
        </w:tc>
        <w:tc>
          <w:tcPr>
            <w:tcW w:w="1670" w:type="dxa"/>
            <w:shd w:val="clear" w:color="auto" w:fill="FFFFFF" w:themeFill="background1"/>
          </w:tcPr>
          <w:p w14:paraId="65EC03F2"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Yes</w:t>
            </w:r>
          </w:p>
        </w:tc>
        <w:tc>
          <w:tcPr>
            <w:tcW w:w="1984" w:type="dxa"/>
            <w:shd w:val="clear" w:color="auto" w:fill="E8E8E8" w:themeFill="background2"/>
          </w:tcPr>
          <w:p w14:paraId="2A604936" w14:textId="111945F7" w:rsidR="00841CDF" w:rsidRPr="005B05B3" w:rsidRDefault="00A7750B" w:rsidP="00B451FB">
            <w:pPr>
              <w:pStyle w:val="BodyText"/>
              <w:spacing w:beforeLines="60" w:before="144" w:afterLines="60" w:after="144" w:line="240" w:lineRule="auto"/>
              <w:rPr>
                <w:rFonts w:eastAsiaTheme="minorEastAsia" w:cstheme="minorHAnsi"/>
                <w:sz w:val="20"/>
                <w:szCs w:val="20"/>
              </w:rPr>
            </w:pPr>
            <w:r w:rsidRPr="00A7750B">
              <w:rPr>
                <w:rFonts w:eastAsiaTheme="minorEastAsia" w:cstheme="minorHAnsi"/>
                <w:sz w:val="20"/>
                <w:szCs w:val="20"/>
              </w:rPr>
              <w:t>Decisions related to how incidents are reports need to be determined on consultation with services for one/ self-directed supports. Consultation required</w:t>
            </w:r>
          </w:p>
        </w:tc>
        <w:tc>
          <w:tcPr>
            <w:tcW w:w="1701" w:type="dxa"/>
            <w:shd w:val="clear" w:color="auto" w:fill="FFFFFF" w:themeFill="background1"/>
          </w:tcPr>
          <w:p w14:paraId="4AE55E7B"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Yes</w:t>
            </w:r>
          </w:p>
        </w:tc>
        <w:tc>
          <w:tcPr>
            <w:tcW w:w="1701" w:type="dxa"/>
            <w:shd w:val="clear" w:color="auto" w:fill="E8E8E8" w:themeFill="background2"/>
          </w:tcPr>
          <w:p w14:paraId="5C66618F"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No</w:t>
            </w:r>
          </w:p>
        </w:tc>
      </w:tr>
      <w:tr w:rsidR="00841CDF" w:rsidRPr="005B05B3" w14:paraId="215DB7B7" w14:textId="77777777" w:rsidTr="00F45A2D">
        <w:trPr>
          <w:trHeight w:val="300"/>
        </w:trPr>
        <w:tc>
          <w:tcPr>
            <w:tcW w:w="1418" w:type="dxa"/>
            <w:tcBorders>
              <w:right w:val="single" w:sz="12" w:space="0" w:color="156082" w:themeColor="accent1"/>
            </w:tcBorders>
            <w:shd w:val="clear" w:color="auto" w:fill="FFFFFF" w:themeFill="background1"/>
          </w:tcPr>
          <w:p w14:paraId="103EB301" w14:textId="77777777" w:rsidR="00841CDF" w:rsidRPr="005B05B3" w:rsidRDefault="00841CDF" w:rsidP="00B451FB">
            <w:pPr>
              <w:pStyle w:val="BodyText"/>
              <w:spacing w:beforeLines="60" w:before="144" w:afterLines="60" w:after="144" w:line="240" w:lineRule="auto"/>
              <w:rPr>
                <w:rFonts w:eastAsiaTheme="minorEastAsia" w:cstheme="minorHAnsi"/>
                <w:b/>
                <w:w w:val="0"/>
                <w:sz w:val="20"/>
                <w:szCs w:val="20"/>
              </w:rPr>
            </w:pPr>
            <w:r w:rsidRPr="005B05B3">
              <w:rPr>
                <w:rFonts w:eastAsiaTheme="minorEastAsia" w:cstheme="minorHAnsi"/>
                <w:b/>
                <w:sz w:val="20"/>
                <w:szCs w:val="20"/>
              </w:rPr>
              <w:t>Practice Standards</w:t>
            </w:r>
          </w:p>
        </w:tc>
        <w:tc>
          <w:tcPr>
            <w:tcW w:w="1874" w:type="dxa"/>
            <w:tcBorders>
              <w:left w:val="single" w:sz="12" w:space="0" w:color="156082" w:themeColor="accent1"/>
            </w:tcBorders>
            <w:shd w:val="clear" w:color="auto" w:fill="E8E8E8" w:themeFill="background2"/>
          </w:tcPr>
          <w:p w14:paraId="5065E123"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Yes</w:t>
            </w:r>
          </w:p>
          <w:p w14:paraId="6F7AE942" w14:textId="77777777" w:rsidR="00841CDF" w:rsidRPr="005B05B3" w:rsidRDefault="00841CDF" w:rsidP="00B451FB">
            <w:pPr>
              <w:pStyle w:val="ListBullet"/>
              <w:numPr>
                <w:ilvl w:val="0"/>
                <w:numId w:val="0"/>
              </w:numPr>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General standards and support-specific standards for all support types.</w:t>
            </w:r>
          </w:p>
        </w:tc>
        <w:tc>
          <w:tcPr>
            <w:tcW w:w="1670" w:type="dxa"/>
            <w:shd w:val="clear" w:color="auto" w:fill="FFFFFF" w:themeFill="background1"/>
          </w:tcPr>
          <w:p w14:paraId="5953783E"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Yes</w:t>
            </w:r>
          </w:p>
          <w:p w14:paraId="7238D8AF" w14:textId="77777777" w:rsidR="00841CDF" w:rsidRPr="005B05B3" w:rsidRDefault="00841CDF" w:rsidP="00B451FB">
            <w:pPr>
              <w:pStyle w:val="ListBullet"/>
              <w:numPr>
                <w:ilvl w:val="0"/>
                <w:numId w:val="0"/>
              </w:numPr>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General standards for all support types and support-specific standards where needed.</w:t>
            </w:r>
          </w:p>
        </w:tc>
        <w:tc>
          <w:tcPr>
            <w:tcW w:w="1984" w:type="dxa"/>
            <w:shd w:val="clear" w:color="auto" w:fill="E8E8E8" w:themeFill="background2"/>
          </w:tcPr>
          <w:p w14:paraId="09DD9C93"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No</w:t>
            </w:r>
          </w:p>
          <w:p w14:paraId="15CC7591"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p>
        </w:tc>
        <w:tc>
          <w:tcPr>
            <w:tcW w:w="1701" w:type="dxa"/>
            <w:shd w:val="clear" w:color="auto" w:fill="FFFFFF" w:themeFill="background1"/>
          </w:tcPr>
          <w:p w14:paraId="5FC6FE10"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Yes</w:t>
            </w:r>
          </w:p>
          <w:p w14:paraId="700D831A" w14:textId="77777777" w:rsidR="00841CDF" w:rsidRPr="005B05B3" w:rsidRDefault="00841CDF" w:rsidP="00B451FB">
            <w:pPr>
              <w:pStyle w:val="ListBullet"/>
              <w:numPr>
                <w:ilvl w:val="0"/>
                <w:numId w:val="0"/>
              </w:numPr>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Simplified general standards for all support types.</w:t>
            </w:r>
          </w:p>
        </w:tc>
        <w:tc>
          <w:tcPr>
            <w:tcW w:w="1701" w:type="dxa"/>
            <w:shd w:val="clear" w:color="auto" w:fill="E8E8E8" w:themeFill="background2"/>
          </w:tcPr>
          <w:p w14:paraId="516B6DBC"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No</w:t>
            </w:r>
          </w:p>
        </w:tc>
      </w:tr>
      <w:tr w:rsidR="00841CDF" w:rsidRPr="005B05B3" w14:paraId="534F970E" w14:textId="77777777" w:rsidTr="00F45A2D">
        <w:trPr>
          <w:trHeight w:val="300"/>
        </w:trPr>
        <w:tc>
          <w:tcPr>
            <w:tcW w:w="1418" w:type="dxa"/>
            <w:tcBorders>
              <w:right w:val="single" w:sz="12" w:space="0" w:color="156082" w:themeColor="accent1"/>
            </w:tcBorders>
            <w:shd w:val="clear" w:color="auto" w:fill="FFFFFF" w:themeFill="background1"/>
          </w:tcPr>
          <w:p w14:paraId="235DA8F8" w14:textId="77777777" w:rsidR="00841CDF" w:rsidRPr="005B05B3" w:rsidRDefault="00841CDF" w:rsidP="00B451FB">
            <w:pPr>
              <w:pStyle w:val="BodyText"/>
              <w:spacing w:beforeLines="60" w:before="144" w:afterLines="60" w:after="144" w:line="240" w:lineRule="auto"/>
              <w:rPr>
                <w:rFonts w:eastAsiaTheme="minorEastAsia" w:cstheme="minorHAnsi"/>
                <w:b/>
                <w:sz w:val="20"/>
                <w:szCs w:val="20"/>
              </w:rPr>
            </w:pPr>
            <w:r w:rsidRPr="005B05B3">
              <w:rPr>
                <w:rFonts w:eastAsiaTheme="minorEastAsia" w:cstheme="minorHAnsi"/>
                <w:b/>
                <w:sz w:val="20"/>
                <w:szCs w:val="20"/>
              </w:rPr>
              <w:t>Check-ins with NDIS Commission</w:t>
            </w:r>
          </w:p>
        </w:tc>
        <w:tc>
          <w:tcPr>
            <w:tcW w:w="1874" w:type="dxa"/>
            <w:tcBorders>
              <w:left w:val="single" w:sz="12" w:space="0" w:color="156082" w:themeColor="accent1"/>
            </w:tcBorders>
            <w:shd w:val="clear" w:color="auto" w:fill="E8E8E8" w:themeFill="background2"/>
          </w:tcPr>
          <w:p w14:paraId="5B28027E"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 xml:space="preserve">No </w:t>
            </w:r>
          </w:p>
        </w:tc>
        <w:tc>
          <w:tcPr>
            <w:tcW w:w="1670" w:type="dxa"/>
            <w:shd w:val="clear" w:color="auto" w:fill="FFFFFF" w:themeFill="background1"/>
          </w:tcPr>
          <w:p w14:paraId="28F471CB"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 xml:space="preserve">No </w:t>
            </w:r>
          </w:p>
        </w:tc>
        <w:tc>
          <w:tcPr>
            <w:tcW w:w="1984" w:type="dxa"/>
            <w:shd w:val="clear" w:color="auto" w:fill="E8E8E8" w:themeFill="background2"/>
          </w:tcPr>
          <w:p w14:paraId="44BE404D"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Yes</w:t>
            </w:r>
          </w:p>
        </w:tc>
        <w:tc>
          <w:tcPr>
            <w:tcW w:w="1701" w:type="dxa"/>
            <w:shd w:val="clear" w:color="auto" w:fill="FFFFFF" w:themeFill="background1"/>
          </w:tcPr>
          <w:p w14:paraId="51B5B5B8"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No</w:t>
            </w:r>
          </w:p>
        </w:tc>
        <w:tc>
          <w:tcPr>
            <w:tcW w:w="1701" w:type="dxa"/>
            <w:shd w:val="clear" w:color="auto" w:fill="E8E8E8" w:themeFill="background2"/>
          </w:tcPr>
          <w:p w14:paraId="43093553"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 xml:space="preserve">No </w:t>
            </w:r>
          </w:p>
        </w:tc>
      </w:tr>
      <w:tr w:rsidR="00841CDF" w:rsidRPr="005B05B3" w14:paraId="20830711" w14:textId="77777777" w:rsidTr="00F45A2D">
        <w:trPr>
          <w:trHeight w:val="300"/>
        </w:trPr>
        <w:tc>
          <w:tcPr>
            <w:tcW w:w="1418" w:type="dxa"/>
            <w:tcBorders>
              <w:right w:val="single" w:sz="12" w:space="0" w:color="156082" w:themeColor="accent1"/>
            </w:tcBorders>
            <w:shd w:val="clear" w:color="auto" w:fill="FFFFFF" w:themeFill="background1"/>
          </w:tcPr>
          <w:p w14:paraId="2F62CF20" w14:textId="77777777" w:rsidR="00841CDF" w:rsidRPr="005B05B3" w:rsidRDefault="00841CDF" w:rsidP="00B451FB">
            <w:pPr>
              <w:pStyle w:val="BodyText"/>
              <w:spacing w:beforeLines="60" w:before="144" w:afterLines="60" w:after="144" w:line="240" w:lineRule="auto"/>
              <w:rPr>
                <w:rFonts w:eastAsiaTheme="minorEastAsia" w:cstheme="minorHAnsi"/>
                <w:b/>
                <w:w w:val="0"/>
                <w:sz w:val="20"/>
                <w:szCs w:val="20"/>
              </w:rPr>
            </w:pPr>
            <w:r w:rsidRPr="005B05B3">
              <w:rPr>
                <w:rFonts w:eastAsiaTheme="minorEastAsia" w:cstheme="minorHAnsi"/>
                <w:b/>
                <w:sz w:val="20"/>
                <w:szCs w:val="20"/>
              </w:rPr>
              <w:t>Performance measurement (Action 12.3)</w:t>
            </w:r>
          </w:p>
        </w:tc>
        <w:tc>
          <w:tcPr>
            <w:tcW w:w="1874" w:type="dxa"/>
            <w:tcBorders>
              <w:left w:val="single" w:sz="12" w:space="0" w:color="156082" w:themeColor="accent1"/>
            </w:tcBorders>
            <w:shd w:val="clear" w:color="auto" w:fill="E8E8E8" w:themeFill="background2"/>
          </w:tcPr>
          <w:p w14:paraId="7CB0CCB2"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Yes</w:t>
            </w:r>
          </w:p>
        </w:tc>
        <w:tc>
          <w:tcPr>
            <w:tcW w:w="1670" w:type="dxa"/>
            <w:shd w:val="clear" w:color="auto" w:fill="FFFFFF" w:themeFill="background1"/>
          </w:tcPr>
          <w:p w14:paraId="25A9D335"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Yes</w:t>
            </w:r>
          </w:p>
        </w:tc>
        <w:tc>
          <w:tcPr>
            <w:tcW w:w="1984" w:type="dxa"/>
            <w:shd w:val="clear" w:color="auto" w:fill="E8E8E8" w:themeFill="background2"/>
          </w:tcPr>
          <w:p w14:paraId="7F186C8B"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No (but on audit if necessary)</w:t>
            </w:r>
          </w:p>
        </w:tc>
        <w:tc>
          <w:tcPr>
            <w:tcW w:w="1701" w:type="dxa"/>
            <w:shd w:val="clear" w:color="auto" w:fill="FFFFFF" w:themeFill="background1"/>
          </w:tcPr>
          <w:p w14:paraId="67091DF5" w14:textId="77777777" w:rsidR="00841CDF" w:rsidRPr="005B05B3" w:rsidRDefault="00841CDF" w:rsidP="00B451FB">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Yes</w:t>
            </w:r>
          </w:p>
        </w:tc>
        <w:tc>
          <w:tcPr>
            <w:tcW w:w="1701" w:type="dxa"/>
            <w:shd w:val="clear" w:color="auto" w:fill="E8E8E8" w:themeFill="background2"/>
          </w:tcPr>
          <w:p w14:paraId="63CF3DCF"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No</w:t>
            </w:r>
          </w:p>
        </w:tc>
      </w:tr>
    </w:tbl>
    <w:p w14:paraId="22FB0C03" w14:textId="31F6046D" w:rsidR="0070148B" w:rsidRPr="0070148B" w:rsidRDefault="0070148B" w:rsidP="003C62E3">
      <w:pPr>
        <w:keepNext/>
        <w:spacing w:before="480" w:after="360"/>
        <w:ind w:left="-567"/>
      </w:pPr>
      <w:r w:rsidRPr="0070148B">
        <w:lastRenderedPageBreak/>
        <w:t xml:space="preserve">Table </w:t>
      </w:r>
      <w:r w:rsidRPr="0070148B">
        <w:fldChar w:fldCharType="begin"/>
      </w:r>
      <w:r w:rsidRPr="0070148B">
        <w:instrText xml:space="preserve"> SEQ Table \* ARABIC </w:instrText>
      </w:r>
      <w:r w:rsidRPr="0070148B">
        <w:fldChar w:fldCharType="separate"/>
      </w:r>
      <w:r w:rsidRPr="0070148B">
        <w:t>2</w:t>
      </w:r>
      <w:r w:rsidRPr="0070148B">
        <w:fldChar w:fldCharType="end"/>
      </w:r>
      <w:r w:rsidRPr="0070148B">
        <w:t>: Process</w:t>
      </w:r>
    </w:p>
    <w:tbl>
      <w:tblPr>
        <w:tblW w:w="103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Graduated and risk-proportionate provider registration and enrolment"/>
      </w:tblPr>
      <w:tblGrid>
        <w:gridCol w:w="1418"/>
        <w:gridCol w:w="1843"/>
        <w:gridCol w:w="1842"/>
        <w:gridCol w:w="1726"/>
        <w:gridCol w:w="1960"/>
        <w:gridCol w:w="1553"/>
      </w:tblGrid>
      <w:tr w:rsidR="00032972" w:rsidRPr="005B05B3" w14:paraId="22A3CF61" w14:textId="77777777" w:rsidTr="00F45A2D">
        <w:trPr>
          <w:trHeight w:val="300"/>
          <w:tblHeader/>
        </w:trPr>
        <w:tc>
          <w:tcPr>
            <w:tcW w:w="1418" w:type="dxa"/>
            <w:tcBorders>
              <w:top w:val="single" w:sz="4" w:space="0" w:color="auto"/>
              <w:left w:val="single" w:sz="4" w:space="0" w:color="auto"/>
              <w:bottom w:val="single" w:sz="18" w:space="0" w:color="156082" w:themeColor="accent1"/>
              <w:right w:val="single" w:sz="18" w:space="0" w:color="156082" w:themeColor="accent1"/>
            </w:tcBorders>
            <w:shd w:val="clear" w:color="auto" w:fill="FFFFFF" w:themeFill="background1"/>
          </w:tcPr>
          <w:p w14:paraId="3187DE26" w14:textId="331246AD" w:rsidR="00841CDF" w:rsidRPr="005B05B3" w:rsidRDefault="00F45A2D" w:rsidP="00B451FB">
            <w:pPr>
              <w:pStyle w:val="BodyText"/>
              <w:spacing w:beforeLines="60" w:before="144" w:afterLines="60" w:after="144" w:line="240" w:lineRule="auto"/>
              <w:rPr>
                <w:rFonts w:eastAsiaTheme="minorEastAsia" w:cstheme="minorHAnsi"/>
                <w:b/>
                <w:w w:val="0"/>
                <w:sz w:val="20"/>
                <w:szCs w:val="20"/>
              </w:rPr>
            </w:pPr>
            <w:r>
              <w:rPr>
                <w:rFonts w:eastAsiaTheme="minorEastAsia" w:cstheme="minorHAnsi"/>
                <w:b/>
                <w:w w:val="0"/>
                <w:sz w:val="20"/>
                <w:szCs w:val="20"/>
              </w:rPr>
              <w:t>Components</w:t>
            </w:r>
          </w:p>
        </w:tc>
        <w:tc>
          <w:tcPr>
            <w:tcW w:w="1843" w:type="dxa"/>
            <w:tcBorders>
              <w:top w:val="single" w:sz="4" w:space="0" w:color="auto"/>
              <w:left w:val="single" w:sz="18" w:space="0" w:color="156082" w:themeColor="accent1"/>
              <w:bottom w:val="single" w:sz="18" w:space="0" w:color="156082" w:themeColor="accent1"/>
              <w:right w:val="single" w:sz="4" w:space="0" w:color="auto"/>
            </w:tcBorders>
            <w:shd w:val="clear" w:color="auto" w:fill="E8E8E8" w:themeFill="background2"/>
          </w:tcPr>
          <w:p w14:paraId="44622129" w14:textId="77777777" w:rsidR="00841CDF" w:rsidRPr="005B05B3" w:rsidRDefault="00841CDF" w:rsidP="00B451FB">
            <w:pPr>
              <w:pStyle w:val="BodyText"/>
              <w:spacing w:beforeLines="60" w:before="144" w:afterLines="60" w:after="144" w:line="240" w:lineRule="auto"/>
              <w:rPr>
                <w:rFonts w:eastAsiaTheme="minorEastAsia" w:cstheme="minorHAnsi"/>
                <w:b/>
                <w:bCs/>
                <w:sz w:val="20"/>
                <w:szCs w:val="20"/>
              </w:rPr>
            </w:pPr>
            <w:r w:rsidRPr="005B05B3">
              <w:rPr>
                <w:rFonts w:eastAsiaTheme="minorEastAsia" w:cstheme="minorHAnsi"/>
                <w:b/>
                <w:bCs/>
                <w:color w:val="auto"/>
                <w:sz w:val="20"/>
                <w:szCs w:val="20"/>
              </w:rPr>
              <w:t>A. Advanced registration</w:t>
            </w:r>
          </w:p>
        </w:tc>
        <w:tc>
          <w:tcPr>
            <w:tcW w:w="1842" w:type="dxa"/>
            <w:tcBorders>
              <w:top w:val="single" w:sz="4" w:space="0" w:color="auto"/>
              <w:left w:val="single" w:sz="4" w:space="0" w:color="auto"/>
              <w:bottom w:val="single" w:sz="18" w:space="0" w:color="156082" w:themeColor="accent1"/>
              <w:right w:val="single" w:sz="4" w:space="0" w:color="auto"/>
            </w:tcBorders>
            <w:shd w:val="clear" w:color="auto" w:fill="FFFFFF" w:themeFill="background1"/>
          </w:tcPr>
          <w:p w14:paraId="039EF512" w14:textId="77777777" w:rsidR="00841CDF" w:rsidRPr="005B05B3" w:rsidRDefault="00841CDF" w:rsidP="00B451FB">
            <w:pPr>
              <w:pStyle w:val="BodyText"/>
              <w:spacing w:beforeLines="60" w:before="144" w:afterLines="60" w:after="144" w:line="240" w:lineRule="auto"/>
              <w:rPr>
                <w:rFonts w:eastAsiaTheme="minorEastAsia" w:cstheme="minorHAnsi"/>
                <w:b/>
                <w:bCs/>
                <w:sz w:val="20"/>
                <w:szCs w:val="20"/>
              </w:rPr>
            </w:pPr>
            <w:r w:rsidRPr="005B05B3">
              <w:rPr>
                <w:rFonts w:eastAsiaTheme="minorEastAsia" w:cstheme="minorHAnsi"/>
                <w:b/>
                <w:bCs/>
                <w:color w:val="auto"/>
                <w:sz w:val="20"/>
                <w:szCs w:val="20"/>
              </w:rPr>
              <w:t>B. General registration</w:t>
            </w:r>
          </w:p>
        </w:tc>
        <w:tc>
          <w:tcPr>
            <w:tcW w:w="1726" w:type="dxa"/>
            <w:tcBorders>
              <w:top w:val="single" w:sz="4" w:space="0" w:color="auto"/>
              <w:left w:val="single" w:sz="4" w:space="0" w:color="auto"/>
              <w:bottom w:val="single" w:sz="18" w:space="0" w:color="156082" w:themeColor="accent1"/>
              <w:right w:val="single" w:sz="4" w:space="0" w:color="auto"/>
            </w:tcBorders>
            <w:shd w:val="clear" w:color="auto" w:fill="E8E8E8" w:themeFill="background2"/>
          </w:tcPr>
          <w:p w14:paraId="042C587C" w14:textId="77777777" w:rsidR="00841CDF" w:rsidRPr="005B05B3" w:rsidRDefault="00841CDF" w:rsidP="00B451FB">
            <w:pPr>
              <w:pStyle w:val="BodyText"/>
              <w:spacing w:beforeLines="60" w:before="144" w:afterLines="60" w:after="144" w:line="240" w:lineRule="auto"/>
              <w:rPr>
                <w:rFonts w:eastAsiaTheme="minorEastAsia" w:cstheme="minorHAnsi"/>
                <w:b/>
                <w:bCs/>
                <w:color w:val="4EA72E" w:themeColor="accent6"/>
                <w:sz w:val="20"/>
                <w:szCs w:val="20"/>
              </w:rPr>
            </w:pPr>
            <w:r w:rsidRPr="005B05B3">
              <w:rPr>
                <w:rFonts w:eastAsiaTheme="minorEastAsia" w:cstheme="minorHAnsi"/>
                <w:b/>
                <w:bCs/>
                <w:color w:val="auto"/>
                <w:sz w:val="20"/>
                <w:szCs w:val="20"/>
              </w:rPr>
              <w:t>C. Service for One/Self Directed Support Registration</w:t>
            </w:r>
          </w:p>
        </w:tc>
        <w:tc>
          <w:tcPr>
            <w:tcW w:w="1960" w:type="dxa"/>
            <w:tcBorders>
              <w:top w:val="single" w:sz="4" w:space="0" w:color="auto"/>
              <w:left w:val="single" w:sz="4" w:space="0" w:color="auto"/>
              <w:bottom w:val="single" w:sz="18" w:space="0" w:color="156082" w:themeColor="accent1"/>
              <w:right w:val="single" w:sz="4" w:space="0" w:color="auto"/>
            </w:tcBorders>
            <w:shd w:val="clear" w:color="auto" w:fill="FFFFFF" w:themeFill="background1"/>
          </w:tcPr>
          <w:p w14:paraId="344B2F37" w14:textId="77777777" w:rsidR="00841CDF" w:rsidRPr="005B05B3" w:rsidRDefault="00841CDF" w:rsidP="00B451FB">
            <w:pPr>
              <w:pStyle w:val="BodyText"/>
              <w:spacing w:beforeLines="60" w:before="144" w:afterLines="60" w:after="144" w:line="240" w:lineRule="auto"/>
              <w:rPr>
                <w:rFonts w:eastAsiaTheme="minorEastAsia" w:cstheme="minorHAnsi"/>
                <w:b/>
                <w:bCs/>
                <w:sz w:val="20"/>
                <w:szCs w:val="20"/>
              </w:rPr>
            </w:pPr>
            <w:r w:rsidRPr="005B05B3">
              <w:rPr>
                <w:rFonts w:eastAsiaTheme="minorEastAsia" w:cstheme="minorHAnsi"/>
                <w:b/>
                <w:bCs/>
                <w:color w:val="auto"/>
                <w:sz w:val="20"/>
                <w:szCs w:val="20"/>
              </w:rPr>
              <w:t>D. Basic registration</w:t>
            </w:r>
          </w:p>
          <w:p w14:paraId="435F243A" w14:textId="77777777" w:rsidR="00841CDF" w:rsidRPr="005B05B3" w:rsidRDefault="00841CDF" w:rsidP="00B451FB">
            <w:pPr>
              <w:pStyle w:val="BodyText"/>
              <w:spacing w:beforeLines="60" w:before="144" w:afterLines="60" w:after="144" w:line="240" w:lineRule="auto"/>
              <w:rPr>
                <w:rFonts w:eastAsiaTheme="minorEastAsia" w:cstheme="minorHAnsi"/>
                <w:b/>
                <w:bCs/>
                <w:sz w:val="20"/>
                <w:szCs w:val="20"/>
              </w:rPr>
            </w:pPr>
          </w:p>
        </w:tc>
        <w:tc>
          <w:tcPr>
            <w:tcW w:w="1553" w:type="dxa"/>
            <w:tcBorders>
              <w:top w:val="single" w:sz="4" w:space="0" w:color="auto"/>
              <w:left w:val="single" w:sz="4" w:space="0" w:color="auto"/>
              <w:bottom w:val="single" w:sz="18" w:space="0" w:color="156082" w:themeColor="accent1"/>
              <w:right w:val="single" w:sz="4" w:space="0" w:color="auto"/>
            </w:tcBorders>
            <w:shd w:val="clear" w:color="auto" w:fill="E8E8E8" w:themeFill="background2"/>
          </w:tcPr>
          <w:p w14:paraId="33FD9758" w14:textId="77777777" w:rsidR="00841CDF" w:rsidRPr="005B05B3" w:rsidRDefault="00841CDF" w:rsidP="00B451FB">
            <w:pPr>
              <w:pStyle w:val="BodyText"/>
              <w:spacing w:beforeLines="60" w:before="144" w:afterLines="60" w:after="144" w:line="240" w:lineRule="auto"/>
              <w:rPr>
                <w:rFonts w:eastAsiaTheme="minorEastAsia" w:cstheme="minorHAnsi"/>
                <w:b/>
                <w:bCs/>
                <w:color w:val="4EA72E" w:themeColor="accent6"/>
                <w:sz w:val="20"/>
                <w:szCs w:val="20"/>
              </w:rPr>
            </w:pPr>
            <w:r w:rsidRPr="005B05B3">
              <w:rPr>
                <w:rFonts w:eastAsiaTheme="minorEastAsia" w:cstheme="minorHAnsi"/>
                <w:b/>
                <w:bCs/>
                <w:color w:val="auto"/>
                <w:sz w:val="20"/>
                <w:szCs w:val="20"/>
              </w:rPr>
              <w:t>E. Purchase visibility only</w:t>
            </w:r>
          </w:p>
        </w:tc>
      </w:tr>
      <w:tr w:rsidR="00032972" w:rsidRPr="005B05B3" w14:paraId="5D38625D" w14:textId="77777777" w:rsidTr="00F45A2D">
        <w:trPr>
          <w:trHeight w:val="1668"/>
        </w:trPr>
        <w:tc>
          <w:tcPr>
            <w:tcW w:w="1418" w:type="dxa"/>
            <w:tcBorders>
              <w:top w:val="single" w:sz="18" w:space="0" w:color="156082" w:themeColor="accent1"/>
              <w:right w:val="single" w:sz="18" w:space="0" w:color="156082" w:themeColor="accent1"/>
            </w:tcBorders>
            <w:shd w:val="clear" w:color="auto" w:fill="FFFFFF" w:themeFill="background1"/>
          </w:tcPr>
          <w:p w14:paraId="01578FDD" w14:textId="77777777" w:rsidR="00841CDF" w:rsidRPr="005B05B3" w:rsidRDefault="00841CDF" w:rsidP="00B451FB">
            <w:pPr>
              <w:pStyle w:val="BodyText"/>
              <w:spacing w:beforeLines="60" w:before="144" w:afterLines="60" w:after="144" w:line="240" w:lineRule="auto"/>
              <w:rPr>
                <w:rFonts w:eastAsiaTheme="minorEastAsia" w:cstheme="minorHAnsi"/>
                <w:b/>
                <w:w w:val="0"/>
                <w:sz w:val="20"/>
                <w:szCs w:val="20"/>
              </w:rPr>
            </w:pPr>
            <w:r w:rsidRPr="005B05B3">
              <w:rPr>
                <w:rFonts w:eastAsiaTheme="minorEastAsia" w:cstheme="minorHAnsi"/>
                <w:b/>
                <w:sz w:val="20"/>
                <w:szCs w:val="20"/>
              </w:rPr>
              <w:t>Application, identity verification and Code of Conduct and worker screening attestation</w:t>
            </w:r>
          </w:p>
        </w:tc>
        <w:tc>
          <w:tcPr>
            <w:tcW w:w="1843" w:type="dxa"/>
            <w:tcBorders>
              <w:top w:val="single" w:sz="18" w:space="0" w:color="156082" w:themeColor="accent1"/>
              <w:left w:val="single" w:sz="18" w:space="0" w:color="156082" w:themeColor="accent1"/>
            </w:tcBorders>
            <w:shd w:val="clear" w:color="auto" w:fill="E8E8E8" w:themeFill="background2"/>
          </w:tcPr>
          <w:p w14:paraId="1736B9AD"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Yes</w:t>
            </w:r>
          </w:p>
          <w:p w14:paraId="297DD1A8" w14:textId="77777777" w:rsidR="00841CDF" w:rsidRPr="005B05B3" w:rsidRDefault="00841CDF" w:rsidP="00B451FB">
            <w:pPr>
              <w:pStyle w:val="ListBullet"/>
              <w:numPr>
                <w:ilvl w:val="0"/>
                <w:numId w:val="0"/>
              </w:numPr>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Provider completes online application form, integrated with centralised online platform and NDIS payments system (Actions 10.1 and 10.3) to provide the NDIA and NDIS Commission with visibility of all providers and data on payments.</w:t>
            </w:r>
          </w:p>
          <w:p w14:paraId="5AE0D4A9" w14:textId="77777777" w:rsidR="00841CDF" w:rsidRPr="005B05B3" w:rsidRDefault="00841CDF" w:rsidP="00B451FB">
            <w:pPr>
              <w:pStyle w:val="ListBullet"/>
              <w:numPr>
                <w:ilvl w:val="0"/>
                <w:numId w:val="0"/>
              </w:numPr>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To ensure consistency in Identity Proofing and Credentials across Individual/Provider jurisdictional spaces. The identities and the digital credentials associated with Provider Entities must be reconcilable against real individuals and real entities in the economy. Government must be confident that people associated with an entity are real human beings who are known in other parts of the economy (e.g. Document Verification Checks, TFN matching, Director ID etc.)</w:t>
            </w:r>
          </w:p>
          <w:p w14:paraId="7E4B498B" w14:textId="77777777" w:rsidR="00841CDF" w:rsidRPr="005B05B3" w:rsidRDefault="00841CDF" w:rsidP="00B451FB">
            <w:pPr>
              <w:pStyle w:val="ListBullet"/>
              <w:numPr>
                <w:ilvl w:val="0"/>
                <w:numId w:val="0"/>
              </w:numPr>
              <w:spacing w:beforeLines="60" w:before="144" w:afterLines="60" w:after="144" w:line="240" w:lineRule="auto"/>
              <w:rPr>
                <w:rFonts w:cstheme="minorHAnsi"/>
                <w:sz w:val="20"/>
                <w:szCs w:val="20"/>
              </w:rPr>
            </w:pPr>
            <w:r w:rsidRPr="005B05B3">
              <w:rPr>
                <w:rFonts w:cstheme="minorHAnsi"/>
                <w:sz w:val="20"/>
                <w:szCs w:val="20"/>
              </w:rPr>
              <w:lastRenderedPageBreak/>
              <w:t>Those people are using strong digital credentials (to minimise identity theft and provider hijacking)</w:t>
            </w:r>
          </w:p>
          <w:p w14:paraId="2951628B" w14:textId="77777777" w:rsidR="00841CDF" w:rsidRPr="005B05B3" w:rsidRDefault="00841CDF" w:rsidP="00B451FB">
            <w:pPr>
              <w:pStyle w:val="ListBullet"/>
              <w:numPr>
                <w:ilvl w:val="0"/>
                <w:numId w:val="0"/>
              </w:numPr>
              <w:spacing w:beforeLines="60" w:before="144" w:afterLines="60" w:after="144" w:line="240" w:lineRule="auto"/>
              <w:rPr>
                <w:rFonts w:cstheme="minorHAnsi"/>
                <w:sz w:val="20"/>
                <w:szCs w:val="20"/>
              </w:rPr>
            </w:pPr>
            <w:r w:rsidRPr="005B05B3">
              <w:rPr>
                <w:rFonts w:cstheme="minorHAnsi"/>
                <w:sz w:val="20"/>
                <w:szCs w:val="20"/>
              </w:rPr>
              <w:t>Appropriate data matching is occurring to ensure that the individuals/entities being registered are consistently known across the various touchpoints of the economy (e.g. across Provider Registration, police or worker screening, ABR &amp; ATO matching, Key Management Personnel COI Declarations, AHPRA registrations, participant or nominee roles etc.).</w:t>
            </w:r>
          </w:p>
          <w:p w14:paraId="323E2A84"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Provider attests to understanding obligations under code of conduct and worker screening requirements.</w:t>
            </w:r>
          </w:p>
        </w:tc>
        <w:tc>
          <w:tcPr>
            <w:tcW w:w="1842" w:type="dxa"/>
            <w:tcBorders>
              <w:top w:val="single" w:sz="18" w:space="0" w:color="156082" w:themeColor="accent1"/>
            </w:tcBorders>
            <w:shd w:val="clear" w:color="auto" w:fill="FFFFFF" w:themeFill="background1"/>
          </w:tcPr>
          <w:p w14:paraId="15F1D063"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lastRenderedPageBreak/>
              <w:t>Yes</w:t>
            </w:r>
          </w:p>
          <w:p w14:paraId="78D435E9" w14:textId="77777777" w:rsidR="00841CDF" w:rsidRPr="005B05B3" w:rsidRDefault="00841CDF" w:rsidP="00B451FB">
            <w:pPr>
              <w:pStyle w:val="ListBullet"/>
              <w:numPr>
                <w:ilvl w:val="0"/>
                <w:numId w:val="0"/>
              </w:numPr>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Provider completes online application form, integrated with centralised online platform and NDIS payments system (Actions 10.1 and 10.3) to provide the NDIA and NDIS Commission with visibility of all providers and data on payments.</w:t>
            </w:r>
          </w:p>
          <w:p w14:paraId="00252495" w14:textId="77777777" w:rsidR="00841CDF" w:rsidRPr="005B05B3" w:rsidRDefault="00841CDF" w:rsidP="00B451FB">
            <w:pPr>
              <w:pStyle w:val="ListBullet"/>
              <w:numPr>
                <w:ilvl w:val="0"/>
                <w:numId w:val="0"/>
              </w:numPr>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To ensure consistency in Identity Proofing and Credentials across Individual/Provider jurisdictional spaces. The identities and the digital credentials associated with Provider Entities must be reconcilable against real individuals and real entities in the economy. Government must be confident that people associated with an entity are real human beings who are known in other parts of the economy (e.g. Document Verification Checks, TFN matching, Director ID etc.)</w:t>
            </w:r>
          </w:p>
          <w:p w14:paraId="2BF9220D" w14:textId="77777777" w:rsidR="00841CDF" w:rsidRPr="005B05B3" w:rsidRDefault="00841CDF" w:rsidP="00B451FB">
            <w:pPr>
              <w:pStyle w:val="ListBullet"/>
              <w:numPr>
                <w:ilvl w:val="0"/>
                <w:numId w:val="0"/>
              </w:numPr>
              <w:spacing w:beforeLines="60" w:before="144" w:afterLines="60" w:after="144" w:line="240" w:lineRule="auto"/>
              <w:rPr>
                <w:rFonts w:cstheme="minorHAnsi"/>
                <w:sz w:val="20"/>
                <w:szCs w:val="20"/>
              </w:rPr>
            </w:pPr>
            <w:r w:rsidRPr="005B05B3">
              <w:rPr>
                <w:rFonts w:cstheme="minorHAnsi"/>
                <w:sz w:val="20"/>
                <w:szCs w:val="20"/>
              </w:rPr>
              <w:lastRenderedPageBreak/>
              <w:t>Those people are using strong digital credentials (to minimise identity theft and provider hijacking)</w:t>
            </w:r>
          </w:p>
          <w:p w14:paraId="0F9C0FDD" w14:textId="77777777" w:rsidR="00841CDF" w:rsidRPr="005B05B3" w:rsidRDefault="00841CDF" w:rsidP="00B451FB">
            <w:pPr>
              <w:pStyle w:val="ListBullet"/>
              <w:numPr>
                <w:ilvl w:val="0"/>
                <w:numId w:val="0"/>
              </w:numPr>
              <w:spacing w:beforeLines="60" w:before="144" w:afterLines="60" w:after="144" w:line="240" w:lineRule="auto"/>
              <w:rPr>
                <w:rFonts w:cstheme="minorHAnsi"/>
                <w:sz w:val="20"/>
                <w:szCs w:val="20"/>
              </w:rPr>
            </w:pPr>
            <w:r w:rsidRPr="005B05B3">
              <w:rPr>
                <w:rFonts w:cstheme="minorHAnsi"/>
                <w:sz w:val="20"/>
                <w:szCs w:val="20"/>
              </w:rPr>
              <w:t>Appropriate data matching is occurring to ensure that the individuals/entities being registered are consistently known across the various touchpoints of the economy (e.g. across Provider Registration, police or worker screening, ABR &amp; ATO matching, Key Management Personnel COI Declarations, AHPRA registrations, participant or nominee roles etc.).</w:t>
            </w:r>
          </w:p>
          <w:p w14:paraId="7119498E" w14:textId="77777777" w:rsidR="00841CDF" w:rsidRPr="005B05B3" w:rsidRDefault="00841CDF" w:rsidP="00B451FB">
            <w:pPr>
              <w:pStyle w:val="ListBullet"/>
              <w:numPr>
                <w:ilvl w:val="0"/>
                <w:numId w:val="0"/>
              </w:numPr>
              <w:spacing w:beforeLines="60" w:before="144" w:afterLines="60" w:after="144" w:line="240" w:lineRule="auto"/>
              <w:rPr>
                <w:rFonts w:eastAsiaTheme="minorEastAsia" w:cstheme="minorHAnsi"/>
                <w:w w:val="0"/>
                <w:sz w:val="20"/>
                <w:szCs w:val="20"/>
              </w:rPr>
            </w:pPr>
          </w:p>
          <w:p w14:paraId="7227B63B" w14:textId="77777777" w:rsidR="00841CDF" w:rsidRPr="005B05B3" w:rsidRDefault="00841CDF" w:rsidP="00B451FB">
            <w:pPr>
              <w:pStyle w:val="BodyText"/>
              <w:spacing w:beforeLines="60" w:before="144" w:afterLines="60" w:after="144" w:line="240" w:lineRule="auto"/>
              <w:rPr>
                <w:rFonts w:eastAsiaTheme="minorEastAsia" w:cstheme="minorHAnsi"/>
                <w:b/>
                <w:bCs/>
                <w:sz w:val="20"/>
                <w:szCs w:val="20"/>
              </w:rPr>
            </w:pPr>
            <w:r w:rsidRPr="005B05B3">
              <w:rPr>
                <w:rFonts w:eastAsiaTheme="minorEastAsia" w:cstheme="minorHAnsi"/>
                <w:sz w:val="20"/>
                <w:szCs w:val="20"/>
              </w:rPr>
              <w:t>Provider attests to understanding obligations under code of conduct and worker screening requirements.</w:t>
            </w:r>
          </w:p>
        </w:tc>
        <w:tc>
          <w:tcPr>
            <w:tcW w:w="1726" w:type="dxa"/>
            <w:tcBorders>
              <w:top w:val="single" w:sz="18" w:space="0" w:color="156082" w:themeColor="accent1"/>
            </w:tcBorders>
            <w:shd w:val="clear" w:color="auto" w:fill="E8E8E8" w:themeFill="background2"/>
          </w:tcPr>
          <w:p w14:paraId="7886F9FB"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lastRenderedPageBreak/>
              <w:t>Yes</w:t>
            </w:r>
          </w:p>
          <w:p w14:paraId="6D30F875"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Participant completes application form to be a “service for one” provider, with centralised online platform and NDIS payments system (to be developed)</w:t>
            </w:r>
          </w:p>
          <w:p w14:paraId="0AB89E76" w14:textId="77777777" w:rsidR="00841CDF" w:rsidRPr="005B05B3" w:rsidRDefault="00841CDF" w:rsidP="00B451FB">
            <w:pPr>
              <w:pStyle w:val="BodyText"/>
              <w:spacing w:beforeLines="60" w:before="144" w:afterLines="60" w:after="144" w:line="240" w:lineRule="auto"/>
              <w:rPr>
                <w:rFonts w:eastAsiaTheme="minorEastAsia" w:cstheme="minorHAnsi"/>
                <w:b/>
                <w:sz w:val="20"/>
                <w:szCs w:val="20"/>
              </w:rPr>
            </w:pPr>
            <w:r w:rsidRPr="005B05B3">
              <w:rPr>
                <w:rFonts w:eastAsiaTheme="minorEastAsia" w:cstheme="minorHAnsi"/>
                <w:sz w:val="20"/>
                <w:szCs w:val="20"/>
              </w:rPr>
              <w:t>Provider attests to understanding obligations under code of conduct and worker screening requirements.</w:t>
            </w:r>
          </w:p>
          <w:p w14:paraId="67A3D561"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p>
        </w:tc>
        <w:tc>
          <w:tcPr>
            <w:tcW w:w="1960" w:type="dxa"/>
            <w:tcBorders>
              <w:top w:val="single" w:sz="18" w:space="0" w:color="156082" w:themeColor="accent1"/>
            </w:tcBorders>
            <w:shd w:val="clear" w:color="auto" w:fill="FFFFFF" w:themeFill="background1"/>
          </w:tcPr>
          <w:p w14:paraId="133DD324"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Yes</w:t>
            </w:r>
          </w:p>
          <w:p w14:paraId="45D9CAF1" w14:textId="77777777" w:rsidR="00841CDF" w:rsidRPr="005B05B3" w:rsidRDefault="00841CDF" w:rsidP="00B451FB">
            <w:pPr>
              <w:pStyle w:val="ListBullet"/>
              <w:numPr>
                <w:ilvl w:val="0"/>
                <w:numId w:val="0"/>
              </w:numPr>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Provider completes online application form, integrated with centralised online platform and NDIS payments system (Actions 10.1 and 10.3) to provide the NDIA and NDIS Commission with visibility of all providers and data on payments.</w:t>
            </w:r>
          </w:p>
          <w:p w14:paraId="4F4B689A" w14:textId="77777777" w:rsidR="00841CDF" w:rsidRPr="005B05B3" w:rsidRDefault="00841CDF" w:rsidP="00B451FB">
            <w:pPr>
              <w:pStyle w:val="ListBullet"/>
              <w:numPr>
                <w:ilvl w:val="0"/>
                <w:numId w:val="0"/>
              </w:numPr>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To ensure consistency in Identity Proofing and Credentials across Individual/Provider jurisdictional spaces. The identities and the digital credentials associated with Provider Entities must be reconcilable against real individuals and real entities in the economy. Government must be confident that people associated with an entity are real human beings who are known in other parts of the economy (e.g. Document Verification Checks, TFN matching, Director ID etc.)</w:t>
            </w:r>
          </w:p>
          <w:p w14:paraId="1AF8A8C0" w14:textId="77777777" w:rsidR="00841CDF" w:rsidRPr="005B05B3" w:rsidRDefault="00841CDF" w:rsidP="00B451FB">
            <w:pPr>
              <w:pStyle w:val="ListBullet"/>
              <w:numPr>
                <w:ilvl w:val="0"/>
                <w:numId w:val="0"/>
              </w:numPr>
              <w:spacing w:beforeLines="60" w:before="144" w:afterLines="60" w:after="144" w:line="240" w:lineRule="auto"/>
              <w:rPr>
                <w:rFonts w:cstheme="minorHAnsi"/>
                <w:sz w:val="20"/>
                <w:szCs w:val="20"/>
              </w:rPr>
            </w:pPr>
            <w:r w:rsidRPr="005B05B3">
              <w:rPr>
                <w:rFonts w:cstheme="minorHAnsi"/>
                <w:sz w:val="20"/>
                <w:szCs w:val="20"/>
              </w:rPr>
              <w:lastRenderedPageBreak/>
              <w:t>Those people are using strong digital credentials (to minimise identity theft and provider hijacking)</w:t>
            </w:r>
          </w:p>
          <w:p w14:paraId="506E8832" w14:textId="77777777" w:rsidR="00841CDF" w:rsidRPr="005B05B3" w:rsidRDefault="00841CDF" w:rsidP="00B451FB">
            <w:pPr>
              <w:pStyle w:val="ListBullet"/>
              <w:numPr>
                <w:ilvl w:val="0"/>
                <w:numId w:val="0"/>
              </w:numPr>
              <w:spacing w:beforeLines="60" w:before="144" w:afterLines="60" w:after="144" w:line="240" w:lineRule="auto"/>
              <w:rPr>
                <w:rFonts w:cstheme="minorHAnsi"/>
                <w:sz w:val="20"/>
                <w:szCs w:val="20"/>
              </w:rPr>
            </w:pPr>
            <w:r w:rsidRPr="005B05B3">
              <w:rPr>
                <w:rFonts w:cstheme="minorHAnsi"/>
                <w:sz w:val="20"/>
                <w:szCs w:val="20"/>
              </w:rPr>
              <w:t>Appropriate data matching is occurring to ensure that the individuals/entities being registered are consistently known across the various touchpoints of the economy (e.g. across Provider Registration, police or worker screening, ABR &amp; ATO matching, Key Management Personnel COI Declarations, AHPRA registrations, participant or nominee roles etc.).</w:t>
            </w:r>
          </w:p>
          <w:p w14:paraId="3B6BB3B7"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p>
          <w:p w14:paraId="2DDA4D3F" w14:textId="77777777" w:rsidR="00841CDF" w:rsidRPr="005B05B3" w:rsidRDefault="00841CDF" w:rsidP="00B451FB">
            <w:pPr>
              <w:pStyle w:val="BodyText"/>
              <w:spacing w:beforeLines="60" w:before="144" w:afterLines="60" w:after="144" w:line="240" w:lineRule="auto"/>
              <w:rPr>
                <w:rFonts w:eastAsiaTheme="minorEastAsia" w:cstheme="minorHAnsi"/>
                <w:b/>
                <w:bCs/>
                <w:sz w:val="20"/>
                <w:szCs w:val="20"/>
              </w:rPr>
            </w:pPr>
            <w:r w:rsidRPr="005B05B3">
              <w:rPr>
                <w:rFonts w:eastAsiaTheme="minorEastAsia" w:cstheme="minorHAnsi"/>
                <w:sz w:val="20"/>
                <w:szCs w:val="20"/>
              </w:rPr>
              <w:t>Provider attests to understanding obligations under code of conduct and worker screening requirements.</w:t>
            </w:r>
          </w:p>
        </w:tc>
        <w:tc>
          <w:tcPr>
            <w:tcW w:w="1553" w:type="dxa"/>
            <w:tcBorders>
              <w:top w:val="single" w:sz="18" w:space="0" w:color="156082" w:themeColor="accent1"/>
            </w:tcBorders>
            <w:shd w:val="clear" w:color="auto" w:fill="E8E8E8" w:themeFill="background2"/>
          </w:tcPr>
          <w:p w14:paraId="2AD23498" w14:textId="77777777" w:rsidR="00841CDF" w:rsidRPr="005B05B3" w:rsidRDefault="00841CDF" w:rsidP="00B451FB">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lastRenderedPageBreak/>
              <w:t>No</w:t>
            </w:r>
          </w:p>
        </w:tc>
      </w:tr>
      <w:tr w:rsidR="00841CDF" w:rsidRPr="005B05B3" w14:paraId="16FAF5A5" w14:textId="77777777" w:rsidTr="00F45A2D">
        <w:trPr>
          <w:trHeight w:val="300"/>
        </w:trPr>
        <w:tc>
          <w:tcPr>
            <w:tcW w:w="1418" w:type="dxa"/>
            <w:tcBorders>
              <w:right w:val="single" w:sz="18" w:space="0" w:color="156082" w:themeColor="accent1"/>
            </w:tcBorders>
            <w:shd w:val="clear" w:color="auto" w:fill="FFFFFF" w:themeFill="background1"/>
          </w:tcPr>
          <w:p w14:paraId="57227DFF" w14:textId="3A96FE9D" w:rsidR="00841CDF" w:rsidRPr="005B05B3" w:rsidRDefault="00CE5D27" w:rsidP="00372D0C">
            <w:pPr>
              <w:pStyle w:val="BodyText"/>
              <w:spacing w:beforeLines="60" w:before="144" w:afterLines="60" w:after="144" w:line="240" w:lineRule="auto"/>
              <w:rPr>
                <w:rFonts w:eastAsiaTheme="minorEastAsia" w:cstheme="minorHAnsi"/>
                <w:b/>
                <w:bCs/>
                <w:w w:val="0"/>
                <w:sz w:val="20"/>
                <w:szCs w:val="20"/>
              </w:rPr>
            </w:pPr>
            <w:r w:rsidRPr="00CE5D27">
              <w:rPr>
                <w:rFonts w:eastAsiaTheme="minorEastAsia" w:cstheme="minorHAnsi"/>
                <w:b/>
                <w:bCs/>
                <w:sz w:val="20"/>
                <w:szCs w:val="20"/>
              </w:rPr>
              <w:t>Audits by the NDIS Commission and Audits by Approved Quality Auditors</w:t>
            </w:r>
          </w:p>
        </w:tc>
        <w:tc>
          <w:tcPr>
            <w:tcW w:w="1843" w:type="dxa"/>
            <w:tcBorders>
              <w:left w:val="single" w:sz="18" w:space="0" w:color="156082" w:themeColor="accent1"/>
            </w:tcBorders>
            <w:shd w:val="clear" w:color="auto" w:fill="E8E8E8" w:themeFill="background2"/>
          </w:tcPr>
          <w:p w14:paraId="61489546"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Yes</w:t>
            </w:r>
          </w:p>
          <w:p w14:paraId="38937F03" w14:textId="77777777" w:rsidR="00841CDF" w:rsidRPr="005B05B3" w:rsidRDefault="00841CDF" w:rsidP="00372D0C">
            <w:pPr>
              <w:pStyle w:val="ListBullet"/>
              <w:numPr>
                <w:ilvl w:val="0"/>
                <w:numId w:val="0"/>
              </w:numPr>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 xml:space="preserve">Conducted by the NDIS Commission </w:t>
            </w:r>
          </w:p>
          <w:p w14:paraId="0D7C751A" w14:textId="77777777" w:rsidR="00841CDF" w:rsidRPr="005B05B3" w:rsidRDefault="00841CDF" w:rsidP="00372D0C">
            <w:pPr>
              <w:pStyle w:val="ListBullet"/>
              <w:numPr>
                <w:ilvl w:val="0"/>
                <w:numId w:val="0"/>
              </w:numPr>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In-depth observational audit of compliance with relevant practice standard.</w:t>
            </w:r>
          </w:p>
          <w:p w14:paraId="7AA52635" w14:textId="77777777" w:rsidR="00841CDF" w:rsidRPr="005B05B3" w:rsidRDefault="00841CDF" w:rsidP="00372D0C">
            <w:pPr>
              <w:pStyle w:val="ListBullet"/>
              <w:numPr>
                <w:ilvl w:val="0"/>
                <w:numId w:val="0"/>
              </w:numPr>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lastRenderedPageBreak/>
              <w:t>Streamlining where appropriate based on risk, such as self-assessment and attestation, and mutual recognition of compliance in other regulatory systems.</w:t>
            </w:r>
          </w:p>
        </w:tc>
        <w:tc>
          <w:tcPr>
            <w:tcW w:w="1842" w:type="dxa"/>
            <w:shd w:val="clear" w:color="auto" w:fill="FFFFFF" w:themeFill="background1"/>
          </w:tcPr>
          <w:p w14:paraId="2CB7AF33"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lastRenderedPageBreak/>
              <w:t>Yes</w:t>
            </w:r>
          </w:p>
          <w:p w14:paraId="1DC8F93E" w14:textId="77777777" w:rsidR="00841CDF" w:rsidRPr="005B05B3" w:rsidRDefault="00841CDF" w:rsidP="00372D0C">
            <w:pPr>
              <w:pStyle w:val="ListBullet"/>
              <w:numPr>
                <w:ilvl w:val="0"/>
                <w:numId w:val="0"/>
              </w:numPr>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Conducted by Approved Quality Auditors</w:t>
            </w:r>
          </w:p>
          <w:p w14:paraId="420E7E77" w14:textId="77777777" w:rsidR="00841CDF" w:rsidRPr="005B05B3" w:rsidRDefault="00841CDF" w:rsidP="00372D0C">
            <w:pPr>
              <w:pStyle w:val="ListBullet"/>
              <w:numPr>
                <w:ilvl w:val="0"/>
                <w:numId w:val="0"/>
              </w:numPr>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 xml:space="preserve">Graduated and proportionate audit of compliance with relevant practice standards, </w:t>
            </w:r>
            <w:r w:rsidRPr="005B05B3">
              <w:rPr>
                <w:rFonts w:eastAsiaTheme="minorEastAsia" w:cstheme="minorHAnsi"/>
                <w:sz w:val="20"/>
                <w:szCs w:val="20"/>
              </w:rPr>
              <w:lastRenderedPageBreak/>
              <w:t>including observational auditing.</w:t>
            </w:r>
          </w:p>
          <w:p w14:paraId="411664E3" w14:textId="77777777" w:rsidR="00841CDF" w:rsidRPr="005B05B3" w:rsidRDefault="00841CDF" w:rsidP="00372D0C">
            <w:pPr>
              <w:pStyle w:val="ListBullet"/>
              <w:numPr>
                <w:ilvl w:val="0"/>
                <w:numId w:val="0"/>
              </w:numPr>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Streamlining where appropriate based on risk, such as the use of self-assessment and attestation, and mutual recognition of compliance in other regulatory systems.</w:t>
            </w:r>
          </w:p>
        </w:tc>
        <w:tc>
          <w:tcPr>
            <w:tcW w:w="1726" w:type="dxa"/>
            <w:shd w:val="clear" w:color="auto" w:fill="E8E8E8" w:themeFill="background2"/>
          </w:tcPr>
          <w:p w14:paraId="13292126"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lastRenderedPageBreak/>
              <w:t>No</w:t>
            </w:r>
          </w:p>
          <w:p w14:paraId="2BE969A0" w14:textId="1E35BAF4"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 xml:space="preserve">Participant or Nominee undertakes own assessment for practice and quality according to </w:t>
            </w:r>
            <w:r w:rsidR="006A7EA7" w:rsidRPr="005B05B3">
              <w:rPr>
                <w:rFonts w:eastAsiaTheme="minorEastAsia" w:cstheme="minorHAnsi"/>
                <w:sz w:val="20"/>
                <w:szCs w:val="20"/>
              </w:rPr>
              <w:t>self-defined</w:t>
            </w:r>
            <w:r w:rsidRPr="005B05B3">
              <w:rPr>
                <w:rFonts w:eastAsiaTheme="minorEastAsia" w:cstheme="minorHAnsi"/>
                <w:sz w:val="20"/>
                <w:szCs w:val="20"/>
              </w:rPr>
              <w:t xml:space="preserve"> standards.</w:t>
            </w:r>
          </w:p>
        </w:tc>
        <w:tc>
          <w:tcPr>
            <w:tcW w:w="1960" w:type="dxa"/>
            <w:shd w:val="clear" w:color="auto" w:fill="FFFFFF" w:themeFill="background1"/>
          </w:tcPr>
          <w:p w14:paraId="3485E928"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No</w:t>
            </w:r>
          </w:p>
          <w:p w14:paraId="104E68B1" w14:textId="77777777" w:rsidR="00841CDF" w:rsidRPr="005B05B3" w:rsidRDefault="00841CDF" w:rsidP="00372D0C">
            <w:pPr>
              <w:pStyle w:val="ListBullet"/>
              <w:numPr>
                <w:ilvl w:val="0"/>
                <w:numId w:val="0"/>
              </w:numPr>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But includes a self-assessment and attestation of compliance with Practice Standards, in place of an audit.</w:t>
            </w:r>
          </w:p>
        </w:tc>
        <w:tc>
          <w:tcPr>
            <w:tcW w:w="1553" w:type="dxa"/>
            <w:shd w:val="clear" w:color="auto" w:fill="E8E8E8" w:themeFill="background2"/>
          </w:tcPr>
          <w:p w14:paraId="2B131AE1"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No</w:t>
            </w:r>
          </w:p>
        </w:tc>
      </w:tr>
      <w:tr w:rsidR="00841CDF" w:rsidRPr="005B05B3" w14:paraId="273E80DA" w14:textId="77777777" w:rsidTr="00F45A2D">
        <w:trPr>
          <w:trHeight w:val="300"/>
        </w:trPr>
        <w:tc>
          <w:tcPr>
            <w:tcW w:w="1418" w:type="dxa"/>
            <w:tcBorders>
              <w:right w:val="single" w:sz="18" w:space="0" w:color="156082" w:themeColor="accent1"/>
            </w:tcBorders>
            <w:shd w:val="clear" w:color="auto" w:fill="FFFFFF" w:themeFill="background1"/>
          </w:tcPr>
          <w:p w14:paraId="34AE6E7E" w14:textId="77777777" w:rsidR="00841CDF" w:rsidRPr="005B05B3" w:rsidRDefault="00841CDF" w:rsidP="00372D0C">
            <w:pPr>
              <w:pStyle w:val="BodyText"/>
              <w:spacing w:beforeLines="60" w:before="144" w:afterLines="60" w:after="144" w:line="240" w:lineRule="auto"/>
              <w:rPr>
                <w:rFonts w:eastAsiaTheme="minorEastAsia" w:cstheme="minorHAnsi"/>
                <w:b/>
                <w:w w:val="0"/>
                <w:sz w:val="20"/>
                <w:szCs w:val="20"/>
              </w:rPr>
            </w:pPr>
            <w:r w:rsidRPr="005B05B3">
              <w:rPr>
                <w:rFonts w:eastAsiaTheme="minorEastAsia" w:cstheme="minorHAnsi"/>
                <w:b/>
                <w:sz w:val="20"/>
                <w:szCs w:val="20"/>
              </w:rPr>
              <w:t>Suitability assessment of provider and key personnel</w:t>
            </w:r>
          </w:p>
        </w:tc>
        <w:tc>
          <w:tcPr>
            <w:tcW w:w="1843" w:type="dxa"/>
            <w:tcBorders>
              <w:left w:val="single" w:sz="18" w:space="0" w:color="156082" w:themeColor="accent1"/>
            </w:tcBorders>
            <w:shd w:val="clear" w:color="auto" w:fill="E8E8E8" w:themeFill="background2"/>
          </w:tcPr>
          <w:p w14:paraId="22D1B06A"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Yes</w:t>
            </w:r>
          </w:p>
        </w:tc>
        <w:tc>
          <w:tcPr>
            <w:tcW w:w="1842" w:type="dxa"/>
            <w:shd w:val="clear" w:color="auto" w:fill="FFFFFF" w:themeFill="background1"/>
          </w:tcPr>
          <w:p w14:paraId="6169A7C6"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Yes</w:t>
            </w:r>
          </w:p>
        </w:tc>
        <w:tc>
          <w:tcPr>
            <w:tcW w:w="1726" w:type="dxa"/>
            <w:shd w:val="clear" w:color="auto" w:fill="E8E8E8" w:themeFill="background2"/>
          </w:tcPr>
          <w:p w14:paraId="2D564BE5"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Yes (undertaken by Participant)</w:t>
            </w:r>
          </w:p>
        </w:tc>
        <w:tc>
          <w:tcPr>
            <w:tcW w:w="1960" w:type="dxa"/>
            <w:shd w:val="clear" w:color="auto" w:fill="FFFFFF" w:themeFill="background1"/>
          </w:tcPr>
          <w:p w14:paraId="62AA586C"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Yes</w:t>
            </w:r>
          </w:p>
        </w:tc>
        <w:tc>
          <w:tcPr>
            <w:tcW w:w="1553" w:type="dxa"/>
            <w:shd w:val="clear" w:color="auto" w:fill="E8E8E8" w:themeFill="background2"/>
          </w:tcPr>
          <w:p w14:paraId="3C0F04F8"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No</w:t>
            </w:r>
          </w:p>
        </w:tc>
      </w:tr>
      <w:tr w:rsidR="00841CDF" w:rsidRPr="005B05B3" w14:paraId="3B47C52F" w14:textId="77777777" w:rsidTr="00F45A2D">
        <w:trPr>
          <w:cantSplit/>
          <w:trHeight w:val="2649"/>
        </w:trPr>
        <w:tc>
          <w:tcPr>
            <w:tcW w:w="1418" w:type="dxa"/>
            <w:tcBorders>
              <w:right w:val="single" w:sz="18" w:space="0" w:color="156082" w:themeColor="accent1"/>
            </w:tcBorders>
            <w:shd w:val="clear" w:color="auto" w:fill="FFFFFF" w:themeFill="background1"/>
          </w:tcPr>
          <w:p w14:paraId="23E1EE1C" w14:textId="77777777" w:rsidR="00841CDF" w:rsidRPr="005B05B3" w:rsidRDefault="00841CDF" w:rsidP="00372D0C">
            <w:pPr>
              <w:pStyle w:val="BodyText"/>
              <w:spacing w:beforeLines="60" w:before="144" w:afterLines="60" w:after="144" w:line="240" w:lineRule="auto"/>
              <w:rPr>
                <w:rFonts w:eastAsiaTheme="minorEastAsia" w:cstheme="minorHAnsi"/>
                <w:b/>
                <w:sz w:val="20"/>
                <w:szCs w:val="20"/>
              </w:rPr>
            </w:pPr>
            <w:r w:rsidRPr="005B05B3">
              <w:rPr>
                <w:rFonts w:eastAsiaTheme="minorEastAsia" w:cstheme="minorHAnsi"/>
                <w:b/>
                <w:sz w:val="20"/>
                <w:szCs w:val="20"/>
              </w:rPr>
              <w:t>Ongoing monitoring and compliance</w:t>
            </w:r>
          </w:p>
        </w:tc>
        <w:tc>
          <w:tcPr>
            <w:tcW w:w="1843" w:type="dxa"/>
            <w:tcBorders>
              <w:left w:val="single" w:sz="18" w:space="0" w:color="156082" w:themeColor="accent1"/>
            </w:tcBorders>
            <w:shd w:val="clear" w:color="auto" w:fill="E8E8E8" w:themeFill="background2"/>
          </w:tcPr>
          <w:p w14:paraId="2D786384"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Yes</w:t>
            </w:r>
          </w:p>
          <w:p w14:paraId="7E8E9365" w14:textId="77777777" w:rsidR="00841CDF" w:rsidRPr="005B05B3" w:rsidRDefault="00841CDF" w:rsidP="00372D0C">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The NDIS Commission undertakes:</w:t>
            </w:r>
          </w:p>
          <w:p w14:paraId="3EB97EBB" w14:textId="77777777" w:rsidR="00841CDF" w:rsidRPr="005B05B3" w:rsidRDefault="00841CDF" w:rsidP="00372D0C">
            <w:pPr>
              <w:pStyle w:val="ListBullet"/>
              <w:numPr>
                <w:ilvl w:val="0"/>
                <w:numId w:val="0"/>
              </w:numPr>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Risk-based monitoring, investigation and regulatory intelligence gathering (including through provider outreach and information sharing with other regulators).</w:t>
            </w:r>
          </w:p>
          <w:p w14:paraId="6D3F9B21" w14:textId="61D1D1D8"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 xml:space="preserve">Corrective action in response to breaches of the code of </w:t>
            </w:r>
            <w:r w:rsidR="006A7EA7" w:rsidRPr="005B05B3">
              <w:rPr>
                <w:rFonts w:eastAsiaTheme="minorEastAsia" w:cstheme="minorHAnsi"/>
                <w:sz w:val="20"/>
                <w:szCs w:val="20"/>
              </w:rPr>
              <w:t>conduct and</w:t>
            </w:r>
            <w:r w:rsidRPr="005B05B3">
              <w:rPr>
                <w:rFonts w:eastAsiaTheme="minorEastAsia" w:cstheme="minorHAnsi"/>
                <w:sz w:val="20"/>
                <w:szCs w:val="20"/>
              </w:rPr>
              <w:t xml:space="preserve"> practice standards.</w:t>
            </w:r>
          </w:p>
        </w:tc>
        <w:tc>
          <w:tcPr>
            <w:tcW w:w="1842" w:type="dxa"/>
            <w:shd w:val="clear" w:color="auto" w:fill="FFFFFF" w:themeFill="background1"/>
          </w:tcPr>
          <w:p w14:paraId="3C2F40F7"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Yes</w:t>
            </w:r>
          </w:p>
          <w:p w14:paraId="7BDC26DB"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The NDIS Commission undertakes:</w:t>
            </w:r>
          </w:p>
          <w:p w14:paraId="47CBABAD" w14:textId="77777777" w:rsidR="00841CDF" w:rsidRPr="005B05B3" w:rsidRDefault="00841CDF" w:rsidP="00372D0C">
            <w:pPr>
              <w:pStyle w:val="ListBullet"/>
              <w:numPr>
                <w:ilvl w:val="0"/>
                <w:numId w:val="0"/>
              </w:numPr>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Risk-based monitoring, investigation and regulatory intelligence gathering (including through provider outreach and information sharing with other regulators).</w:t>
            </w:r>
          </w:p>
          <w:p w14:paraId="6B85D8F2" w14:textId="1A32878A"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 xml:space="preserve">Corrective action in response to breaches of the code of </w:t>
            </w:r>
            <w:r w:rsidR="006A7EA7" w:rsidRPr="005B05B3">
              <w:rPr>
                <w:rFonts w:eastAsiaTheme="minorEastAsia" w:cstheme="minorHAnsi"/>
                <w:sz w:val="20"/>
                <w:szCs w:val="20"/>
              </w:rPr>
              <w:t>conduct and</w:t>
            </w:r>
            <w:r w:rsidRPr="005B05B3">
              <w:rPr>
                <w:rFonts w:eastAsiaTheme="minorEastAsia" w:cstheme="minorHAnsi"/>
                <w:sz w:val="20"/>
                <w:szCs w:val="20"/>
              </w:rPr>
              <w:t xml:space="preserve"> practice standards).</w:t>
            </w:r>
          </w:p>
        </w:tc>
        <w:tc>
          <w:tcPr>
            <w:tcW w:w="1726" w:type="dxa"/>
            <w:shd w:val="clear" w:color="auto" w:fill="E8E8E8" w:themeFill="background2"/>
          </w:tcPr>
          <w:p w14:paraId="08E0B899"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Yes</w:t>
            </w:r>
          </w:p>
          <w:p w14:paraId="301682A6"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The NDIS Commission undertakes:</w:t>
            </w:r>
          </w:p>
          <w:p w14:paraId="6A9EF591" w14:textId="77777777" w:rsidR="00841CDF" w:rsidRPr="005B05B3" w:rsidRDefault="00841CDF" w:rsidP="00372D0C">
            <w:pPr>
              <w:pStyle w:val="ListBullet"/>
              <w:numPr>
                <w:ilvl w:val="0"/>
                <w:numId w:val="0"/>
              </w:numPr>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Risk-based monitoring, investigation and regulatory intelligence gathering (including through provider outreach and information sharing with other regulators).</w:t>
            </w:r>
          </w:p>
          <w:p w14:paraId="6F3F9EA7"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Corrective action in response to breaches of the code of conduct and practice standards.</w:t>
            </w:r>
          </w:p>
        </w:tc>
        <w:tc>
          <w:tcPr>
            <w:tcW w:w="1960" w:type="dxa"/>
            <w:shd w:val="clear" w:color="auto" w:fill="FFFFFF" w:themeFill="background1"/>
          </w:tcPr>
          <w:p w14:paraId="76B66AD8"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Yes</w:t>
            </w:r>
          </w:p>
          <w:p w14:paraId="4F2DDC2D" w14:textId="77777777" w:rsidR="00841CDF" w:rsidRPr="005B05B3" w:rsidRDefault="00841CDF" w:rsidP="00372D0C">
            <w:pPr>
              <w:pStyle w:val="BodyText"/>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The NDIS Commission undertakes:</w:t>
            </w:r>
          </w:p>
          <w:p w14:paraId="2D647FFE" w14:textId="77777777" w:rsidR="00841CDF" w:rsidRPr="005B05B3" w:rsidRDefault="00841CDF" w:rsidP="00372D0C">
            <w:pPr>
              <w:pStyle w:val="ListBullet"/>
              <w:numPr>
                <w:ilvl w:val="0"/>
                <w:numId w:val="0"/>
              </w:numPr>
              <w:spacing w:beforeLines="60" w:before="144" w:afterLines="60" w:after="144" w:line="240" w:lineRule="auto"/>
              <w:rPr>
                <w:rFonts w:eastAsiaTheme="minorEastAsia" w:cstheme="minorHAnsi"/>
                <w:w w:val="0"/>
                <w:sz w:val="20"/>
                <w:szCs w:val="20"/>
              </w:rPr>
            </w:pPr>
            <w:r w:rsidRPr="005B05B3">
              <w:rPr>
                <w:rFonts w:eastAsiaTheme="minorEastAsia" w:cstheme="minorHAnsi"/>
                <w:sz w:val="20"/>
                <w:szCs w:val="20"/>
              </w:rPr>
              <w:t>Risk-based monitoring, investigation and regulatory intelligence gathering (including through provider outreach and information sharing with other regulators).</w:t>
            </w:r>
          </w:p>
          <w:p w14:paraId="038EFE5B"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Corrective action in response to breaches of the code of conduct and practice standards.</w:t>
            </w:r>
          </w:p>
        </w:tc>
        <w:tc>
          <w:tcPr>
            <w:tcW w:w="1553" w:type="dxa"/>
            <w:shd w:val="clear" w:color="auto" w:fill="E8E8E8" w:themeFill="background2"/>
          </w:tcPr>
          <w:p w14:paraId="1FC09CB0" w14:textId="77777777" w:rsidR="00841CDF" w:rsidRPr="005B05B3" w:rsidRDefault="00841CDF" w:rsidP="00372D0C">
            <w:pPr>
              <w:pStyle w:val="BodyText"/>
              <w:spacing w:beforeLines="60" w:before="144" w:afterLines="60" w:after="144" w:line="240" w:lineRule="auto"/>
              <w:rPr>
                <w:rFonts w:eastAsiaTheme="minorEastAsia" w:cstheme="minorHAnsi"/>
                <w:sz w:val="20"/>
                <w:szCs w:val="20"/>
              </w:rPr>
            </w:pPr>
            <w:r w:rsidRPr="005B05B3">
              <w:rPr>
                <w:rFonts w:eastAsiaTheme="minorEastAsia" w:cstheme="minorHAnsi"/>
                <w:sz w:val="20"/>
                <w:szCs w:val="20"/>
              </w:rPr>
              <w:t>No</w:t>
            </w:r>
          </w:p>
        </w:tc>
      </w:tr>
    </w:tbl>
    <w:p w14:paraId="4B646D39" w14:textId="77777777" w:rsidR="00841CDF" w:rsidRPr="005B05B3" w:rsidRDefault="00841CDF" w:rsidP="00841CDF">
      <w:pPr>
        <w:rPr>
          <w:lang w:val="en-US" w:eastAsia="ja-JP"/>
        </w:rPr>
      </w:pPr>
    </w:p>
    <w:p w14:paraId="2BDAABF8" w14:textId="77777777" w:rsidR="001B5EF1" w:rsidRPr="005B05B3" w:rsidRDefault="001B5EF1" w:rsidP="00E50DE5">
      <w:pPr>
        <w:sectPr w:rsidR="001B5EF1" w:rsidRPr="005B05B3" w:rsidSect="00E35029">
          <w:pgSz w:w="11906" w:h="16838"/>
          <w:pgMar w:top="1236" w:right="827" w:bottom="1440" w:left="1440" w:header="907" w:footer="709" w:gutter="0"/>
          <w:cols w:space="708"/>
          <w:titlePg/>
          <w:docGrid w:linePitch="360"/>
        </w:sectPr>
      </w:pPr>
    </w:p>
    <w:p w14:paraId="79805DD9" w14:textId="6998E3F5" w:rsidR="00AC7F0A" w:rsidRPr="00213D5C" w:rsidRDefault="00AC7F0A" w:rsidP="00213D5C">
      <w:pPr>
        <w:rPr>
          <w:color w:val="0D2B58"/>
          <w:sz w:val="32"/>
          <w:szCs w:val="32"/>
        </w:rPr>
      </w:pPr>
      <w:bookmarkStart w:id="149" w:name="_Toc170808387"/>
      <w:bookmarkStart w:id="150" w:name="_Toc170919709"/>
      <w:r w:rsidRPr="00213D5C">
        <w:rPr>
          <w:b/>
          <w:bCs/>
          <w:color w:val="0D2B58"/>
          <w:sz w:val="44"/>
          <w:szCs w:val="44"/>
        </w:rPr>
        <w:lastRenderedPageBreak/>
        <w:t>Annexure B.</w:t>
      </w:r>
      <w:r w:rsidRPr="00213D5C">
        <w:rPr>
          <w:color w:val="0D2B58"/>
          <w:sz w:val="32"/>
          <w:szCs w:val="32"/>
        </w:rPr>
        <w:t xml:space="preserve"> Terms of Reference</w:t>
      </w:r>
      <w:bookmarkEnd w:id="149"/>
      <w:r w:rsidR="00662542" w:rsidRPr="00213D5C">
        <w:rPr>
          <w:color w:val="0D2B58"/>
          <w:sz w:val="32"/>
          <w:szCs w:val="32"/>
        </w:rPr>
        <w:t xml:space="preserve"> for NDIS Provider and Worke</w:t>
      </w:r>
      <w:r w:rsidR="002D6AB8" w:rsidRPr="00213D5C">
        <w:rPr>
          <w:color w:val="0D2B58"/>
          <w:sz w:val="32"/>
          <w:szCs w:val="32"/>
        </w:rPr>
        <w:t>r</w:t>
      </w:r>
      <w:r w:rsidR="00662542" w:rsidRPr="00213D5C">
        <w:rPr>
          <w:color w:val="0D2B58"/>
          <w:sz w:val="32"/>
          <w:szCs w:val="32"/>
        </w:rPr>
        <w:t xml:space="preserve"> Registration Taskforce</w:t>
      </w:r>
      <w:bookmarkEnd w:id="150"/>
    </w:p>
    <w:p w14:paraId="67886284" w14:textId="77777777" w:rsidR="00662542" w:rsidRPr="00691D97" w:rsidRDefault="00662542" w:rsidP="00C87898">
      <w:r w:rsidRPr="00691D97">
        <w:t xml:space="preserve">The NDIS Review final report released on 7 December 2023 recommends the development and delivery of a graduated risk-proportionate model for the visibility and regulation of all providers and workers, and strengthening of the </w:t>
      </w:r>
      <w:r w:rsidRPr="00C87898">
        <w:t>regulatory</w:t>
      </w:r>
      <w:r w:rsidRPr="00691D97">
        <w:t xml:space="preserve"> response to long-standing and emerging quality and safeguards issues (Recommendation 17), specifically to:</w:t>
      </w:r>
    </w:p>
    <w:p w14:paraId="7638478E" w14:textId="77777777" w:rsidR="00662542" w:rsidRPr="00691D97" w:rsidRDefault="00662542" w:rsidP="002248D1">
      <w:pPr>
        <w:numPr>
          <w:ilvl w:val="0"/>
          <w:numId w:val="74"/>
        </w:numPr>
        <w:spacing w:after="120"/>
      </w:pPr>
      <w:r w:rsidRPr="00691D97">
        <w:t>Design and implement a graduated risk-proportionate regulatory model for the whole provider market (17.1)</w:t>
      </w:r>
    </w:p>
    <w:p w14:paraId="681DF81D" w14:textId="77777777" w:rsidR="00662542" w:rsidRPr="00691D97" w:rsidRDefault="00662542" w:rsidP="002248D1">
      <w:pPr>
        <w:numPr>
          <w:ilvl w:val="0"/>
          <w:numId w:val="74"/>
        </w:numPr>
        <w:spacing w:after="120"/>
      </w:pPr>
      <w:r w:rsidRPr="00691D97">
        <w:t>Develop a staged implementation approach to transition to the new graduated risk-proportionate regulatory model (17.2), and</w:t>
      </w:r>
    </w:p>
    <w:p w14:paraId="60C44F2B" w14:textId="77777777" w:rsidR="00662542" w:rsidRPr="00691D97" w:rsidRDefault="00662542" w:rsidP="002248D1">
      <w:pPr>
        <w:numPr>
          <w:ilvl w:val="0"/>
          <w:numId w:val="74"/>
        </w:numPr>
      </w:pPr>
      <w:r w:rsidRPr="00691D97">
        <w:t>Amend the National Disability Insurance Scheme Act 2013 to remove the link between a participant’s financial management of their plan and the regulatory status of their support providers (17.3).</w:t>
      </w:r>
    </w:p>
    <w:p w14:paraId="661E0E45" w14:textId="77777777" w:rsidR="00662542" w:rsidRPr="00691D97" w:rsidRDefault="00662542" w:rsidP="00C87898">
      <w:r w:rsidRPr="00691D97">
        <w:t xml:space="preserve">The Minister for the NDIS has </w:t>
      </w:r>
      <w:r w:rsidRPr="00C87898">
        <w:t>established</w:t>
      </w:r>
      <w:r w:rsidRPr="00691D97">
        <w:t xml:space="preserve"> a Taskforce to provide expert advice on:</w:t>
      </w:r>
    </w:p>
    <w:p w14:paraId="2A164B41" w14:textId="77777777" w:rsidR="00662542" w:rsidRPr="00691D97" w:rsidRDefault="00662542" w:rsidP="002248D1">
      <w:pPr>
        <w:numPr>
          <w:ilvl w:val="0"/>
          <w:numId w:val="75"/>
        </w:numPr>
        <w:spacing w:after="120"/>
      </w:pPr>
      <w:r w:rsidRPr="00691D97">
        <w:t>the design and implementation of the graduated risk-proportionate regulatory model, which the NDIS Review regarded as requiring further consideration.</w:t>
      </w:r>
    </w:p>
    <w:p w14:paraId="3451BC74" w14:textId="77777777" w:rsidR="00662542" w:rsidRPr="00691D97" w:rsidRDefault="00662542" w:rsidP="002248D1">
      <w:pPr>
        <w:numPr>
          <w:ilvl w:val="0"/>
          <w:numId w:val="75"/>
        </w:numPr>
        <w:spacing w:after="120"/>
      </w:pPr>
      <w:r w:rsidRPr="00691D97">
        <w:t>a Provider Risk Framework that identifies and evaluates the risk profile of different types of supports and providers. It will also clarify new arrangements for platform providers and circumstances where participants directly employ their workers, including ‘Services for One’ where participants and their families may directly employ workers to deliver supports.</w:t>
      </w:r>
    </w:p>
    <w:p w14:paraId="3EB77EB0" w14:textId="77777777" w:rsidR="00662542" w:rsidRPr="00691D97" w:rsidRDefault="00662542" w:rsidP="00C87898">
      <w:r w:rsidRPr="00691D97">
        <w:t xml:space="preserve">The Taskforce will comprise the following eminent experts who bring deep knowledge and experience about the regulation of supports and services used by people with disability in the NDIS and contemporary regulatory </w:t>
      </w:r>
      <w:r w:rsidRPr="00C87898">
        <w:t>practice</w:t>
      </w:r>
      <w:r w:rsidRPr="00691D97">
        <w:t>, and lived experience of disability:</w:t>
      </w:r>
    </w:p>
    <w:p w14:paraId="208409E5" w14:textId="77777777" w:rsidR="00662542" w:rsidRPr="00691D97" w:rsidRDefault="00662542" w:rsidP="002248D1">
      <w:pPr>
        <w:numPr>
          <w:ilvl w:val="0"/>
          <w:numId w:val="76"/>
        </w:numPr>
        <w:spacing w:after="120"/>
      </w:pPr>
      <w:r w:rsidRPr="00691D97">
        <w:t>Natalie Wade, human rights lawyer and disability advocate</w:t>
      </w:r>
    </w:p>
    <w:p w14:paraId="047C5583" w14:textId="77777777" w:rsidR="00662542" w:rsidRPr="00691D97" w:rsidRDefault="00662542" w:rsidP="002248D1">
      <w:pPr>
        <w:numPr>
          <w:ilvl w:val="0"/>
          <w:numId w:val="76"/>
        </w:numPr>
        <w:spacing w:after="120"/>
      </w:pPr>
      <w:r w:rsidRPr="00691D97">
        <w:t>Michael Borowick, former ACTU Assistant Secretary and training and safety expert </w:t>
      </w:r>
    </w:p>
    <w:p w14:paraId="30E9225C" w14:textId="77777777" w:rsidR="00662542" w:rsidRPr="00691D97" w:rsidRDefault="00662542" w:rsidP="002248D1">
      <w:pPr>
        <w:numPr>
          <w:ilvl w:val="0"/>
          <w:numId w:val="76"/>
        </w:numPr>
        <w:spacing w:after="120"/>
      </w:pPr>
      <w:r w:rsidRPr="00691D97">
        <w:t>Vicki O’Halloran, former Administrator of the Northern Territory</w:t>
      </w:r>
    </w:p>
    <w:p w14:paraId="7AD7FDDB" w14:textId="77777777" w:rsidR="00662542" w:rsidRPr="00691D97" w:rsidRDefault="00662542" w:rsidP="002248D1">
      <w:pPr>
        <w:numPr>
          <w:ilvl w:val="0"/>
          <w:numId w:val="76"/>
        </w:numPr>
        <w:spacing w:after="120"/>
      </w:pPr>
      <w:r w:rsidRPr="00691D97">
        <w:t>Allan Fels, former chair of the Australian Competition and Consumer Commission.</w:t>
      </w:r>
    </w:p>
    <w:p w14:paraId="4B32C3FA" w14:textId="77777777" w:rsidR="00662542" w:rsidRPr="00691D97" w:rsidRDefault="00662542" w:rsidP="00C87898">
      <w:r w:rsidRPr="00691D97">
        <w:t xml:space="preserve">The Taskforce will provide advice to the Minister about key design elements and implementation of new </w:t>
      </w:r>
      <w:r w:rsidRPr="00C87898">
        <w:t>regulatory</w:t>
      </w:r>
      <w:r w:rsidRPr="00691D97">
        <w:t xml:space="preserve"> arrangements, including the Provider Risk Framework, so that those arrangements:</w:t>
      </w:r>
    </w:p>
    <w:p w14:paraId="75952C9A" w14:textId="77777777" w:rsidR="00662542" w:rsidRPr="00691D97" w:rsidRDefault="00662542" w:rsidP="002248D1">
      <w:pPr>
        <w:numPr>
          <w:ilvl w:val="0"/>
          <w:numId w:val="77"/>
        </w:numPr>
        <w:spacing w:after="120"/>
      </w:pPr>
      <w:r w:rsidRPr="00691D97">
        <w:t>Uphold the rights of people with disability including to determine their own best interests, improving their ability to exercise choice and control over the providers that they use, and this is central to design of the new regulatory model, </w:t>
      </w:r>
    </w:p>
    <w:p w14:paraId="76DD0787" w14:textId="77777777" w:rsidR="00662542" w:rsidRPr="00691D97" w:rsidRDefault="00662542" w:rsidP="002248D1">
      <w:pPr>
        <w:numPr>
          <w:ilvl w:val="0"/>
          <w:numId w:val="77"/>
        </w:numPr>
        <w:spacing w:after="120"/>
      </w:pPr>
      <w:r w:rsidRPr="00691D97">
        <w:lastRenderedPageBreak/>
        <w:t>Enable people who are self-managing in the NDIS and employing and engaging their own workers and providers to continue to do so, and</w:t>
      </w:r>
    </w:p>
    <w:p w14:paraId="1876C25A" w14:textId="77777777" w:rsidR="00662542" w:rsidRPr="00691D97" w:rsidRDefault="00662542" w:rsidP="002248D1">
      <w:pPr>
        <w:numPr>
          <w:ilvl w:val="0"/>
          <w:numId w:val="77"/>
        </w:numPr>
        <w:spacing w:after="120"/>
      </w:pPr>
      <w:r w:rsidRPr="00691D97">
        <w:t>Reduce the potential for risk of harm to people with disability by taking a proportionate and risk based approach to regulation that considers both provider and support risk, and the circumstances of the people who using those services, and</w:t>
      </w:r>
    </w:p>
    <w:p w14:paraId="1F0AB75C" w14:textId="77777777" w:rsidR="00662542" w:rsidRPr="00691D97" w:rsidRDefault="00662542" w:rsidP="002248D1">
      <w:pPr>
        <w:numPr>
          <w:ilvl w:val="0"/>
          <w:numId w:val="77"/>
        </w:numPr>
        <w:spacing w:after="120"/>
      </w:pPr>
      <w:r w:rsidRPr="00691D97">
        <w:t>Increase quality and innovation of services and supports for all NDIS participants.</w:t>
      </w:r>
    </w:p>
    <w:p w14:paraId="792914E4" w14:textId="77777777" w:rsidR="00662542" w:rsidRPr="00691D97" w:rsidRDefault="00662542" w:rsidP="00C87898">
      <w:r w:rsidRPr="00691D97">
        <w:t xml:space="preserve">The Australian Government, together </w:t>
      </w:r>
      <w:r w:rsidRPr="00C87898">
        <w:t>with</w:t>
      </w:r>
      <w:r w:rsidRPr="00691D97">
        <w:t xml:space="preserve"> states and territories has committed to work together with the disability community, including through co-design, to implement the Government’s response to the NDIS Review recommendations.</w:t>
      </w:r>
    </w:p>
    <w:p w14:paraId="3813722E" w14:textId="77777777" w:rsidR="00662542" w:rsidRPr="00691D97" w:rsidRDefault="00662542" w:rsidP="00C87898">
      <w:r w:rsidRPr="00691D97">
        <w:t xml:space="preserve">The Taskforce’ advice will assist the </w:t>
      </w:r>
      <w:r w:rsidRPr="00C87898">
        <w:t>government</w:t>
      </w:r>
      <w:r w:rsidRPr="00691D97">
        <w:t xml:space="preserve"> in working further with the disability community, including through co-design, on these and related recommendations.</w:t>
      </w:r>
    </w:p>
    <w:p w14:paraId="5D101238" w14:textId="77777777" w:rsidR="00662542" w:rsidRPr="00691D97" w:rsidRDefault="00662542" w:rsidP="00C87898">
      <w:r w:rsidRPr="00691D97">
        <w:t xml:space="preserve">To undertake its work the Taskforce will familiarise itself with the NDIS Review’s report and supporting material </w:t>
      </w:r>
      <w:r w:rsidRPr="00C87898">
        <w:t>considered</w:t>
      </w:r>
      <w:r w:rsidRPr="00691D97">
        <w:t xml:space="preserve"> by the NDIS Review (such as submissions and external reports and inquiries), and may meet with members of the Independent Review panel. The Taskforce will consult, and where necessary, co-design, with the disability community on the design and implementation of the new graduated risk-proportionate regulatory model. The Taskforce will also consult with the NDIS provider market, workforce representatives and other relevant stakeholders.</w:t>
      </w:r>
    </w:p>
    <w:p w14:paraId="4C97E16F" w14:textId="77777777" w:rsidR="00662542" w:rsidRPr="00691D97" w:rsidRDefault="00662542" w:rsidP="00C87898">
      <w:r w:rsidRPr="00691D97">
        <w:t>Supported by the Department of Social Services, in consultation with the National Disability Insurance Agency and the NDIS Quality and Safeguards Commission, The Taskforce will provide the Minister with a report in 2024 setting out advice on:</w:t>
      </w:r>
    </w:p>
    <w:p w14:paraId="79B03929" w14:textId="77777777" w:rsidR="00662542" w:rsidRPr="00691D97" w:rsidRDefault="00662542" w:rsidP="002248D1">
      <w:pPr>
        <w:numPr>
          <w:ilvl w:val="0"/>
          <w:numId w:val="78"/>
        </w:numPr>
        <w:spacing w:after="120"/>
      </w:pPr>
      <w:r w:rsidRPr="00691D97">
        <w:t>The design and implementation of the recommended graduated risk-proportionate regulatory model, as it relates to upholding the rights of people with disability to exercise choice and control,</w:t>
      </w:r>
    </w:p>
    <w:p w14:paraId="788DD1ED" w14:textId="77777777" w:rsidR="00662542" w:rsidRPr="00691D97" w:rsidRDefault="00662542" w:rsidP="002248D1">
      <w:pPr>
        <w:numPr>
          <w:ilvl w:val="0"/>
          <w:numId w:val="78"/>
        </w:numPr>
        <w:spacing w:after="120"/>
      </w:pPr>
      <w:r w:rsidRPr="00691D97">
        <w:t>A Provider Risk Framework that identifies and evaluates the risk profile of different types of supports and providers,</w:t>
      </w:r>
    </w:p>
    <w:p w14:paraId="73BB70D9" w14:textId="77777777" w:rsidR="00662542" w:rsidRPr="00691D97" w:rsidRDefault="00662542" w:rsidP="00CA496C">
      <w:pPr>
        <w:numPr>
          <w:ilvl w:val="0"/>
          <w:numId w:val="78"/>
        </w:numPr>
        <w:spacing w:after="360"/>
      </w:pPr>
      <w:r w:rsidRPr="00691D97">
        <w:t>Arrangements for platform providers and circumstances where participants directly employ their workers. </w:t>
      </w:r>
    </w:p>
    <w:p w14:paraId="78E5297E" w14:textId="77777777" w:rsidR="00662542" w:rsidRPr="00213D5C" w:rsidRDefault="00662542" w:rsidP="00213D5C">
      <w:pPr>
        <w:rPr>
          <w:color w:val="0D2B58"/>
          <w:sz w:val="32"/>
          <w:szCs w:val="32"/>
        </w:rPr>
      </w:pPr>
      <w:bookmarkStart w:id="151" w:name="_Toc170919710"/>
      <w:r w:rsidRPr="00213D5C">
        <w:rPr>
          <w:color w:val="0D2B58"/>
          <w:sz w:val="32"/>
          <w:szCs w:val="32"/>
        </w:rPr>
        <w:t>Context</w:t>
      </w:r>
      <w:bookmarkEnd w:id="151"/>
    </w:p>
    <w:p w14:paraId="0A75BFF0" w14:textId="77777777" w:rsidR="00662542" w:rsidRPr="00C87898" w:rsidRDefault="00662542" w:rsidP="00C87898">
      <w:r w:rsidRPr="00691D97">
        <w:t xml:space="preserve">The NDIS gives effect to Australia’s obligations under the UN Convention on the Rights of Persons with </w:t>
      </w:r>
      <w:r w:rsidRPr="00C87898">
        <w:t>Disabilities (UNCRPD).</w:t>
      </w:r>
    </w:p>
    <w:p w14:paraId="625102B9" w14:textId="77777777" w:rsidR="00662542" w:rsidRPr="00691D97" w:rsidRDefault="00662542" w:rsidP="00C87898">
      <w:r w:rsidRPr="00C87898">
        <w:t>In the NDIS, people with disability can expect to receive quality and innovative supports, and be protected and prevented from experiencing harm. They can also expect to exercise their rights to choose the way in which</w:t>
      </w:r>
      <w:r w:rsidRPr="00691D97">
        <w:t xml:space="preserve"> their supports are delivered, including by whom, having </w:t>
      </w:r>
      <w:r w:rsidRPr="00691D97">
        <w:lastRenderedPageBreak/>
        <w:t>access to all the information and support they need, or choose to use, to inform their decisions.</w:t>
      </w:r>
    </w:p>
    <w:p w14:paraId="58E2574F" w14:textId="77777777" w:rsidR="00662542" w:rsidRPr="00691D97" w:rsidRDefault="00662542" w:rsidP="00E11C95">
      <w:pPr>
        <w:spacing w:after="160" w:line="276" w:lineRule="auto"/>
      </w:pPr>
      <w:r w:rsidRPr="00691D97">
        <w:t>Currently, the decision about how a participant’s plan will be managed, and the supports that are in that plan, determines the types of providers a person can choose to deliver their support. This includes whether their providers must be registered by the NDIS Commission or not.</w:t>
      </w:r>
    </w:p>
    <w:p w14:paraId="7E3C654F" w14:textId="77777777" w:rsidR="00662542" w:rsidRPr="00691D97" w:rsidRDefault="00662542" w:rsidP="00E11C95">
      <w:pPr>
        <w:spacing w:after="160" w:line="276" w:lineRule="auto"/>
      </w:pPr>
      <w:r w:rsidRPr="00691D97">
        <w:t>Legal arrangements and relationships may vary in circumstances where participants directly employ their workers. ‘Services for One’ arrangements have generally been set up in circumstances where the support needs of the participant are very complex and families have not been able to obtain the quality of supports they require in the open market. Close consultation with this group is particularly important, so as not to disrupt arrangements which are working well and have taken years to establish and build up.</w:t>
      </w:r>
    </w:p>
    <w:p w14:paraId="6E079250" w14:textId="77777777" w:rsidR="00662542" w:rsidRPr="00691D97" w:rsidRDefault="00662542" w:rsidP="00E11C95">
      <w:pPr>
        <w:spacing w:after="160" w:line="276" w:lineRule="auto"/>
      </w:pPr>
      <w:r w:rsidRPr="00691D97">
        <w:t>The NDIS Review has recommended that there be a graduated mandatory registration (or enrolment) of all NDIS providers that is proportionate to complexity, and the risks of a providers’ activities and operations.</w:t>
      </w:r>
    </w:p>
    <w:p w14:paraId="3385089D" w14:textId="77777777" w:rsidR="00662542" w:rsidRPr="00691D97" w:rsidRDefault="00662542" w:rsidP="00E11C95">
      <w:pPr>
        <w:spacing w:after="160" w:line="276" w:lineRule="auto"/>
      </w:pPr>
      <w:r w:rsidRPr="00691D97">
        <w:t>It proposes greater use of preventative measures applied to all providers and participants to make the system work better for everyone and prevent harm to those most at risk, to strike a better balance between preventing harm, supporting choice and control, encouraging innovation and enabling the market to thrive.</w:t>
      </w:r>
    </w:p>
    <w:p w14:paraId="11A84B20" w14:textId="77777777" w:rsidR="00662542" w:rsidRPr="00691D97" w:rsidRDefault="00662542" w:rsidP="00E11C95">
      <w:pPr>
        <w:spacing w:after="160" w:line="276" w:lineRule="auto"/>
      </w:pPr>
      <w:r w:rsidRPr="00691D97">
        <w:t>The NDIS Review has observed that there are both gaps in regulation for higher-risk support delivery, as well as excessive burden and duplication for lower-risk support delivery.</w:t>
      </w:r>
    </w:p>
    <w:p w14:paraId="0056C72C" w14:textId="77777777" w:rsidR="00662542" w:rsidRPr="00691D97" w:rsidRDefault="00662542" w:rsidP="00E11C95">
      <w:pPr>
        <w:spacing w:after="160" w:line="276" w:lineRule="auto"/>
      </w:pPr>
      <w:r w:rsidRPr="00691D97">
        <w:t>The NDIS Review also recommends that the NDIS Act should be changed so that the connection between how a person chooses to manage their NDIS plan, and the regulatory status of their providers is removed.</w:t>
      </w:r>
    </w:p>
    <w:p w14:paraId="1085052F" w14:textId="62DD152E" w:rsidR="00E50DE5" w:rsidRPr="005B05B3" w:rsidRDefault="00662542" w:rsidP="00E11C95">
      <w:pPr>
        <w:spacing w:after="160" w:line="276" w:lineRule="auto"/>
      </w:pPr>
      <w:r w:rsidRPr="00691D97">
        <w:t>The Review indicated that further work will be required to design and implement this model, including consultation with people with disability, providers and other regulators, to determine how and where proportionality should be applied through a Provider Risk Framework.</w:t>
      </w:r>
    </w:p>
    <w:sectPr w:rsidR="00E50DE5" w:rsidRPr="005B05B3" w:rsidSect="00E35029">
      <w:pgSz w:w="11906" w:h="16838"/>
      <w:pgMar w:top="1768" w:right="827" w:bottom="1440" w:left="1440"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342D" w14:textId="77777777" w:rsidR="0099234B" w:rsidRDefault="0099234B" w:rsidP="00245247">
      <w:pPr>
        <w:spacing w:after="0" w:line="240" w:lineRule="auto"/>
      </w:pPr>
      <w:r>
        <w:separator/>
      </w:r>
    </w:p>
  </w:endnote>
  <w:endnote w:type="continuationSeparator" w:id="0">
    <w:p w14:paraId="5981A55A" w14:textId="77777777" w:rsidR="0099234B" w:rsidRDefault="0099234B" w:rsidP="00245247">
      <w:pPr>
        <w:spacing w:after="0" w:line="240" w:lineRule="auto"/>
      </w:pPr>
      <w:r>
        <w:continuationSeparator/>
      </w:r>
    </w:p>
  </w:endnote>
  <w:endnote w:type="continuationNotice" w:id="1">
    <w:p w14:paraId="77BE45A9" w14:textId="77777777" w:rsidR="0099234B" w:rsidRDefault="009923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PT Sans">
    <w:charset w:val="4D"/>
    <w:family w:val="swiss"/>
    <w:pitch w:val="variable"/>
    <w:sig w:usb0="A00002EF" w:usb1="5000204B" w:usb2="00000000" w:usb3="00000000" w:csb0="00000097" w:csb1="00000000"/>
  </w:font>
  <w:font w:name="Open Sans">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31D5" w14:textId="7EE9BAC6" w:rsidR="00B90F03" w:rsidRDefault="00B90F03">
    <w:pPr>
      <w:pStyle w:val="Footer"/>
    </w:pPr>
    <w:r>
      <w:rPr>
        <w:noProof/>
      </w:rPr>
      <mc:AlternateContent>
        <mc:Choice Requires="wps">
          <w:drawing>
            <wp:anchor distT="0" distB="0" distL="0" distR="0" simplePos="0" relativeHeight="251708422" behindDoc="0" locked="0" layoutInCell="1" allowOverlap="1" wp14:anchorId="67AF2973" wp14:editId="4E2DEF07">
              <wp:simplePos x="635" y="635"/>
              <wp:positionH relativeFrom="page">
                <wp:align>center</wp:align>
              </wp:positionH>
              <wp:positionV relativeFrom="page">
                <wp:align>bottom</wp:align>
              </wp:positionV>
              <wp:extent cx="622300" cy="393700"/>
              <wp:effectExtent l="0" t="0" r="6350" b="0"/>
              <wp:wrapNone/>
              <wp:docPr id="91411044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3700"/>
                      </a:xfrm>
                      <a:prstGeom prst="rect">
                        <a:avLst/>
                      </a:prstGeom>
                      <a:noFill/>
                      <a:ln>
                        <a:noFill/>
                      </a:ln>
                    </wps:spPr>
                    <wps:txbx>
                      <w:txbxContent>
                        <w:p w14:paraId="7329F430" w14:textId="2B89D4D1" w:rsidR="00B90F03" w:rsidRPr="00B90F03" w:rsidRDefault="00B90F03" w:rsidP="00B90F03">
                          <w:pPr>
                            <w:spacing w:after="0"/>
                            <w:rPr>
                              <w:rFonts w:eastAsia="Aptos" w:cs="Aptos"/>
                              <w:noProof/>
                              <w:color w:val="FF0000"/>
                            </w:rPr>
                          </w:pPr>
                          <w:r w:rsidRPr="00B90F03">
                            <w:rPr>
                              <w:rFont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F2973" id="_x0000_t202" coordsize="21600,21600" o:spt="202" path="m,l,21600r21600,l21600,xe">
              <v:stroke joinstyle="miter"/>
              <v:path gradientshapeok="t" o:connecttype="rect"/>
            </v:shapetype>
            <v:shape id="Text Box 17" o:spid="_x0000_s1028" type="#_x0000_t202" alt="OFFICIAL" style="position:absolute;margin-left:0;margin-top:0;width:49pt;height:31pt;z-index:25170842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" filled="f" stroked="f">
              <v:textbox style="mso-fit-shape-to-text:t" inset="0,0,0,15pt">
                <w:txbxContent>
                  <w:p w14:paraId="7329F430" w14:textId="2B89D4D1" w:rsidR="00B90F03" w:rsidRPr="00B90F03" w:rsidRDefault="00B90F03" w:rsidP="00B90F03">
                    <w:pPr>
                      <w:spacing w:after="0"/>
                      <w:rPr>
                        <w:rFonts w:eastAsia="Aptos" w:cs="Aptos"/>
                        <w:noProof/>
                        <w:color w:val="FF0000"/>
                      </w:rPr>
                    </w:pPr>
                    <w:r w:rsidRPr="00B90F03">
                      <w:rPr>
                        <w:rFont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C072" w14:textId="2C20A23A" w:rsidR="00EE6796" w:rsidRPr="009E6B31" w:rsidRDefault="009E6B31" w:rsidP="009E6B31">
    <w:pPr>
      <w:pStyle w:val="Footer"/>
      <w:rPr>
        <w:sz w:val="18"/>
        <w:szCs w:val="18"/>
      </w:rPr>
    </w:pPr>
    <w:r w:rsidRPr="001B5EF1">
      <w:rPr>
        <w:rStyle w:val="PageNumber"/>
      </w:rPr>
      <w:t>NDIS Provider and Worker Registration Taskforce Report</w:t>
    </w:r>
    <w:r>
      <w:rPr>
        <w:rStyle w:val="PageNumber"/>
      </w:rPr>
      <w:tab/>
    </w:r>
    <w:r>
      <w:rPr>
        <w:sz w:val="18"/>
        <w:szCs w:val="18"/>
      </w:rPr>
      <w:tab/>
    </w:r>
    <w:r w:rsidRPr="009E6B31">
      <w:rPr>
        <w:sz w:val="18"/>
        <w:szCs w:val="18"/>
      </w:rPr>
      <w:t xml:space="preserve">Page </w:t>
    </w:r>
    <w:r w:rsidRPr="009E6B31">
      <w:rPr>
        <w:sz w:val="18"/>
        <w:szCs w:val="18"/>
      </w:rPr>
      <w:fldChar w:fldCharType="begin"/>
    </w:r>
    <w:r w:rsidRPr="009E6B31">
      <w:rPr>
        <w:sz w:val="18"/>
        <w:szCs w:val="18"/>
      </w:rPr>
      <w:instrText xml:space="preserve"> PAGE  \* Arabic  \* MERGEFORMAT </w:instrText>
    </w:r>
    <w:r w:rsidRPr="009E6B31">
      <w:rPr>
        <w:sz w:val="18"/>
        <w:szCs w:val="18"/>
      </w:rPr>
      <w:fldChar w:fldCharType="separate"/>
    </w:r>
    <w:r w:rsidRPr="009E6B31">
      <w:rPr>
        <w:noProof/>
        <w:sz w:val="18"/>
        <w:szCs w:val="18"/>
      </w:rPr>
      <w:t>2</w:t>
    </w:r>
    <w:r w:rsidRPr="009E6B31">
      <w:rPr>
        <w:sz w:val="18"/>
        <w:szCs w:val="18"/>
      </w:rPr>
      <w:fldChar w:fldCharType="end"/>
    </w:r>
    <w:r w:rsidRPr="009E6B31">
      <w:rPr>
        <w:sz w:val="18"/>
        <w:szCs w:val="18"/>
      </w:rPr>
      <w:t xml:space="preserve"> of </w:t>
    </w:r>
    <w:r w:rsidRPr="009E6B31">
      <w:rPr>
        <w:sz w:val="18"/>
        <w:szCs w:val="18"/>
      </w:rPr>
      <w:fldChar w:fldCharType="begin"/>
    </w:r>
    <w:r w:rsidRPr="009E6B31">
      <w:rPr>
        <w:sz w:val="18"/>
        <w:szCs w:val="18"/>
      </w:rPr>
      <w:instrText xml:space="preserve"> NUMPAGES  \* Arabic  \* MERGEFORMAT </w:instrText>
    </w:r>
    <w:r w:rsidRPr="009E6B31">
      <w:rPr>
        <w:sz w:val="18"/>
        <w:szCs w:val="18"/>
      </w:rPr>
      <w:fldChar w:fldCharType="separate"/>
    </w:r>
    <w:r w:rsidRPr="009E6B31">
      <w:rPr>
        <w:noProof/>
        <w:sz w:val="18"/>
        <w:szCs w:val="18"/>
      </w:rPr>
      <w:t>2</w:t>
    </w:r>
    <w:r w:rsidRPr="009E6B31">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4945" w14:textId="4C4AAA8B" w:rsidR="00EE6796" w:rsidRPr="009E6B31" w:rsidRDefault="009E6B31">
    <w:pPr>
      <w:pStyle w:val="Footer"/>
      <w:rPr>
        <w:sz w:val="18"/>
        <w:szCs w:val="18"/>
      </w:rPr>
    </w:pPr>
    <w:r w:rsidRPr="001B5EF1">
      <w:rPr>
        <w:rStyle w:val="PageNumber"/>
      </w:rPr>
      <w:t>NDIS Provider and Worker Registration Taskforce Report</w:t>
    </w:r>
    <w:r w:rsidRPr="009E6B31">
      <w:rPr>
        <w:color w:val="156082" w:themeColor="accent1"/>
        <w:sz w:val="18"/>
        <w:szCs w:val="18"/>
      </w:rPr>
      <w:t xml:space="preserve"> </w:t>
    </w:r>
    <w:r>
      <w:rPr>
        <w:color w:val="156082" w:themeColor="accent1"/>
        <w:sz w:val="18"/>
        <w:szCs w:val="18"/>
      </w:rPr>
      <w:tab/>
    </w:r>
    <w:r>
      <w:rPr>
        <w:color w:val="156082" w:themeColor="accent1"/>
        <w:sz w:val="18"/>
        <w:szCs w:val="18"/>
      </w:rPr>
      <w:tab/>
    </w:r>
    <w:r w:rsidRPr="009E6B31">
      <w:rPr>
        <w:sz w:val="18"/>
        <w:szCs w:val="18"/>
      </w:rPr>
      <w:t xml:space="preserve">Page </w:t>
    </w:r>
    <w:r w:rsidRPr="009E6B31">
      <w:rPr>
        <w:sz w:val="18"/>
        <w:szCs w:val="18"/>
      </w:rPr>
      <w:fldChar w:fldCharType="begin"/>
    </w:r>
    <w:r w:rsidRPr="009E6B31">
      <w:rPr>
        <w:sz w:val="18"/>
        <w:szCs w:val="18"/>
      </w:rPr>
      <w:instrText xml:space="preserve"> PAGE  \* Arabic  \* MERGEFORMAT </w:instrText>
    </w:r>
    <w:r w:rsidRPr="009E6B31">
      <w:rPr>
        <w:sz w:val="18"/>
        <w:szCs w:val="18"/>
      </w:rPr>
      <w:fldChar w:fldCharType="separate"/>
    </w:r>
    <w:r w:rsidRPr="009E6B31">
      <w:rPr>
        <w:noProof/>
        <w:sz w:val="18"/>
        <w:szCs w:val="18"/>
      </w:rPr>
      <w:t>2</w:t>
    </w:r>
    <w:r w:rsidRPr="009E6B31">
      <w:rPr>
        <w:sz w:val="18"/>
        <w:szCs w:val="18"/>
      </w:rPr>
      <w:fldChar w:fldCharType="end"/>
    </w:r>
    <w:r w:rsidRPr="009E6B31">
      <w:rPr>
        <w:sz w:val="18"/>
        <w:szCs w:val="18"/>
      </w:rPr>
      <w:t xml:space="preserve"> of </w:t>
    </w:r>
    <w:r w:rsidRPr="009E6B31">
      <w:rPr>
        <w:sz w:val="18"/>
        <w:szCs w:val="18"/>
      </w:rPr>
      <w:fldChar w:fldCharType="begin"/>
    </w:r>
    <w:r w:rsidRPr="009E6B31">
      <w:rPr>
        <w:sz w:val="18"/>
        <w:szCs w:val="18"/>
      </w:rPr>
      <w:instrText xml:space="preserve"> NUMPAGES  \* Arabic  \* MERGEFORMAT </w:instrText>
    </w:r>
    <w:r w:rsidRPr="009E6B31">
      <w:rPr>
        <w:sz w:val="18"/>
        <w:szCs w:val="18"/>
      </w:rPr>
      <w:fldChar w:fldCharType="separate"/>
    </w:r>
    <w:r w:rsidRPr="009E6B31">
      <w:rPr>
        <w:noProof/>
        <w:sz w:val="18"/>
        <w:szCs w:val="18"/>
      </w:rPr>
      <w:t>2</w:t>
    </w:r>
    <w:r w:rsidRPr="009E6B3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DB78" w14:textId="77777777" w:rsidR="0099234B" w:rsidRDefault="0099234B" w:rsidP="00245247">
      <w:pPr>
        <w:spacing w:after="0" w:line="240" w:lineRule="auto"/>
      </w:pPr>
      <w:r>
        <w:separator/>
      </w:r>
    </w:p>
  </w:footnote>
  <w:footnote w:type="continuationSeparator" w:id="0">
    <w:p w14:paraId="58C01BE9" w14:textId="77777777" w:rsidR="0099234B" w:rsidRDefault="0099234B" w:rsidP="00245247">
      <w:pPr>
        <w:spacing w:after="0" w:line="240" w:lineRule="auto"/>
      </w:pPr>
      <w:r>
        <w:continuationSeparator/>
      </w:r>
    </w:p>
  </w:footnote>
  <w:footnote w:type="continuationNotice" w:id="1">
    <w:p w14:paraId="3D63AA8B" w14:textId="77777777" w:rsidR="0099234B" w:rsidRDefault="0099234B">
      <w:pPr>
        <w:spacing w:after="0" w:line="240" w:lineRule="auto"/>
      </w:pPr>
    </w:p>
  </w:footnote>
  <w:footnote w:id="2">
    <w:p w14:paraId="690922DE" w14:textId="05C807AB" w:rsidR="62448A57" w:rsidRDefault="62448A57" w:rsidP="62448A57">
      <w:pPr>
        <w:pStyle w:val="FootnoteText"/>
      </w:pPr>
      <w:r w:rsidRPr="62448A57">
        <w:rPr>
          <w:rStyle w:val="FootnoteReference"/>
        </w:rPr>
        <w:footnoteRef/>
      </w:r>
      <w:r>
        <w:t xml:space="preserve"> </w:t>
      </w:r>
      <w:r w:rsidR="00F13DB1">
        <w:t xml:space="preserve">Disability Royal Commission Final Report, Volume 10, </w:t>
      </w:r>
      <w:r>
        <w:t>Recommendation 10.28: Information sharing between prescribed bodies.</w:t>
      </w:r>
    </w:p>
  </w:footnote>
  <w:footnote w:id="3">
    <w:p w14:paraId="79F5B238" w14:textId="68EA6172" w:rsidR="00226991" w:rsidRDefault="00226991">
      <w:pPr>
        <w:pStyle w:val="FootnoteText"/>
      </w:pPr>
      <w:r>
        <w:rPr>
          <w:rStyle w:val="FootnoteReference"/>
        </w:rPr>
        <w:footnoteRef/>
      </w:r>
      <w:r>
        <w:t xml:space="preserve"> </w:t>
      </w:r>
      <w:r w:rsidR="00CB7A96" w:rsidRPr="00163591">
        <w:t>D</w:t>
      </w:r>
      <w:r w:rsidR="00263BEC">
        <w:t xml:space="preserve">isability </w:t>
      </w:r>
      <w:r w:rsidR="00CB7A96" w:rsidRPr="00163591">
        <w:t>R</w:t>
      </w:r>
      <w:r w:rsidR="00263BEC">
        <w:t xml:space="preserve">oyal </w:t>
      </w:r>
      <w:r w:rsidR="00CB7A96" w:rsidRPr="00163591">
        <w:t>C</w:t>
      </w:r>
      <w:r w:rsidR="00263BEC">
        <w:t>ommission</w:t>
      </w:r>
      <w:r w:rsidR="00CB7A96" w:rsidRPr="00163591">
        <w:t> </w:t>
      </w:r>
      <w:r w:rsidR="00FE4565">
        <w:t xml:space="preserve">Final Report </w:t>
      </w:r>
      <w:r w:rsidR="00CB7A96" w:rsidRPr="00163591">
        <w:t>Recommendation 11.12, vol. 11</w:t>
      </w:r>
      <w:r w:rsidR="00CB7A96">
        <w:t>.</w:t>
      </w:r>
    </w:p>
  </w:footnote>
  <w:footnote w:id="4">
    <w:p w14:paraId="75BAC67D" w14:textId="6A72E226" w:rsidR="001E03A7" w:rsidRDefault="001E03A7" w:rsidP="001E03A7">
      <w:pPr>
        <w:pStyle w:val="FootnoteText"/>
      </w:pPr>
      <w:r w:rsidRPr="34575DD7">
        <w:rPr>
          <w:rStyle w:val="FootnoteReference"/>
        </w:rPr>
        <w:footnoteRef/>
      </w:r>
      <w:r>
        <w:t xml:space="preserve"> </w:t>
      </w:r>
      <w:r w:rsidR="003828A9" w:rsidRPr="34575DD7">
        <w:rPr>
          <w:i/>
          <w:iCs/>
        </w:rPr>
        <w:t>National Disability Insurance Scheme Act 2013</w:t>
      </w:r>
      <w:r w:rsidR="003828A9">
        <w:t xml:space="preserve"> </w:t>
      </w:r>
      <w:r w:rsidR="002F1165">
        <w:t xml:space="preserve">(Cth) </w:t>
      </w:r>
      <w:r w:rsidR="00162EDC">
        <w:t xml:space="preserve">(NDIS Act) </w:t>
      </w:r>
      <w:r w:rsidR="002F1165">
        <w:t xml:space="preserve">section 117 establishes the NDIA and section 118 outlines its </w:t>
      </w:r>
      <w:r w:rsidR="009F0644">
        <w:t>functions.</w:t>
      </w:r>
    </w:p>
  </w:footnote>
  <w:footnote w:id="5">
    <w:p w14:paraId="195DA8F1" w14:textId="77777777" w:rsidR="001E03A7" w:rsidRPr="005B2C4D" w:rsidRDefault="001E03A7" w:rsidP="001E03A7">
      <w:pPr>
        <w:pStyle w:val="FootnoteText"/>
      </w:pPr>
      <w:r>
        <w:rPr>
          <w:rStyle w:val="FootnoteReference"/>
        </w:rPr>
        <w:footnoteRef/>
      </w:r>
      <w:r>
        <w:t xml:space="preserve"> NDIS Act, section 181A</w:t>
      </w:r>
    </w:p>
  </w:footnote>
  <w:footnote w:id="6">
    <w:p w14:paraId="3926DEDF" w14:textId="492BC477" w:rsidR="001E03A7" w:rsidRPr="005B2C4D" w:rsidRDefault="001E03A7" w:rsidP="001E03A7">
      <w:pPr>
        <w:pStyle w:val="FootnoteText"/>
      </w:pPr>
      <w:r>
        <w:rPr>
          <w:rStyle w:val="FootnoteReference"/>
        </w:rPr>
        <w:footnoteRef/>
      </w:r>
      <w:r>
        <w:t xml:space="preserve"> NDIS Act, section 181</w:t>
      </w:r>
      <w:r w:rsidR="00872624">
        <w:t>X</w:t>
      </w:r>
    </w:p>
  </w:footnote>
  <w:footnote w:id="7">
    <w:p w14:paraId="71D05055" w14:textId="2544A363" w:rsidR="0067299D" w:rsidRDefault="0067299D">
      <w:pPr>
        <w:pStyle w:val="FootnoteText"/>
      </w:pPr>
      <w:r>
        <w:rPr>
          <w:rStyle w:val="FootnoteReference"/>
        </w:rPr>
        <w:footnoteRef/>
      </w:r>
      <w:r>
        <w:t xml:space="preserve"> </w:t>
      </w:r>
      <w:r w:rsidR="00BE53F0" w:rsidRPr="0097527E">
        <w:rPr>
          <w:i/>
          <w:iCs/>
        </w:rPr>
        <w:t>2019 Review of the NDIS Act</w:t>
      </w:r>
      <w:r w:rsidR="009432CF" w:rsidRPr="0097527E">
        <w:rPr>
          <w:i/>
          <w:iCs/>
        </w:rPr>
        <w:t>: Removing Red Tape and Implementing the NDIS Participant Service Guarantee</w:t>
      </w:r>
      <w:r w:rsidR="000B2AC0">
        <w:rPr>
          <w:i/>
          <w:iCs/>
        </w:rPr>
        <w:t xml:space="preserve"> </w:t>
      </w:r>
      <w:hyperlink r:id="rId1" w:history="1">
        <w:r w:rsidR="00F364CE" w:rsidRPr="000937E7">
          <w:t>Tune Review, (</w:t>
        </w:r>
        <w:r w:rsidR="00F364CE" w:rsidRPr="001D3958">
          <w:rPr>
            <w:rStyle w:val="Footnotehyperlink"/>
          </w:rPr>
          <w:t>dss.gov.au</w:t>
        </w:r>
        <w:r w:rsidR="00F364CE" w:rsidRPr="000937E7">
          <w:t>)</w:t>
        </w:r>
      </w:hyperlink>
      <w:r w:rsidR="00F364CE" w:rsidRPr="00F364CE" w:rsidDel="00F364CE">
        <w:t xml:space="preserve"> </w:t>
      </w:r>
    </w:p>
  </w:footnote>
  <w:footnote w:id="8">
    <w:p w14:paraId="5385BC6A" w14:textId="2008BD71" w:rsidR="00161897" w:rsidRDefault="00161897">
      <w:pPr>
        <w:pStyle w:val="FootnoteText"/>
      </w:pPr>
      <w:r>
        <w:rPr>
          <w:rStyle w:val="FootnoteReference"/>
        </w:rPr>
        <w:footnoteRef/>
      </w:r>
      <w:r>
        <w:t xml:space="preserve"> </w:t>
      </w:r>
      <w:r w:rsidR="00EE3B13" w:rsidRPr="0097527E">
        <w:rPr>
          <w:i/>
          <w:iCs/>
        </w:rPr>
        <w:t>Independent review of the adequacy of the regulation of the supports and services provided to Ms Ann-Marie Smith, an NDIS participant</w:t>
      </w:r>
      <w:r w:rsidR="00EE3B13">
        <w:t>, who died on 6 April 2020</w:t>
      </w:r>
      <w:r w:rsidR="000A65D9">
        <w:t xml:space="preserve"> (</w:t>
      </w:r>
      <w:hyperlink r:id="rId2" w:history="1">
        <w:r w:rsidR="000A65D9" w:rsidRPr="00BC26F4">
          <w:rPr>
            <w:rStyle w:val="Hyperlink"/>
            <w:rFonts w:asciiTheme="minorHAnsi" w:hAnsiTheme="minorHAnsi"/>
          </w:rPr>
          <w:t>Robertson Re</w:t>
        </w:r>
        <w:r w:rsidR="0005239E" w:rsidRPr="00BC26F4">
          <w:rPr>
            <w:rStyle w:val="Hyperlink"/>
            <w:rFonts w:asciiTheme="minorHAnsi" w:hAnsiTheme="minorHAnsi"/>
          </w:rPr>
          <w:t>vie</w:t>
        </w:r>
      </w:hyperlink>
      <w:r w:rsidR="0005239E">
        <w:t>w)</w:t>
      </w:r>
      <w:r w:rsidR="00E9698E">
        <w:t xml:space="preserve"> </w:t>
      </w:r>
    </w:p>
  </w:footnote>
  <w:footnote w:id="9">
    <w:p w14:paraId="18BC30DA" w14:textId="207FAE0E" w:rsidR="0072710A" w:rsidRDefault="0072710A">
      <w:pPr>
        <w:pStyle w:val="FootnoteText"/>
      </w:pPr>
      <w:r>
        <w:rPr>
          <w:rStyle w:val="FootnoteReference"/>
        </w:rPr>
        <w:footnoteRef/>
      </w:r>
      <w:r>
        <w:t xml:space="preserve"> </w:t>
      </w:r>
      <w:r w:rsidR="00A01C57" w:rsidRPr="00E9698E">
        <w:t>NDIS Review: Working together to deliver the NDIS</w:t>
      </w:r>
      <w:r w:rsidR="000B2AC0">
        <w:rPr>
          <w:i/>
          <w:iCs/>
        </w:rPr>
        <w:t xml:space="preserve"> </w:t>
      </w:r>
      <w:r w:rsidR="000B2AC0">
        <w:t>(</w:t>
      </w:r>
      <w:hyperlink r:id="rId3" w:history="1">
        <w:r w:rsidR="000B2AC0" w:rsidRPr="0059673B">
          <w:rPr>
            <w:rStyle w:val="Hyperlink"/>
            <w:rFonts w:asciiTheme="minorHAnsi" w:hAnsiTheme="minorHAnsi"/>
          </w:rPr>
          <w:t>NDIS Review</w:t>
        </w:r>
      </w:hyperlink>
      <w:r w:rsidR="00667CCC">
        <w:t>)</w:t>
      </w:r>
    </w:p>
  </w:footnote>
  <w:footnote w:id="10">
    <w:p w14:paraId="56C41997" w14:textId="58B43055" w:rsidR="00EB2877" w:rsidRPr="00D466B7" w:rsidRDefault="00EB2877">
      <w:pPr>
        <w:pStyle w:val="FootnoteText"/>
      </w:pPr>
      <w:r>
        <w:rPr>
          <w:rStyle w:val="FootnoteReference"/>
        </w:rPr>
        <w:footnoteRef/>
      </w:r>
      <w:r>
        <w:t xml:space="preserve"> </w:t>
      </w:r>
      <w:r w:rsidR="008E039D" w:rsidRPr="008E039D">
        <w:t xml:space="preserve">Joint Standing Committee on the NDIS. </w:t>
      </w:r>
      <w:hyperlink r:id="rId4" w:history="1">
        <w:r w:rsidR="008E039D" w:rsidRPr="00F56626">
          <w:rPr>
            <w:rStyle w:val="Hyperlink"/>
            <w:rFonts w:asciiTheme="minorHAnsi" w:hAnsiTheme="minorHAnsi"/>
            <w:i/>
            <w:iCs/>
          </w:rPr>
          <w:t>NDIS Quality and Safeguards Commission</w:t>
        </w:r>
      </w:hyperlink>
      <w:r w:rsidR="008E039D" w:rsidRPr="008E039D">
        <w:t>. Australian Parliament</w:t>
      </w:r>
    </w:p>
  </w:footnote>
  <w:footnote w:id="11">
    <w:p w14:paraId="4BC9F7D4" w14:textId="68ACF79B" w:rsidR="0072710A" w:rsidRPr="00713771" w:rsidRDefault="0072710A">
      <w:pPr>
        <w:pStyle w:val="FootnoteText"/>
        <w:rPr>
          <w:rStyle w:val="Footnotehyperlink"/>
        </w:rPr>
      </w:pPr>
      <w:r>
        <w:rPr>
          <w:rStyle w:val="FootnoteReference"/>
        </w:rPr>
        <w:footnoteRef/>
      </w:r>
      <w:r>
        <w:t xml:space="preserve"> </w:t>
      </w:r>
      <w:r w:rsidR="0048243C">
        <w:t xml:space="preserve">See </w:t>
      </w:r>
      <w:hyperlink r:id="rId5" w:history="1">
        <w:r w:rsidR="00915D97" w:rsidRPr="00713771">
          <w:rPr>
            <w:rStyle w:val="Footnotehyperlink"/>
          </w:rPr>
          <w:t>Final Report Royal Commission into Violence, Abuse, Neglect and Exploitation of People with Disability</w:t>
        </w:r>
      </w:hyperlink>
    </w:p>
  </w:footnote>
  <w:footnote w:id="12">
    <w:p w14:paraId="2340E921" w14:textId="4D6BF0B1" w:rsidR="001E03A7" w:rsidRPr="004F43F7" w:rsidRDefault="001E03A7" w:rsidP="001E03A7">
      <w:pPr>
        <w:pStyle w:val="FootnoteText"/>
      </w:pPr>
      <w:r>
        <w:rPr>
          <w:rStyle w:val="FootnoteReference"/>
        </w:rPr>
        <w:footnoteRef/>
      </w:r>
      <w:r>
        <w:t xml:space="preserve"> Media Release, October 2022, </w:t>
      </w:r>
      <w:hyperlink r:id="rId6" w:history="1">
        <w:r w:rsidRPr="00B77149">
          <w:rPr>
            <w:rStyle w:val="Footnotehyperlink"/>
          </w:rPr>
          <w:t>NDIS 2.0: A new hope | Department of Social Services Ministers (dss.gov.au)</w:t>
        </w:r>
      </w:hyperlink>
    </w:p>
  </w:footnote>
  <w:footnote w:id="13">
    <w:p w14:paraId="0C3C61D8" w14:textId="65BFECC9" w:rsidR="001E03A7" w:rsidRPr="00713771" w:rsidRDefault="001E03A7" w:rsidP="001E03A7">
      <w:pPr>
        <w:pStyle w:val="FootnoteText"/>
        <w:rPr>
          <w:rStyle w:val="Footnotehyperlink"/>
        </w:rPr>
      </w:pPr>
      <w:r>
        <w:rPr>
          <w:rStyle w:val="FootnoteReference"/>
        </w:rPr>
        <w:footnoteRef/>
      </w:r>
      <w:r>
        <w:t xml:space="preserve"> </w:t>
      </w:r>
      <w:hyperlink r:id="rId7" w:history="1">
        <w:r w:rsidRPr="00713771">
          <w:rPr>
            <w:rStyle w:val="Footnotehyperlink"/>
          </w:rPr>
          <w:t>Terms of Reference: Building a strong, effective NDIS | NDIS Review</w:t>
        </w:r>
      </w:hyperlink>
    </w:p>
  </w:footnote>
  <w:footnote w:id="14">
    <w:p w14:paraId="0382608F" w14:textId="77777777" w:rsidR="001E03A7" w:rsidRPr="005B2C4D" w:rsidRDefault="001E03A7" w:rsidP="001E03A7">
      <w:pPr>
        <w:pStyle w:val="FootnoteText"/>
      </w:pPr>
      <w:r>
        <w:rPr>
          <w:rStyle w:val="FootnoteReference"/>
        </w:rPr>
        <w:footnoteRef/>
      </w:r>
      <w:r>
        <w:t xml:space="preserve"> NDIS Review, p.215.</w:t>
      </w:r>
    </w:p>
  </w:footnote>
  <w:footnote w:id="15">
    <w:p w14:paraId="3BBEED32" w14:textId="77777777" w:rsidR="001E03A7" w:rsidRPr="005B2C4D" w:rsidRDefault="001E03A7" w:rsidP="001E03A7">
      <w:pPr>
        <w:pStyle w:val="FootnoteText"/>
      </w:pPr>
      <w:r>
        <w:rPr>
          <w:rStyle w:val="FootnoteReference"/>
        </w:rPr>
        <w:footnoteRef/>
      </w:r>
      <w:r>
        <w:t xml:space="preserve"> NDIS Review, pp.215-217.</w:t>
      </w:r>
    </w:p>
  </w:footnote>
  <w:footnote w:id="16">
    <w:p w14:paraId="2D547C64" w14:textId="14498652" w:rsidR="00B8045A" w:rsidRPr="0097527E" w:rsidRDefault="00B8045A">
      <w:pPr>
        <w:pStyle w:val="FootnoteText"/>
        <w:rPr>
          <w:rFonts w:ascii="Aptos" w:hAnsi="Aptos"/>
        </w:rPr>
      </w:pPr>
      <w:r>
        <w:rPr>
          <w:rStyle w:val="FootnoteReference"/>
        </w:rPr>
        <w:footnoteRef/>
      </w:r>
      <w:r>
        <w:t xml:space="preserve"> </w:t>
      </w:r>
      <w:r w:rsidR="00B25CB1">
        <w:t xml:space="preserve">On </w:t>
      </w:r>
      <w:r w:rsidR="00EA45C1" w:rsidRPr="0097527E">
        <w:rPr>
          <w:rFonts w:ascii="Aptos" w:hAnsi="Aptos"/>
        </w:rPr>
        <w:t xml:space="preserve">24 March 2024 the Minister announced </w:t>
      </w:r>
      <w:r w:rsidR="000811E6" w:rsidRPr="0097527E">
        <w:rPr>
          <w:rFonts w:ascii="Aptos" w:hAnsi="Aptos"/>
        </w:rPr>
        <w:t xml:space="preserve">the establishment of </w:t>
      </w:r>
      <w:r w:rsidR="00EA45C1" w:rsidRPr="0097527E">
        <w:rPr>
          <w:rFonts w:ascii="Aptos" w:hAnsi="Aptos"/>
        </w:rPr>
        <w:t>a joint NDIS Pricing Taskforce chaired by the ACCC</w:t>
      </w:r>
      <w:r w:rsidR="000811E6" w:rsidRPr="0097527E">
        <w:rPr>
          <w:rFonts w:ascii="Aptos" w:hAnsi="Aptos"/>
        </w:rPr>
        <w:t>:</w:t>
      </w:r>
      <w:r w:rsidR="00EA45C1" w:rsidRPr="0097527E">
        <w:rPr>
          <w:rFonts w:ascii="Aptos" w:hAnsi="Aptos"/>
        </w:rPr>
        <w:t xml:space="preserve"> </w:t>
      </w:r>
      <w:hyperlink r:id="rId8" w:history="1">
        <w:r w:rsidR="00EA45C1" w:rsidRPr="00F22F36">
          <w:rPr>
            <w:rStyle w:val="Footnotehyperlink"/>
          </w:rPr>
          <w:t>Cracking down on overcharging of NDIS participants | Department of Social Services Ministers (dss.gov.au)</w:t>
        </w:r>
      </w:hyperlink>
    </w:p>
  </w:footnote>
  <w:footnote w:id="17">
    <w:p w14:paraId="52546079" w14:textId="571B6CE2" w:rsidR="00382B08" w:rsidRPr="0097527E" w:rsidRDefault="00382B08">
      <w:pPr>
        <w:pStyle w:val="FootnoteText"/>
        <w:rPr>
          <w:rFonts w:ascii="Aptos" w:hAnsi="Aptos"/>
        </w:rPr>
      </w:pPr>
      <w:r w:rsidRPr="0097527E">
        <w:rPr>
          <w:rStyle w:val="FootnoteReference"/>
          <w:rFonts w:ascii="Aptos" w:hAnsi="Aptos"/>
        </w:rPr>
        <w:footnoteRef/>
      </w:r>
      <w:r w:rsidRPr="0097527E">
        <w:rPr>
          <w:rFonts w:ascii="Aptos" w:hAnsi="Aptos"/>
        </w:rPr>
        <w:t xml:space="preserve"> </w:t>
      </w:r>
      <w:r w:rsidR="00497467" w:rsidRPr="0097527E">
        <w:rPr>
          <w:rFonts w:ascii="Aptos" w:hAnsi="Aptos"/>
        </w:rPr>
        <w:t xml:space="preserve">See </w:t>
      </w:r>
      <w:r w:rsidR="007E1361" w:rsidRPr="0097527E">
        <w:rPr>
          <w:rFonts w:ascii="Aptos" w:hAnsi="Aptos"/>
        </w:rPr>
        <w:t>Disability Royal Commission</w:t>
      </w:r>
      <w:r w:rsidR="00164F60" w:rsidRPr="0097527E">
        <w:rPr>
          <w:rFonts w:ascii="Aptos" w:hAnsi="Aptos"/>
        </w:rPr>
        <w:t xml:space="preserve"> Final Report, Volume 7 Part C</w:t>
      </w:r>
      <w:r w:rsidR="00815A93" w:rsidRPr="0097527E">
        <w:rPr>
          <w:rFonts w:ascii="Aptos" w:hAnsi="Aptos"/>
        </w:rPr>
        <w:t xml:space="preserve"> pp</w:t>
      </w:r>
      <w:r w:rsidR="001612FA">
        <w:rPr>
          <w:rFonts w:ascii="Aptos" w:hAnsi="Aptos"/>
        </w:rPr>
        <w:t>.</w:t>
      </w:r>
      <w:r w:rsidR="00815A93" w:rsidRPr="0097527E">
        <w:rPr>
          <w:rFonts w:ascii="Aptos" w:hAnsi="Aptos"/>
        </w:rPr>
        <w:t xml:space="preserve"> 639-651</w:t>
      </w:r>
    </w:p>
  </w:footnote>
  <w:footnote w:id="18">
    <w:p w14:paraId="34497C85" w14:textId="321A8ED1" w:rsidR="00832BF2" w:rsidRDefault="00832BF2">
      <w:pPr>
        <w:pStyle w:val="FootnoteText"/>
      </w:pPr>
      <w:r w:rsidRPr="0097527E">
        <w:rPr>
          <w:rStyle w:val="FootnoteReference"/>
          <w:rFonts w:ascii="Aptos" w:hAnsi="Aptos"/>
        </w:rPr>
        <w:footnoteRef/>
      </w:r>
      <w:r w:rsidRPr="0097527E">
        <w:rPr>
          <w:rFonts w:ascii="Aptos" w:hAnsi="Aptos"/>
        </w:rPr>
        <w:t xml:space="preserve"> </w:t>
      </w:r>
      <w:r w:rsidR="000D6D45" w:rsidRPr="0097527E">
        <w:rPr>
          <w:rFonts w:ascii="Aptos" w:hAnsi="Aptos"/>
        </w:rPr>
        <w:t>NDIS</w:t>
      </w:r>
      <w:r w:rsidR="00B3149F" w:rsidRPr="0097527E">
        <w:rPr>
          <w:rFonts w:ascii="Aptos" w:hAnsi="Aptos"/>
        </w:rPr>
        <w:t xml:space="preserve"> Commission</w:t>
      </w:r>
      <w:r w:rsidR="00D47903" w:rsidRPr="0097527E">
        <w:rPr>
          <w:rFonts w:ascii="Aptos" w:hAnsi="Aptos"/>
        </w:rPr>
        <w:t xml:space="preserve"> </w:t>
      </w:r>
      <w:r w:rsidR="001B119F" w:rsidRPr="0097527E">
        <w:rPr>
          <w:rFonts w:ascii="Aptos" w:eastAsia="Aptos" w:hAnsi="Aptos" w:cs="Aptos"/>
          <w:i/>
          <w:iCs/>
          <w:lang w:val="en-US"/>
        </w:rPr>
        <w:t>Own Motion Inquiry into Supported Independent Living</w:t>
      </w:r>
      <w:r w:rsidR="001B119F" w:rsidRPr="00783149">
        <w:rPr>
          <w:rFonts w:ascii="Aptos" w:eastAsia="Aptos" w:hAnsi="Aptos" w:cs="Aptos"/>
          <w:lang w:val="en-US"/>
        </w:rPr>
        <w:t>,</w:t>
      </w:r>
      <w:r w:rsidR="001B119F" w:rsidRPr="0097527E">
        <w:rPr>
          <w:rFonts w:ascii="Aptos" w:hAnsi="Aptos"/>
        </w:rPr>
        <w:t xml:space="preserve"> </w:t>
      </w:r>
      <w:r w:rsidR="00D47903" w:rsidRPr="0097527E">
        <w:rPr>
          <w:rFonts w:ascii="Aptos" w:hAnsi="Aptos"/>
        </w:rPr>
        <w:t>December 2022</w:t>
      </w:r>
      <w:r w:rsidR="000D6D45" w:rsidRPr="0097527E">
        <w:rPr>
          <w:rFonts w:ascii="Aptos" w:hAnsi="Aptos"/>
        </w:rPr>
        <w:t xml:space="preserve"> </w:t>
      </w:r>
      <w:r w:rsidR="00CA23D6" w:rsidRPr="00CA23D6">
        <w:rPr>
          <w:rFonts w:ascii="Aptos" w:hAnsi="Aptos"/>
        </w:rPr>
        <w:t xml:space="preserve"> </w:t>
      </w:r>
    </w:p>
  </w:footnote>
  <w:footnote w:id="19">
    <w:p w14:paraId="76AAD282" w14:textId="73692C58" w:rsidR="002A42BF" w:rsidRPr="0097527E" w:rsidRDefault="002A42BF" w:rsidP="002A42BF">
      <w:pPr>
        <w:pStyle w:val="FootnoteText"/>
        <w:rPr>
          <w:rFonts w:ascii="Aptos" w:hAnsi="Aptos"/>
        </w:rPr>
      </w:pPr>
      <w:r w:rsidRPr="0097527E">
        <w:rPr>
          <w:rStyle w:val="FootnoteReference"/>
          <w:rFonts w:ascii="Aptos" w:hAnsi="Aptos"/>
        </w:rPr>
        <w:footnoteRef/>
      </w:r>
      <w:r w:rsidRPr="0097527E">
        <w:rPr>
          <w:rFonts w:ascii="Aptos" w:hAnsi="Aptos"/>
        </w:rPr>
        <w:t xml:space="preserve"> NDIS provider is</w:t>
      </w:r>
      <w:r w:rsidR="00FA52AB" w:rsidRPr="0097527E">
        <w:rPr>
          <w:rFonts w:ascii="Aptos" w:hAnsi="Aptos"/>
        </w:rPr>
        <w:t xml:space="preserve"> defined</w:t>
      </w:r>
      <w:r w:rsidRPr="0097527E">
        <w:rPr>
          <w:rFonts w:ascii="Aptos" w:hAnsi="Aptos"/>
        </w:rPr>
        <w:t xml:space="preserve"> in Section 9 of the </w:t>
      </w:r>
      <w:r w:rsidRPr="0097527E">
        <w:rPr>
          <w:rFonts w:ascii="Aptos" w:hAnsi="Aptos"/>
          <w:i/>
          <w:iCs/>
        </w:rPr>
        <w:t>National Disability Insurance Scheme Act 2013</w:t>
      </w:r>
      <w:r w:rsidRPr="0097527E">
        <w:rPr>
          <w:rFonts w:ascii="Aptos" w:hAnsi="Aptos"/>
        </w:rPr>
        <w:t xml:space="preserve"> </w:t>
      </w:r>
      <w:hyperlink r:id="rId9" w:history="1">
        <w:r w:rsidRPr="00F22F36">
          <w:rPr>
            <w:rStyle w:val="Footnotehyperlink"/>
          </w:rPr>
          <w:t>Federal Register of Legislation - National Disability Insurance Scheme Act 2013</w:t>
        </w:r>
      </w:hyperlink>
      <w:r w:rsidRPr="0097527E">
        <w:rPr>
          <w:rFonts w:ascii="Aptos" w:hAnsi="Aptos"/>
        </w:rPr>
        <w:t xml:space="preserve"> </w:t>
      </w:r>
    </w:p>
  </w:footnote>
  <w:footnote w:id="20">
    <w:p w14:paraId="125AC881" w14:textId="6BE07B3A" w:rsidR="002A42BF" w:rsidRPr="0097527E" w:rsidRDefault="002A42BF" w:rsidP="002A42BF">
      <w:pPr>
        <w:pStyle w:val="FootnoteText"/>
        <w:rPr>
          <w:rFonts w:ascii="Aptos" w:hAnsi="Aptos"/>
          <w:highlight w:val="yellow"/>
        </w:rPr>
      </w:pPr>
      <w:r w:rsidRPr="0097527E">
        <w:rPr>
          <w:rStyle w:val="FootnoteReference"/>
          <w:rFonts w:ascii="Aptos" w:eastAsia="Aptos" w:hAnsi="Aptos" w:cs="Aptos"/>
        </w:rPr>
        <w:footnoteRef/>
      </w:r>
      <w:r w:rsidRPr="0097527E">
        <w:rPr>
          <w:rFonts w:ascii="Aptos" w:eastAsia="Aptos" w:hAnsi="Aptos" w:cs="Aptos"/>
        </w:rPr>
        <w:t xml:space="preserve"> </w:t>
      </w:r>
      <w:r w:rsidRPr="00577CE8">
        <w:rPr>
          <w:rFonts w:ascii="Aptos" w:eastAsia="Aptos" w:hAnsi="Aptos" w:cs="Aptos"/>
        </w:rPr>
        <w:t xml:space="preserve"> The</w:t>
      </w:r>
      <w:r w:rsidRPr="006051D0">
        <w:rPr>
          <w:rFonts w:ascii="Aptos" w:eastAsia="Aptos" w:hAnsi="Aptos" w:cs="Aptos"/>
        </w:rPr>
        <w:t xml:space="preserve"> NDIS Code of Conduct is set out in </w:t>
      </w:r>
      <w:r w:rsidRPr="0097527E">
        <w:rPr>
          <w:rFonts w:ascii="Aptos" w:eastAsia="Aptos" w:hAnsi="Aptos" w:cs="Aptos"/>
          <w:i/>
          <w:iCs/>
        </w:rPr>
        <w:t>the National Disability Insurance Scheme (Code of Conduct) Rules 2018</w:t>
      </w:r>
      <w:r w:rsidR="00163142">
        <w:rPr>
          <w:rFonts w:ascii="Aptos" w:eastAsia="Aptos" w:hAnsi="Aptos" w:cs="Aptos"/>
        </w:rPr>
        <w:t>.</w:t>
      </w:r>
      <w:r w:rsidR="00530D13" w:rsidRPr="006051D0">
        <w:rPr>
          <w:rFonts w:ascii="Aptos" w:eastAsia="Aptos" w:hAnsi="Aptos" w:cs="Aptos"/>
        </w:rPr>
        <w:t xml:space="preserve"> </w:t>
      </w:r>
      <w:r w:rsidRPr="006051D0">
        <w:rPr>
          <w:rFonts w:ascii="Aptos" w:eastAsia="Aptos" w:hAnsi="Aptos" w:cs="Aptos"/>
        </w:rPr>
        <w:t xml:space="preserve"> The Code applies to</w:t>
      </w:r>
      <w:r w:rsidR="00841661" w:rsidRPr="006051D0">
        <w:rPr>
          <w:rFonts w:ascii="Aptos" w:eastAsia="Aptos" w:hAnsi="Aptos" w:cs="Aptos"/>
        </w:rPr>
        <w:t xml:space="preserve"> all</w:t>
      </w:r>
      <w:r w:rsidRPr="006051D0">
        <w:rPr>
          <w:rFonts w:ascii="Aptos" w:eastAsia="Aptos" w:hAnsi="Aptos" w:cs="Aptos"/>
        </w:rPr>
        <w:t xml:space="preserve"> NDIS </w:t>
      </w:r>
      <w:r w:rsidR="006051D0" w:rsidRPr="006051D0">
        <w:rPr>
          <w:rFonts w:ascii="Aptos" w:eastAsia="Aptos" w:hAnsi="Aptos" w:cs="Aptos"/>
        </w:rPr>
        <w:t>P</w:t>
      </w:r>
      <w:r w:rsidRPr="006051D0">
        <w:rPr>
          <w:rFonts w:ascii="Aptos" w:eastAsia="Aptos" w:hAnsi="Aptos" w:cs="Aptos"/>
        </w:rPr>
        <w:t>roviders</w:t>
      </w:r>
      <w:r w:rsidR="006051D0" w:rsidRPr="006051D0">
        <w:rPr>
          <w:rFonts w:ascii="Aptos" w:eastAsia="Aptos" w:hAnsi="Aptos" w:cs="Aptos"/>
        </w:rPr>
        <w:t xml:space="preserve"> </w:t>
      </w:r>
      <w:hyperlink r:id="rId10" w:history="1">
        <w:r w:rsidR="006051D0" w:rsidRPr="00F22F36">
          <w:rPr>
            <w:rStyle w:val="Footnotehyperlink"/>
          </w:rPr>
          <w:t>Federal Register of Legislation - National Disability Insurance Scheme (Code of Conduct) Rules 2018</w:t>
        </w:r>
      </w:hyperlink>
    </w:p>
  </w:footnote>
  <w:footnote w:id="21">
    <w:p w14:paraId="3FCAB955" w14:textId="737F7E12" w:rsidR="002A42BF" w:rsidRPr="0097527E" w:rsidRDefault="002A42BF" w:rsidP="002A42BF">
      <w:pPr>
        <w:pStyle w:val="FootnoteText"/>
        <w:rPr>
          <w:rFonts w:ascii="Aptos" w:eastAsia="PT Sans" w:hAnsi="Aptos" w:cs="PT Sans"/>
          <w:color w:val="000000" w:themeColor="text1"/>
        </w:rPr>
      </w:pPr>
      <w:r w:rsidRPr="0097527E">
        <w:rPr>
          <w:rStyle w:val="FootnoteReference"/>
          <w:rFonts w:ascii="Aptos" w:hAnsi="Aptos"/>
        </w:rPr>
        <w:footnoteRef/>
      </w:r>
      <w:r w:rsidRPr="0097527E">
        <w:rPr>
          <w:rFonts w:ascii="Aptos" w:hAnsi="Aptos"/>
        </w:rPr>
        <w:t xml:space="preserve"> </w:t>
      </w:r>
      <w:r w:rsidRPr="0097527E">
        <w:rPr>
          <w:rFonts w:ascii="Aptos" w:eastAsia="PT Sans" w:hAnsi="Aptos" w:cs="PT Sans"/>
          <w:color w:val="000000" w:themeColor="text1"/>
        </w:rPr>
        <w:t>The Commission</w:t>
      </w:r>
      <w:r w:rsidR="00DD6F01">
        <w:rPr>
          <w:rFonts w:ascii="Aptos" w:eastAsia="PT Sans" w:hAnsi="Aptos" w:cs="PT Sans"/>
          <w:color w:val="000000" w:themeColor="text1"/>
        </w:rPr>
        <w:t>er’s</w:t>
      </w:r>
      <w:r w:rsidR="00E7136C">
        <w:rPr>
          <w:rFonts w:ascii="Aptos" w:eastAsia="PT Sans" w:hAnsi="Aptos" w:cs="PT Sans"/>
          <w:color w:val="000000" w:themeColor="text1"/>
        </w:rPr>
        <w:t xml:space="preserve"> </w:t>
      </w:r>
      <w:r w:rsidR="002F0D78">
        <w:rPr>
          <w:rFonts w:ascii="Aptos" w:eastAsia="PT Sans" w:hAnsi="Aptos" w:cs="PT Sans"/>
          <w:color w:val="000000" w:themeColor="text1"/>
        </w:rPr>
        <w:t xml:space="preserve">functions and </w:t>
      </w:r>
      <w:r w:rsidR="00E7136C">
        <w:rPr>
          <w:rFonts w:ascii="Aptos" w:eastAsia="PT Sans" w:hAnsi="Aptos" w:cs="PT Sans"/>
          <w:color w:val="000000" w:themeColor="text1"/>
        </w:rPr>
        <w:t>powers</w:t>
      </w:r>
      <w:r w:rsidRPr="0097527E">
        <w:rPr>
          <w:rFonts w:ascii="Aptos" w:eastAsia="PT Sans" w:hAnsi="Aptos" w:cs="PT Sans"/>
          <w:color w:val="000000" w:themeColor="text1"/>
        </w:rPr>
        <w:t xml:space="preserve"> are set out in </w:t>
      </w:r>
      <w:r w:rsidR="00E7136C">
        <w:rPr>
          <w:rFonts w:ascii="Aptos" w:eastAsia="PT Sans" w:hAnsi="Aptos" w:cs="PT Sans"/>
          <w:color w:val="000000" w:themeColor="text1"/>
        </w:rPr>
        <w:t>s181D</w:t>
      </w:r>
      <w:r w:rsidR="002B7553">
        <w:rPr>
          <w:rFonts w:ascii="Aptos" w:eastAsia="PT Sans" w:hAnsi="Aptos" w:cs="PT Sans"/>
          <w:color w:val="000000" w:themeColor="text1"/>
        </w:rPr>
        <w:t xml:space="preserve"> of the</w:t>
      </w:r>
      <w:r w:rsidRPr="00DC2D94">
        <w:rPr>
          <w:rFonts w:ascii="Aptos" w:eastAsia="PT Sans" w:hAnsi="Aptos" w:cs="PT Sans"/>
          <w:color w:val="000000" w:themeColor="text1"/>
        </w:rPr>
        <w:t xml:space="preserve"> </w:t>
      </w:r>
      <w:r w:rsidRPr="00DC2D94">
        <w:rPr>
          <w:rFonts w:ascii="Aptos" w:eastAsia="PT Sans" w:hAnsi="Aptos" w:cs="PT Sans"/>
          <w:i/>
          <w:iCs/>
          <w:color w:val="000000" w:themeColor="text1"/>
        </w:rPr>
        <w:t>National Disability Insurance Scheme Act 2013</w:t>
      </w:r>
      <w:r w:rsidRPr="00DC2D94">
        <w:rPr>
          <w:rFonts w:ascii="Aptos" w:eastAsia="PT Sans" w:hAnsi="Aptos" w:cs="PT Sans"/>
          <w:color w:val="000000" w:themeColor="text1"/>
        </w:rPr>
        <w:t xml:space="preserve"> (the NDIS Act). The NDIS Commission’s approach to enforcement including regulatory powers is also set out in its </w:t>
      </w:r>
      <w:hyperlink r:id="rId11" w:history="1">
        <w:r w:rsidRPr="00F22F36">
          <w:rPr>
            <w:rStyle w:val="Footnotehyperlink"/>
          </w:rPr>
          <w:t xml:space="preserve">Compliance and Enforcement Policy 2022 </w:t>
        </w:r>
      </w:hyperlink>
    </w:p>
  </w:footnote>
  <w:footnote w:id="22">
    <w:p w14:paraId="188B5EC7" w14:textId="471A357B" w:rsidR="24B78D1A" w:rsidRPr="0097527E" w:rsidRDefault="24B78D1A" w:rsidP="0097527E">
      <w:pPr>
        <w:pStyle w:val="FootnoteText"/>
        <w:rPr>
          <w:rFonts w:ascii="Aptos" w:hAnsi="Aptos"/>
        </w:rPr>
      </w:pPr>
      <w:r w:rsidRPr="0097527E">
        <w:rPr>
          <w:rStyle w:val="FootnoteReference"/>
          <w:rFonts w:ascii="Aptos" w:hAnsi="Aptos"/>
        </w:rPr>
        <w:footnoteRef/>
      </w:r>
      <w:r w:rsidR="5E73C965" w:rsidRPr="0097527E">
        <w:rPr>
          <w:rFonts w:ascii="Aptos" w:hAnsi="Aptos"/>
        </w:rPr>
        <w:t xml:space="preserve"> Meeting notes, NDIS Quality and Safeguards Commissioner</w:t>
      </w:r>
    </w:p>
  </w:footnote>
  <w:footnote w:id="23">
    <w:p w14:paraId="4BA70C72" w14:textId="77777777" w:rsidR="00FC6A9E" w:rsidRDefault="00FC6A9E" w:rsidP="00FC6A9E">
      <w:pPr>
        <w:pStyle w:val="FootnoteText"/>
      </w:pPr>
      <w:r>
        <w:rPr>
          <w:rStyle w:val="FootnoteReference"/>
        </w:rPr>
        <w:footnoteRef/>
      </w:r>
      <w:r>
        <w:t xml:space="preserve"> </w:t>
      </w:r>
      <w:r w:rsidRPr="00BD7F5B">
        <w:t>Submission, Unregistered Provider</w:t>
      </w:r>
    </w:p>
  </w:footnote>
  <w:footnote w:id="24">
    <w:p w14:paraId="5F34BBC2" w14:textId="2C8614CD" w:rsidR="002A42BF" w:rsidRPr="0097527E" w:rsidRDefault="002A42BF" w:rsidP="002A42BF">
      <w:pPr>
        <w:pStyle w:val="FootnoteText"/>
        <w:rPr>
          <w:rFonts w:ascii="Aptos" w:hAnsi="Aptos"/>
        </w:rPr>
      </w:pPr>
      <w:r w:rsidRPr="0097527E">
        <w:rPr>
          <w:rStyle w:val="FootnoteReference"/>
          <w:rFonts w:ascii="Aptos" w:hAnsi="Aptos"/>
        </w:rPr>
        <w:footnoteRef/>
      </w:r>
      <w:r w:rsidR="7DC27EF0" w:rsidRPr="0097527E">
        <w:rPr>
          <w:rFonts w:ascii="Aptos" w:hAnsi="Aptos"/>
        </w:rPr>
        <w:t xml:space="preserve">  National Disability Services</w:t>
      </w:r>
      <w:r w:rsidR="00D0475D">
        <w:rPr>
          <w:rFonts w:ascii="Aptos" w:hAnsi="Aptos"/>
        </w:rPr>
        <w:t xml:space="preserve"> </w:t>
      </w:r>
      <w:r w:rsidR="00987DE2">
        <w:rPr>
          <w:rFonts w:ascii="Aptos" w:hAnsi="Aptos"/>
        </w:rPr>
        <w:t>Submission, Page 5</w:t>
      </w:r>
      <w:r w:rsidR="00DC5227">
        <w:rPr>
          <w:rFonts w:ascii="Aptos" w:hAnsi="Aptos"/>
        </w:rPr>
        <w:t>:</w:t>
      </w:r>
      <w:r w:rsidR="00987DE2">
        <w:rPr>
          <w:rFonts w:ascii="Aptos" w:hAnsi="Aptos"/>
        </w:rPr>
        <w:t xml:space="preserve"> </w:t>
      </w:r>
      <w:r w:rsidR="00DC5227" w:rsidRPr="000937E7">
        <w:t>National Disability Insurance Scheme Provider and Worker Registration Taskforce Submission</w:t>
      </w:r>
    </w:p>
  </w:footnote>
  <w:footnote w:id="25">
    <w:p w14:paraId="1A0167C1" w14:textId="6CAC2D91" w:rsidR="112CE13D" w:rsidRPr="004B03C4" w:rsidRDefault="112CE13D" w:rsidP="005B2CBD">
      <w:pPr>
        <w:pStyle w:val="FootnoteText"/>
        <w:rPr>
          <w:rFonts w:ascii="Aptos" w:hAnsi="Aptos"/>
        </w:rPr>
      </w:pPr>
      <w:r w:rsidRPr="004B03C4">
        <w:rPr>
          <w:rStyle w:val="FootnoteReference"/>
          <w:rFonts w:ascii="Aptos" w:hAnsi="Aptos"/>
        </w:rPr>
        <w:footnoteRef/>
      </w:r>
      <w:r w:rsidRPr="004B03C4">
        <w:rPr>
          <w:rFonts w:ascii="Aptos" w:hAnsi="Aptos"/>
        </w:rPr>
        <w:t xml:space="preserve"> Submission, </w:t>
      </w:r>
      <w:r w:rsidR="007A6B54" w:rsidRPr="004B03C4">
        <w:rPr>
          <w:rFonts w:ascii="Aptos" w:hAnsi="Aptos"/>
        </w:rPr>
        <w:t>Advocacy Organisation</w:t>
      </w:r>
    </w:p>
  </w:footnote>
  <w:footnote w:id="26">
    <w:p w14:paraId="3B863B01" w14:textId="4B4A1EC8" w:rsidR="002A42BF" w:rsidRPr="005B2CBD" w:rsidRDefault="002A42BF" w:rsidP="002A42BF">
      <w:pPr>
        <w:pStyle w:val="FootnoteText"/>
        <w:rPr>
          <w:rFonts w:ascii="Aptos" w:hAnsi="Aptos"/>
        </w:rPr>
      </w:pPr>
      <w:r w:rsidRPr="004B03C4">
        <w:rPr>
          <w:rStyle w:val="FootnoteReference"/>
          <w:rFonts w:ascii="Aptos" w:hAnsi="Aptos"/>
        </w:rPr>
        <w:footnoteRef/>
      </w:r>
      <w:r w:rsidRPr="004B03C4">
        <w:rPr>
          <w:rFonts w:ascii="Aptos" w:hAnsi="Aptos"/>
        </w:rPr>
        <w:t xml:space="preserve"> </w:t>
      </w:r>
      <w:r w:rsidRPr="00E46EE6">
        <w:rPr>
          <w:rFonts w:ascii="Aptos" w:hAnsi="Aptos"/>
        </w:rPr>
        <w:t xml:space="preserve">NDIS Review, Recommendation 17 </w:t>
      </w:r>
      <w:r w:rsidR="007032B7" w:rsidRPr="00E46EE6">
        <w:rPr>
          <w:rFonts w:ascii="Aptos" w:hAnsi="Aptos"/>
        </w:rPr>
        <w:t>P</w:t>
      </w:r>
      <w:r w:rsidRPr="00E46EE6">
        <w:rPr>
          <w:rFonts w:ascii="Aptos" w:hAnsi="Aptos"/>
        </w:rPr>
        <w:t>age 215</w:t>
      </w:r>
      <w:r w:rsidRPr="004B03C4">
        <w:rPr>
          <w:rFonts w:ascii="Aptos" w:hAnsi="Aptos"/>
        </w:rPr>
        <w:t xml:space="preserve"> </w:t>
      </w:r>
    </w:p>
  </w:footnote>
  <w:footnote w:id="27">
    <w:p w14:paraId="27927653" w14:textId="033A033F" w:rsidR="002A42BF" w:rsidRPr="005B2CBD" w:rsidRDefault="002A42BF" w:rsidP="002A42BF">
      <w:pPr>
        <w:pStyle w:val="FootnoteText"/>
        <w:rPr>
          <w:rFonts w:ascii="Aptos" w:hAnsi="Aptos"/>
        </w:rPr>
      </w:pPr>
      <w:r w:rsidRPr="005B2CBD">
        <w:rPr>
          <w:rStyle w:val="FootnoteReference"/>
          <w:rFonts w:ascii="Aptos" w:hAnsi="Aptos"/>
        </w:rPr>
        <w:footnoteRef/>
      </w:r>
      <w:r w:rsidRPr="005B2CBD">
        <w:rPr>
          <w:rFonts w:ascii="Aptos" w:hAnsi="Aptos"/>
        </w:rPr>
        <w:t xml:space="preserve"> NDIS Review</w:t>
      </w:r>
      <w:r w:rsidR="007A3B5E" w:rsidRPr="005B2CBD">
        <w:rPr>
          <w:rFonts w:ascii="Aptos" w:hAnsi="Aptos"/>
        </w:rPr>
        <w:t xml:space="preserve">, Figure 11 </w:t>
      </w:r>
      <w:r w:rsidR="00982D60">
        <w:rPr>
          <w:rFonts w:ascii="Aptos" w:hAnsi="Aptos"/>
        </w:rPr>
        <w:t>p.</w:t>
      </w:r>
      <w:r w:rsidR="007A3B5E" w:rsidRPr="005B2CBD">
        <w:rPr>
          <w:rFonts w:ascii="Aptos" w:hAnsi="Aptos"/>
        </w:rPr>
        <w:t>182</w:t>
      </w:r>
      <w:r w:rsidR="001138F3">
        <w:rPr>
          <w:rFonts w:ascii="Aptos" w:hAnsi="Aptos"/>
        </w:rPr>
        <w:t xml:space="preserve">, and </w:t>
      </w:r>
      <w:r w:rsidR="003C6130">
        <w:rPr>
          <w:rFonts w:ascii="Aptos" w:hAnsi="Aptos"/>
        </w:rPr>
        <w:t xml:space="preserve">Action 10.3 </w:t>
      </w:r>
      <w:r w:rsidR="00982D60">
        <w:rPr>
          <w:rFonts w:ascii="Aptos" w:hAnsi="Aptos"/>
        </w:rPr>
        <w:t>p.</w:t>
      </w:r>
      <w:r w:rsidR="003C6130">
        <w:rPr>
          <w:rFonts w:ascii="Aptos" w:hAnsi="Aptos"/>
        </w:rPr>
        <w:t>164</w:t>
      </w:r>
    </w:p>
  </w:footnote>
  <w:footnote w:id="28">
    <w:p w14:paraId="6BD48C50" w14:textId="72218A4D" w:rsidR="002A42BF" w:rsidRDefault="002A42BF" w:rsidP="002A42BF">
      <w:pPr>
        <w:pStyle w:val="FootnoteText"/>
        <w:rPr>
          <w:rFonts w:ascii="Segoe UI" w:eastAsia="Segoe UI" w:hAnsi="Segoe UI" w:cs="Segoe UI"/>
          <w:color w:val="333333"/>
          <w:sz w:val="18"/>
          <w:szCs w:val="18"/>
        </w:rPr>
      </w:pPr>
      <w:r w:rsidRPr="005B2CBD">
        <w:rPr>
          <w:rStyle w:val="FootnoteReference"/>
          <w:rFonts w:ascii="Aptos" w:hAnsi="Aptos"/>
        </w:rPr>
        <w:footnoteRef/>
      </w:r>
      <w:r w:rsidRPr="000F659F">
        <w:rPr>
          <w:rFonts w:ascii="Aptos" w:hAnsi="Aptos"/>
        </w:rPr>
        <w:t xml:space="preserve"> </w:t>
      </w:r>
      <w:r w:rsidR="006B3617" w:rsidRPr="005B2CBD">
        <w:rPr>
          <w:rFonts w:ascii="Aptos" w:eastAsia="Segoe UI" w:hAnsi="Aptos" w:cs="Segoe UI"/>
          <w:color w:val="333333"/>
        </w:rPr>
        <w:t>Providers and Regulators</w:t>
      </w:r>
      <w:r w:rsidR="006B3617">
        <w:rPr>
          <w:rFonts w:ascii="Aptos" w:eastAsia="Segoe UI" w:hAnsi="Aptos" w:cs="Segoe UI"/>
          <w:color w:val="333333"/>
        </w:rPr>
        <w:t xml:space="preserve"> - Advisory Working Group Minutes</w:t>
      </w:r>
    </w:p>
  </w:footnote>
  <w:footnote w:id="29">
    <w:p w14:paraId="3626C12A" w14:textId="47F4875B" w:rsidR="00590C71" w:rsidRPr="005B2CBD" w:rsidRDefault="00590C71" w:rsidP="00590C71">
      <w:pPr>
        <w:pStyle w:val="FootnoteText"/>
        <w:rPr>
          <w:rFonts w:ascii="Aptos" w:hAnsi="Aptos"/>
        </w:rPr>
      </w:pPr>
      <w:r w:rsidRPr="005B2CBD">
        <w:rPr>
          <w:rStyle w:val="FootnoteReference"/>
          <w:rFonts w:ascii="Aptos" w:hAnsi="Aptos"/>
        </w:rPr>
        <w:footnoteRef/>
      </w:r>
      <w:r w:rsidRPr="005B2CBD">
        <w:rPr>
          <w:rFonts w:ascii="Aptos" w:hAnsi="Aptos"/>
        </w:rPr>
        <w:t xml:space="preserve"> Submission, NDIS Participant</w:t>
      </w:r>
    </w:p>
  </w:footnote>
  <w:footnote w:id="30">
    <w:p w14:paraId="34CA5BB0" w14:textId="0ABA97F6" w:rsidR="00240EE3" w:rsidRPr="00A43BEA" w:rsidRDefault="00240EE3" w:rsidP="00240EE3">
      <w:pPr>
        <w:pStyle w:val="FootnoteText"/>
      </w:pPr>
      <w:r w:rsidRPr="00A43BEA">
        <w:rPr>
          <w:rStyle w:val="FootnoteReference"/>
        </w:rPr>
        <w:footnoteRef/>
      </w:r>
      <w:r w:rsidRPr="00A43BEA">
        <w:t xml:space="preserve"> </w:t>
      </w:r>
      <w:r w:rsidR="00692AE0" w:rsidRPr="00A43BEA">
        <w:t xml:space="preserve">Meeting Notes, </w:t>
      </w:r>
      <w:r w:rsidR="00915341" w:rsidRPr="00A43BEA">
        <w:t>Registered NDIS Provider</w:t>
      </w:r>
    </w:p>
  </w:footnote>
  <w:footnote w:id="31">
    <w:p w14:paraId="11BA19C6" w14:textId="4F8268B2" w:rsidR="00A43BEA" w:rsidRDefault="00A43BEA">
      <w:pPr>
        <w:pStyle w:val="FootnoteText"/>
      </w:pPr>
      <w:r w:rsidRPr="00A43BEA">
        <w:rPr>
          <w:rStyle w:val="FootnoteReference"/>
        </w:rPr>
        <w:footnoteRef/>
      </w:r>
      <w:r w:rsidRPr="00A43BEA">
        <w:t xml:space="preserve"> Submission, Parent</w:t>
      </w:r>
    </w:p>
  </w:footnote>
  <w:footnote w:id="32">
    <w:p w14:paraId="0920DAC1" w14:textId="26A882F2" w:rsidR="7886F161" w:rsidRDefault="7886F161" w:rsidP="00FD55D8">
      <w:pPr>
        <w:pStyle w:val="FootnoteText"/>
      </w:pPr>
      <w:r w:rsidRPr="7886F161">
        <w:rPr>
          <w:rStyle w:val="FootnoteReference"/>
        </w:rPr>
        <w:footnoteRef/>
      </w:r>
      <w:r w:rsidR="7E573F1D">
        <w:t xml:space="preserve"> </w:t>
      </w:r>
      <w:r w:rsidR="00110ADA">
        <w:rPr>
          <w:rStyle w:val="ui-provider"/>
        </w:rPr>
        <w:t xml:space="preserve">Part 5 of the </w:t>
      </w:r>
      <w:r w:rsidR="00110ADA">
        <w:rPr>
          <w:rStyle w:val="ui-provider"/>
          <w:i/>
          <w:iCs/>
        </w:rPr>
        <w:t xml:space="preserve">National Disability Insurance Scheme (Supports for Participants) Rules 2013 </w:t>
      </w:r>
      <w:r w:rsidR="00110ADA">
        <w:rPr>
          <w:rStyle w:val="ui-provider"/>
        </w:rPr>
        <w:t xml:space="preserve">outlines general criteria for supports and supports that will not </w:t>
      </w:r>
      <w:r w:rsidR="00831155">
        <w:rPr>
          <w:rStyle w:val="ui-provider"/>
        </w:rPr>
        <w:t xml:space="preserve">be </w:t>
      </w:r>
      <w:r w:rsidR="00110ADA">
        <w:rPr>
          <w:rStyle w:val="ui-provider"/>
        </w:rPr>
        <w:t>fund</w:t>
      </w:r>
      <w:r w:rsidR="00831155">
        <w:rPr>
          <w:rStyle w:val="ui-provider"/>
        </w:rPr>
        <w:t>ed</w:t>
      </w:r>
      <w:r w:rsidR="00110ADA">
        <w:rPr>
          <w:rStyle w:val="ui-provider"/>
        </w:rPr>
        <w:t xml:space="preserve"> or provided</w:t>
      </w:r>
    </w:p>
  </w:footnote>
  <w:footnote w:id="33">
    <w:p w14:paraId="4BD8A523" w14:textId="7E727AF0" w:rsidR="002A42BF" w:rsidRDefault="002A42BF" w:rsidP="002A42BF">
      <w:pPr>
        <w:pStyle w:val="FootnoteText"/>
      </w:pPr>
      <w:r w:rsidRPr="00590C71">
        <w:rPr>
          <w:rStyle w:val="FootnoteReference"/>
        </w:rPr>
        <w:footnoteRef/>
      </w:r>
      <w:r w:rsidRPr="00590C71">
        <w:t xml:space="preserve"> NDIS Act </w:t>
      </w:r>
      <w:r w:rsidR="003E1D6A" w:rsidRPr="00590C71">
        <w:t xml:space="preserve">section </w:t>
      </w:r>
      <w:r w:rsidR="000D7512" w:rsidRPr="00590C71">
        <w:rPr>
          <w:rStyle w:val="ui-provider"/>
        </w:rPr>
        <w:t>35(1))(a)</w:t>
      </w:r>
    </w:p>
  </w:footnote>
  <w:footnote w:id="34">
    <w:p w14:paraId="0300B444" w14:textId="6AA3D958" w:rsidR="003D1E8C" w:rsidRDefault="003D1E8C" w:rsidP="003D1E8C">
      <w:pPr>
        <w:pStyle w:val="FootnoteText"/>
      </w:pPr>
      <w:r w:rsidRPr="005B2CBD">
        <w:rPr>
          <w:rStyle w:val="FootnoteReference"/>
          <w:rFonts w:ascii="Aptos" w:hAnsi="Aptos"/>
        </w:rPr>
        <w:footnoteRef/>
      </w:r>
      <w:r w:rsidRPr="005B2CBD">
        <w:rPr>
          <w:rFonts w:ascii="Aptos" w:hAnsi="Aptos"/>
        </w:rPr>
        <w:t xml:space="preserve"> Recommendation 10.3 of the NDIS Review: </w:t>
      </w:r>
      <w:r>
        <w:rPr>
          <w:rFonts w:ascii="Aptos" w:hAnsi="Aptos"/>
        </w:rPr>
        <w:t>‘</w:t>
      </w:r>
      <w:r w:rsidRPr="005B2CBD">
        <w:rPr>
          <w:rFonts w:ascii="Aptos" w:hAnsi="Aptos"/>
        </w:rPr>
        <w:t>The National Disability Insurance Agency should transition to fully electronic payments and improve visibility of NDIS payments.</w:t>
      </w:r>
      <w:r>
        <w:rPr>
          <w:rFonts w:ascii="Aptos" w:hAnsi="Aptos"/>
        </w:rPr>
        <w:t xml:space="preserve">’ </w:t>
      </w:r>
      <w:r w:rsidR="00AF3A9B">
        <w:rPr>
          <w:rFonts w:ascii="Aptos" w:hAnsi="Aptos"/>
        </w:rPr>
        <w:t>p.</w:t>
      </w:r>
      <w:r>
        <w:rPr>
          <w:rFonts w:ascii="Aptos" w:hAnsi="Aptos"/>
        </w:rPr>
        <w:t>164</w:t>
      </w:r>
    </w:p>
  </w:footnote>
  <w:footnote w:id="35">
    <w:p w14:paraId="09CAF676" w14:textId="79E4D174" w:rsidR="00052364" w:rsidRPr="005B2CBD" w:rsidRDefault="00052364" w:rsidP="00052364">
      <w:pPr>
        <w:pStyle w:val="FootnoteText"/>
        <w:rPr>
          <w:rFonts w:ascii="Aptos" w:hAnsi="Aptos"/>
        </w:rPr>
      </w:pPr>
      <w:r w:rsidRPr="00F512BE">
        <w:rPr>
          <w:rStyle w:val="FootnoteReference"/>
        </w:rPr>
        <w:footnoteRef/>
      </w:r>
      <w:r w:rsidRPr="00F512BE">
        <w:t xml:space="preserve"> </w:t>
      </w:r>
      <w:r w:rsidRPr="005B2CBD">
        <w:rPr>
          <w:rFonts w:ascii="Aptos" w:hAnsi="Aptos"/>
        </w:rPr>
        <w:t xml:space="preserve">NDIS Review </w:t>
      </w:r>
      <w:r w:rsidR="00EE10EE">
        <w:rPr>
          <w:rFonts w:ascii="Aptos" w:hAnsi="Aptos"/>
        </w:rPr>
        <w:t>pp.</w:t>
      </w:r>
      <w:r w:rsidRPr="005B2CBD">
        <w:rPr>
          <w:rFonts w:ascii="Aptos" w:hAnsi="Aptos"/>
        </w:rPr>
        <w:t>212</w:t>
      </w:r>
      <w:r w:rsidR="00437F54">
        <w:rPr>
          <w:rFonts w:ascii="Aptos" w:hAnsi="Aptos"/>
        </w:rPr>
        <w:t>-213</w:t>
      </w:r>
      <w:r w:rsidR="00EE10EE">
        <w:rPr>
          <w:rFonts w:ascii="Aptos" w:hAnsi="Aptos"/>
        </w:rPr>
        <w:t>.</w:t>
      </w:r>
      <w:r w:rsidRPr="005B2CBD">
        <w:rPr>
          <w:rFonts w:ascii="Aptos" w:hAnsi="Aptos"/>
        </w:rPr>
        <w:t xml:space="preserve"> Also NDIS Review Supporting</w:t>
      </w:r>
      <w:r w:rsidR="007C6E5C">
        <w:rPr>
          <w:rFonts w:ascii="Aptos" w:hAnsi="Aptos"/>
        </w:rPr>
        <w:t xml:space="preserve"> Analysis</w:t>
      </w:r>
      <w:r w:rsidRPr="005B2CBD">
        <w:rPr>
          <w:rFonts w:ascii="Aptos" w:hAnsi="Aptos"/>
        </w:rPr>
        <w:t xml:space="preserve"> Box 91 </w:t>
      </w:r>
      <w:r w:rsidR="00EE10EE">
        <w:rPr>
          <w:rFonts w:ascii="Aptos" w:hAnsi="Aptos"/>
        </w:rPr>
        <w:t>p.</w:t>
      </w:r>
      <w:r w:rsidR="00EE10EE" w:rsidRPr="005B2CBD">
        <w:rPr>
          <w:rFonts w:ascii="Aptos" w:hAnsi="Aptos"/>
        </w:rPr>
        <w:t xml:space="preserve"> </w:t>
      </w:r>
      <w:r w:rsidRPr="005B2CBD">
        <w:rPr>
          <w:rFonts w:ascii="Aptos" w:hAnsi="Aptos"/>
        </w:rPr>
        <w:t xml:space="preserve">927 </w:t>
      </w:r>
    </w:p>
  </w:footnote>
  <w:footnote w:id="36">
    <w:p w14:paraId="084451AE" w14:textId="0361A581" w:rsidR="00052364" w:rsidRPr="00DC2D94" w:rsidRDefault="00052364" w:rsidP="00052364">
      <w:pPr>
        <w:pStyle w:val="FootnoteText"/>
        <w:rPr>
          <w:rFonts w:ascii="Aptos" w:hAnsi="Aptos"/>
        </w:rPr>
      </w:pPr>
      <w:r w:rsidRPr="005B2CBD">
        <w:rPr>
          <w:rStyle w:val="FootnoteReference"/>
          <w:rFonts w:ascii="Aptos" w:hAnsi="Aptos"/>
        </w:rPr>
        <w:footnoteRef/>
      </w:r>
      <w:r w:rsidRPr="005B2CBD">
        <w:rPr>
          <w:rFonts w:ascii="Aptos" w:hAnsi="Aptos"/>
        </w:rPr>
        <w:t xml:space="preserve"> </w:t>
      </w:r>
      <w:r w:rsidR="002108BC">
        <w:rPr>
          <w:rFonts w:ascii="Aptos" w:hAnsi="Aptos"/>
        </w:rPr>
        <w:t xml:space="preserve">Submission, Provider Peak </w:t>
      </w:r>
    </w:p>
  </w:footnote>
  <w:footnote w:id="37">
    <w:p w14:paraId="17D7E42E" w14:textId="1CE9BECB" w:rsidR="00052364" w:rsidRPr="00F35904" w:rsidRDefault="00052364" w:rsidP="00052364">
      <w:pPr>
        <w:pStyle w:val="FootnoteText"/>
        <w:rPr>
          <w:rFonts w:ascii="Aptos" w:eastAsia="Segoe UI" w:hAnsi="Aptos" w:cs="Segoe UI"/>
          <w:color w:val="333333"/>
        </w:rPr>
      </w:pPr>
      <w:r w:rsidRPr="16524E59">
        <w:rPr>
          <w:rStyle w:val="FootnoteReference"/>
        </w:rPr>
        <w:footnoteRef/>
      </w:r>
      <w:r>
        <w:t xml:space="preserve"> </w:t>
      </w:r>
      <w:r w:rsidR="00C45B2E">
        <w:rPr>
          <w:rFonts w:ascii="Aptos" w:eastAsia="Segoe UI" w:hAnsi="Aptos" w:cs="Segoe UI"/>
        </w:rPr>
        <w:t>Submission, Advocacy Organisation (quote from parent)</w:t>
      </w:r>
    </w:p>
  </w:footnote>
  <w:footnote w:id="38">
    <w:p w14:paraId="50596CC9" w14:textId="1E7E9B69" w:rsidR="00052364" w:rsidRPr="008C349A" w:rsidRDefault="00052364" w:rsidP="00052364">
      <w:pPr>
        <w:pStyle w:val="FootnoteText"/>
        <w:rPr>
          <w:rFonts w:ascii="Aptos" w:hAnsi="Aptos"/>
        </w:rPr>
      </w:pPr>
      <w:r w:rsidRPr="008C349A">
        <w:rPr>
          <w:rStyle w:val="FootnoteReference"/>
          <w:rFonts w:ascii="Aptos" w:hAnsi="Aptos"/>
        </w:rPr>
        <w:footnoteRef/>
      </w:r>
      <w:r w:rsidRPr="008C349A">
        <w:rPr>
          <w:rFonts w:ascii="Aptos" w:hAnsi="Aptos"/>
        </w:rPr>
        <w:t xml:space="preserve"> Convention on the Rights of Persons with Disabilities and Optional Protocol </w:t>
      </w:r>
      <w:hyperlink r:id="rId12" w:history="1">
        <w:r w:rsidRPr="008C349A">
          <w:rPr>
            <w:rStyle w:val="Hyperlink"/>
            <w:rFonts w:ascii="Aptos" w:hAnsi="Aptos"/>
          </w:rPr>
          <w:t>Full text of convention</w:t>
        </w:r>
      </w:hyperlink>
    </w:p>
  </w:footnote>
  <w:footnote w:id="39">
    <w:p w14:paraId="11AF3E14" w14:textId="68B2678A" w:rsidR="00052364" w:rsidRPr="008C349A" w:rsidRDefault="00052364" w:rsidP="00052364">
      <w:pPr>
        <w:pStyle w:val="FootnoteText"/>
        <w:rPr>
          <w:rFonts w:ascii="Aptos" w:hAnsi="Aptos"/>
        </w:rPr>
      </w:pPr>
      <w:r w:rsidRPr="008C349A">
        <w:rPr>
          <w:rStyle w:val="FootnoteReference"/>
          <w:rFonts w:ascii="Aptos" w:hAnsi="Aptos"/>
        </w:rPr>
        <w:footnoteRef/>
      </w:r>
      <w:r w:rsidRPr="008C349A">
        <w:rPr>
          <w:rFonts w:ascii="Aptos" w:hAnsi="Aptos"/>
        </w:rPr>
        <w:t xml:space="preserve"> Ibid, </w:t>
      </w:r>
      <w:r w:rsidR="00295647" w:rsidRPr="008C349A">
        <w:rPr>
          <w:rFonts w:ascii="Aptos" w:hAnsi="Aptos"/>
        </w:rPr>
        <w:t>p</w:t>
      </w:r>
      <w:r w:rsidR="00295647">
        <w:rPr>
          <w:rFonts w:ascii="Aptos" w:hAnsi="Aptos"/>
        </w:rPr>
        <w:t>.</w:t>
      </w:r>
      <w:r w:rsidR="00295647" w:rsidRPr="008C349A">
        <w:rPr>
          <w:rFonts w:ascii="Aptos" w:hAnsi="Aptos"/>
        </w:rPr>
        <w:t xml:space="preserve"> </w:t>
      </w:r>
      <w:r w:rsidRPr="008C349A">
        <w:rPr>
          <w:rFonts w:ascii="Aptos" w:hAnsi="Aptos"/>
        </w:rPr>
        <w:t xml:space="preserve">13, Article </w:t>
      </w:r>
      <w:r w:rsidR="008B19EE" w:rsidRPr="008C349A">
        <w:rPr>
          <w:rFonts w:ascii="Aptos" w:hAnsi="Aptos"/>
        </w:rPr>
        <w:t>19 Living</w:t>
      </w:r>
      <w:r w:rsidRPr="008C349A">
        <w:rPr>
          <w:rFonts w:ascii="Aptos" w:hAnsi="Aptos"/>
          <w:i/>
          <w:iCs/>
        </w:rPr>
        <w:t xml:space="preserve"> independently and being included in the community</w:t>
      </w:r>
      <w:r w:rsidRPr="008C349A">
        <w:rPr>
          <w:rFonts w:ascii="Aptos" w:hAnsi="Aptos"/>
        </w:rPr>
        <w:t xml:space="preserve"> </w:t>
      </w:r>
    </w:p>
  </w:footnote>
  <w:footnote w:id="40">
    <w:p w14:paraId="0AED3DB1" w14:textId="488F2DDF" w:rsidR="00052364" w:rsidRPr="008C349A" w:rsidRDefault="00052364" w:rsidP="00052364">
      <w:pPr>
        <w:pStyle w:val="FootnoteText"/>
        <w:rPr>
          <w:rFonts w:ascii="Aptos" w:hAnsi="Aptos"/>
        </w:rPr>
      </w:pPr>
      <w:r w:rsidRPr="008C349A">
        <w:rPr>
          <w:rStyle w:val="FootnoteReference"/>
          <w:rFonts w:ascii="Aptos" w:hAnsi="Aptos"/>
        </w:rPr>
        <w:footnoteRef/>
      </w:r>
      <w:r w:rsidRPr="008C349A">
        <w:rPr>
          <w:rFonts w:ascii="Aptos" w:hAnsi="Aptos"/>
        </w:rPr>
        <w:t xml:space="preserve"> Ibid, </w:t>
      </w:r>
      <w:r w:rsidR="00295647" w:rsidRPr="008C349A">
        <w:rPr>
          <w:rFonts w:ascii="Aptos" w:hAnsi="Aptos"/>
        </w:rPr>
        <w:t>p</w:t>
      </w:r>
      <w:r w:rsidR="00295647">
        <w:rPr>
          <w:rFonts w:ascii="Aptos" w:hAnsi="Aptos"/>
        </w:rPr>
        <w:t>.</w:t>
      </w:r>
      <w:r w:rsidRPr="008C349A">
        <w:rPr>
          <w:rFonts w:ascii="Aptos" w:hAnsi="Aptos"/>
        </w:rPr>
        <w:t xml:space="preserve">10, Article 12 </w:t>
      </w:r>
      <w:r w:rsidRPr="008C349A">
        <w:rPr>
          <w:rFonts w:ascii="Aptos" w:hAnsi="Aptos"/>
          <w:i/>
          <w:iCs/>
        </w:rPr>
        <w:t>Equal recognition before the law</w:t>
      </w:r>
      <w:r w:rsidRPr="008C349A">
        <w:rPr>
          <w:rFonts w:ascii="Aptos" w:hAnsi="Aptos"/>
        </w:rPr>
        <w:t xml:space="preserve"> </w:t>
      </w:r>
    </w:p>
  </w:footnote>
  <w:footnote w:id="41">
    <w:p w14:paraId="4A645A29" w14:textId="370A0739" w:rsidR="00052364" w:rsidRPr="008C349A" w:rsidRDefault="00052364" w:rsidP="00052364">
      <w:pPr>
        <w:pStyle w:val="FootnoteText"/>
        <w:rPr>
          <w:rFonts w:ascii="Aptos" w:hAnsi="Aptos"/>
        </w:rPr>
      </w:pPr>
      <w:r w:rsidRPr="008C349A">
        <w:rPr>
          <w:rStyle w:val="FootnoteReference"/>
          <w:rFonts w:ascii="Aptos" w:hAnsi="Aptos"/>
        </w:rPr>
        <w:footnoteRef/>
      </w:r>
      <w:r w:rsidRPr="008C349A">
        <w:rPr>
          <w:rFonts w:ascii="Aptos" w:hAnsi="Aptos"/>
        </w:rPr>
        <w:t xml:space="preserve"> Ibid, </w:t>
      </w:r>
      <w:r w:rsidR="00295647" w:rsidRPr="008C349A">
        <w:rPr>
          <w:rFonts w:ascii="Aptos" w:hAnsi="Aptos"/>
        </w:rPr>
        <w:t>p</w:t>
      </w:r>
      <w:r w:rsidR="00295647">
        <w:rPr>
          <w:rFonts w:ascii="Aptos" w:hAnsi="Aptos"/>
        </w:rPr>
        <w:t>.</w:t>
      </w:r>
      <w:r w:rsidR="00295647" w:rsidRPr="008C349A">
        <w:rPr>
          <w:rFonts w:ascii="Aptos" w:hAnsi="Aptos"/>
        </w:rPr>
        <w:t xml:space="preserve"> </w:t>
      </w:r>
      <w:r w:rsidRPr="008C349A">
        <w:rPr>
          <w:rFonts w:ascii="Aptos" w:hAnsi="Aptos"/>
        </w:rPr>
        <w:t xml:space="preserve">7, Article 5 </w:t>
      </w:r>
      <w:r w:rsidRPr="008C349A">
        <w:rPr>
          <w:rFonts w:ascii="Aptos" w:hAnsi="Aptos"/>
          <w:i/>
          <w:iCs/>
        </w:rPr>
        <w:t>Equality and non-discrimination</w:t>
      </w:r>
    </w:p>
  </w:footnote>
  <w:footnote w:id="42">
    <w:p w14:paraId="06E3ACD7" w14:textId="7F34AF14" w:rsidR="00052364" w:rsidRPr="008C349A" w:rsidRDefault="00052364" w:rsidP="00052364">
      <w:pPr>
        <w:pStyle w:val="FootnoteText"/>
        <w:rPr>
          <w:rFonts w:ascii="Aptos" w:hAnsi="Aptos"/>
        </w:rPr>
      </w:pPr>
      <w:r w:rsidRPr="008C349A">
        <w:rPr>
          <w:rStyle w:val="FootnoteReference"/>
          <w:rFonts w:ascii="Aptos" w:hAnsi="Aptos"/>
        </w:rPr>
        <w:footnoteRef/>
      </w:r>
      <w:r w:rsidRPr="008C349A">
        <w:rPr>
          <w:rFonts w:ascii="Aptos" w:hAnsi="Aptos"/>
        </w:rPr>
        <w:t xml:space="preserve"> Ibid, </w:t>
      </w:r>
      <w:r w:rsidR="00295647" w:rsidRPr="008C349A">
        <w:rPr>
          <w:rFonts w:ascii="Aptos" w:hAnsi="Aptos"/>
        </w:rPr>
        <w:t>p</w:t>
      </w:r>
      <w:r w:rsidR="00295647">
        <w:rPr>
          <w:rFonts w:ascii="Aptos" w:hAnsi="Aptos"/>
        </w:rPr>
        <w:t>.</w:t>
      </w:r>
      <w:r w:rsidR="00295647" w:rsidRPr="008C349A">
        <w:rPr>
          <w:rFonts w:ascii="Aptos" w:hAnsi="Aptos"/>
        </w:rPr>
        <w:t xml:space="preserve"> </w:t>
      </w:r>
      <w:r w:rsidRPr="008C349A">
        <w:rPr>
          <w:rFonts w:ascii="Aptos" w:hAnsi="Aptos"/>
        </w:rPr>
        <w:t xml:space="preserve">15, Article 22 </w:t>
      </w:r>
      <w:r w:rsidRPr="008C349A">
        <w:rPr>
          <w:rFonts w:ascii="Aptos" w:hAnsi="Aptos"/>
          <w:i/>
          <w:iCs/>
        </w:rPr>
        <w:t>Respect for privacy</w:t>
      </w:r>
      <w:r w:rsidRPr="008C349A">
        <w:rPr>
          <w:rFonts w:ascii="Aptos" w:hAnsi="Aptos"/>
        </w:rPr>
        <w:t xml:space="preserve"> </w:t>
      </w:r>
    </w:p>
  </w:footnote>
  <w:footnote w:id="43">
    <w:p w14:paraId="676A74B1" w14:textId="0F16256B" w:rsidR="00052364" w:rsidRPr="008C349A" w:rsidRDefault="00052364" w:rsidP="00052364">
      <w:pPr>
        <w:pStyle w:val="FootnoteText"/>
        <w:rPr>
          <w:rFonts w:ascii="Aptos" w:hAnsi="Aptos"/>
        </w:rPr>
      </w:pPr>
      <w:r w:rsidRPr="008C349A">
        <w:rPr>
          <w:rStyle w:val="FootnoteReference"/>
          <w:rFonts w:ascii="Aptos" w:hAnsi="Aptos"/>
        </w:rPr>
        <w:footnoteRef/>
      </w:r>
      <w:r w:rsidRPr="008C349A">
        <w:rPr>
          <w:rFonts w:ascii="Aptos" w:hAnsi="Aptos"/>
        </w:rPr>
        <w:t xml:space="preserve"> Ibid, </w:t>
      </w:r>
      <w:r w:rsidR="00295647" w:rsidRPr="008C349A">
        <w:rPr>
          <w:rFonts w:ascii="Aptos" w:hAnsi="Aptos"/>
        </w:rPr>
        <w:t>p</w:t>
      </w:r>
      <w:r w:rsidR="00295647">
        <w:rPr>
          <w:rFonts w:ascii="Aptos" w:hAnsi="Aptos"/>
        </w:rPr>
        <w:t>.</w:t>
      </w:r>
      <w:r w:rsidR="00295647" w:rsidRPr="008C349A">
        <w:rPr>
          <w:rFonts w:ascii="Aptos" w:hAnsi="Aptos"/>
        </w:rPr>
        <w:t xml:space="preserve"> </w:t>
      </w:r>
      <w:r w:rsidRPr="008C349A">
        <w:rPr>
          <w:rFonts w:ascii="Aptos" w:hAnsi="Aptos"/>
        </w:rPr>
        <w:t xml:space="preserve">12, Article 16 </w:t>
      </w:r>
      <w:r w:rsidRPr="008C349A">
        <w:rPr>
          <w:rFonts w:ascii="Aptos" w:hAnsi="Aptos"/>
          <w:i/>
          <w:iCs/>
        </w:rPr>
        <w:t>Freedom from exploitation, violence and abuse</w:t>
      </w:r>
      <w:r w:rsidRPr="008C349A">
        <w:rPr>
          <w:rFonts w:ascii="Aptos" w:hAnsi="Aptos"/>
        </w:rPr>
        <w:t xml:space="preserve"> </w:t>
      </w:r>
    </w:p>
  </w:footnote>
  <w:footnote w:id="44">
    <w:p w14:paraId="7A0B9A2A" w14:textId="77777777" w:rsidR="00052364" w:rsidRPr="008C349A" w:rsidRDefault="00052364" w:rsidP="00052364">
      <w:pPr>
        <w:pStyle w:val="FootnoteText"/>
        <w:rPr>
          <w:rFonts w:ascii="Aptos" w:hAnsi="Aptos"/>
        </w:rPr>
      </w:pPr>
      <w:r w:rsidRPr="008C349A">
        <w:rPr>
          <w:rStyle w:val="FootnoteReference"/>
          <w:rFonts w:ascii="Aptos" w:hAnsi="Aptos"/>
        </w:rPr>
        <w:footnoteRef/>
      </w:r>
      <w:r w:rsidRPr="008C349A">
        <w:rPr>
          <w:rFonts w:ascii="Aptos" w:hAnsi="Aptos"/>
        </w:rPr>
        <w:t xml:space="preserve"> In April 2023, the NDIS Quality and Safeguards Commission published its policy on supported decision-making, </w:t>
      </w:r>
      <w:hyperlink r:id="rId13" w:history="1">
        <w:r w:rsidRPr="008C349A">
          <w:rPr>
            <w:rStyle w:val="Hyperlink"/>
            <w:rFonts w:ascii="Aptos" w:hAnsi="Aptos"/>
          </w:rPr>
          <w:t>Supported decision making policy | NDIS</w:t>
        </w:r>
      </w:hyperlink>
      <w:r w:rsidRPr="008C349A">
        <w:rPr>
          <w:rFonts w:ascii="Aptos" w:hAnsi="Aptos"/>
        </w:rPr>
        <w:t xml:space="preserve">.  </w:t>
      </w:r>
    </w:p>
    <w:p w14:paraId="2A2644BB" w14:textId="77777777" w:rsidR="00052364" w:rsidRDefault="00052364" w:rsidP="00052364">
      <w:pPr>
        <w:pStyle w:val="FootnoteText"/>
      </w:pPr>
      <w:r w:rsidRPr="008C349A">
        <w:rPr>
          <w:rFonts w:ascii="Aptos" w:hAnsi="Aptos"/>
        </w:rPr>
        <w:t xml:space="preserve">In 2023, the Disability Royal Commission also published a research report making recommendations into improving how supported decision making can be implemented, including law reform: </w:t>
      </w:r>
      <w:hyperlink r:id="rId14" w:history="1">
        <w:r w:rsidRPr="008C349A">
          <w:rPr>
            <w:rStyle w:val="Hyperlink"/>
            <w:rFonts w:ascii="Aptos" w:hAnsi="Aptos"/>
          </w:rPr>
          <w:t>Diversity, dignity, equity and best practice: a framework for supported decision-making | Royal Commission into Violence, Abuse, Neglect and Exploitation of People with Disability</w:t>
        </w:r>
      </w:hyperlink>
      <w:r w:rsidRPr="008C349A">
        <w:rPr>
          <w:rFonts w:ascii="Aptos" w:hAnsi="Aptos"/>
        </w:rPr>
        <w:t>. The results of this research were reflected in Volume 6 of the Disability Royal Commission’s Final Report.</w:t>
      </w:r>
      <w:r>
        <w:t xml:space="preserve"> </w:t>
      </w:r>
    </w:p>
  </w:footnote>
  <w:footnote w:id="45">
    <w:p w14:paraId="19277CFF" w14:textId="0155CAAD" w:rsidR="00052364" w:rsidRDefault="00052364" w:rsidP="00052364">
      <w:pPr>
        <w:pStyle w:val="FootnoteText"/>
      </w:pPr>
      <w:r w:rsidRPr="2FDA4596">
        <w:rPr>
          <w:rStyle w:val="FootnoteReference"/>
        </w:rPr>
        <w:footnoteRef/>
      </w:r>
      <w:r>
        <w:t xml:space="preserve"> </w:t>
      </w:r>
      <w:r w:rsidR="00D576C8">
        <w:t>T</w:t>
      </w:r>
      <w:r>
        <w:t>he NDIS review</w:t>
      </w:r>
      <w:r w:rsidR="00B76B65">
        <w:t xml:space="preserve"> noted that a focus on </w:t>
      </w:r>
      <w:r>
        <w:t xml:space="preserve">regulatory arrangements has seen </w:t>
      </w:r>
      <w:r w:rsidR="00B76B65">
        <w:t xml:space="preserve">both </w:t>
      </w:r>
      <w:r>
        <w:t>capacity building and support</w:t>
      </w:r>
      <w:r w:rsidR="00B76B65">
        <w:t>s</w:t>
      </w:r>
      <w:r>
        <w:t xml:space="preserve"> to strengthen natural safeguard</w:t>
      </w:r>
      <w:r w:rsidR="00B76B65">
        <w:t>ing</w:t>
      </w:r>
      <w:r>
        <w:t xml:space="preserve"> slow to emerge</w:t>
      </w:r>
      <w:r w:rsidR="00837A7C">
        <w:t xml:space="preserve">, </w:t>
      </w:r>
      <w:r w:rsidR="00A41ED2">
        <w:t xml:space="preserve">p. </w:t>
      </w:r>
      <w:r w:rsidR="00837A7C">
        <w:t>889</w:t>
      </w:r>
      <w:r>
        <w:t xml:space="preserve"> – </w:t>
      </w:r>
      <w:hyperlink r:id="rId15" w:history="1">
        <w:r w:rsidRPr="00837A7C">
          <w:rPr>
            <w:rStyle w:val="Hyperlink"/>
            <w:rFonts w:asciiTheme="minorHAnsi" w:hAnsiTheme="minorHAnsi"/>
          </w:rPr>
          <w:t>NDIS Review Supporting Analysis</w:t>
        </w:r>
      </w:hyperlink>
      <w:r>
        <w:t xml:space="preserve">   </w:t>
      </w:r>
    </w:p>
  </w:footnote>
  <w:footnote w:id="46">
    <w:p w14:paraId="1AF30BEB" w14:textId="17B06F8B" w:rsidR="00052364" w:rsidRDefault="00052364" w:rsidP="00052364">
      <w:pPr>
        <w:pStyle w:val="FootnoteText"/>
      </w:pPr>
      <w:r w:rsidRPr="2FDA4596">
        <w:rPr>
          <w:rStyle w:val="FootnoteReference"/>
        </w:rPr>
        <w:footnoteRef/>
      </w:r>
      <w:r>
        <w:t xml:space="preserve">  NDIS Quality and Safeguarding Framework, </w:t>
      </w:r>
      <w:r w:rsidR="00A41ED2">
        <w:t xml:space="preserve">p. </w:t>
      </w:r>
      <w:r>
        <w:t>6</w:t>
      </w:r>
      <w:r w:rsidRPr="00B97F14">
        <w:t xml:space="preserve"> </w:t>
      </w:r>
      <w:hyperlink r:id="rId16" w:history="1">
        <w:r w:rsidRPr="000937E7">
          <w:rPr>
            <w:rStyle w:val="Hyperlink"/>
            <w:rFonts w:asciiTheme="minorHAnsi" w:hAnsiTheme="minorHAnsi" w:cstheme="minorHAnsi"/>
          </w:rPr>
          <w:t>NDIS Quality and Safeguarding Framework (dss.gov.au)</w:t>
        </w:r>
      </w:hyperlink>
      <w:r w:rsidRPr="6BFC2681">
        <w:t xml:space="preserve"> </w:t>
      </w:r>
    </w:p>
  </w:footnote>
  <w:footnote w:id="47">
    <w:p w14:paraId="22D8DD2C" w14:textId="53B06AE4" w:rsidR="00052364" w:rsidRDefault="00052364" w:rsidP="00052364">
      <w:pPr>
        <w:pStyle w:val="FootnoteText"/>
      </w:pPr>
      <w:r w:rsidRPr="7E6836A3">
        <w:rPr>
          <w:rStyle w:val="FootnoteReference"/>
        </w:rPr>
        <w:footnoteRef/>
      </w:r>
      <w:r>
        <w:t xml:space="preserve"> Submission, </w:t>
      </w:r>
      <w:r w:rsidR="0099189F">
        <w:t>NDIS Participant</w:t>
      </w:r>
    </w:p>
  </w:footnote>
  <w:footnote w:id="48">
    <w:p w14:paraId="74A9B7C0" w14:textId="21F82B83" w:rsidR="00052364" w:rsidRDefault="00052364" w:rsidP="00052364">
      <w:pPr>
        <w:pStyle w:val="FootnoteText"/>
      </w:pPr>
      <w:r w:rsidRPr="23767108">
        <w:rPr>
          <w:rStyle w:val="FootnoteReference"/>
        </w:rPr>
        <w:footnoteRef/>
      </w:r>
      <w:r>
        <w:t xml:space="preserve"> Submission</w:t>
      </w:r>
      <w:r w:rsidR="64176A83">
        <w:t>, NDIS Participant</w:t>
      </w:r>
    </w:p>
  </w:footnote>
  <w:footnote w:id="49">
    <w:p w14:paraId="2DFB27A1" w14:textId="640DF439" w:rsidR="00052364" w:rsidRPr="005B2CBD" w:rsidRDefault="00052364" w:rsidP="0039001B">
      <w:pPr>
        <w:pStyle w:val="FootnoteText"/>
        <w:rPr>
          <w:rFonts w:ascii="Aptos" w:hAnsi="Aptos"/>
        </w:rPr>
      </w:pPr>
      <w:r w:rsidRPr="005B2CBD">
        <w:rPr>
          <w:rStyle w:val="FootnoteReference"/>
          <w:rFonts w:ascii="Aptos" w:hAnsi="Aptos"/>
        </w:rPr>
        <w:footnoteRef/>
      </w:r>
      <w:r w:rsidRPr="005B2CBD">
        <w:rPr>
          <w:rFonts w:ascii="Aptos" w:hAnsi="Aptos"/>
        </w:rPr>
        <w:t xml:space="preserve"> Submission, </w:t>
      </w:r>
      <w:r w:rsidR="64176A83" w:rsidRPr="005B2CBD">
        <w:rPr>
          <w:rFonts w:ascii="Aptos" w:hAnsi="Aptos"/>
        </w:rPr>
        <w:t xml:space="preserve">NDIS </w:t>
      </w:r>
      <w:r w:rsidRPr="005B2CBD">
        <w:rPr>
          <w:rFonts w:ascii="Aptos" w:hAnsi="Aptos"/>
        </w:rPr>
        <w:t>Participant</w:t>
      </w:r>
      <w:r w:rsidR="004D1621">
        <w:rPr>
          <w:rFonts w:ascii="Aptos" w:hAnsi="Aptos"/>
        </w:rPr>
        <w:t xml:space="preserve"> and</w:t>
      </w:r>
      <w:r w:rsidRPr="005B2CBD">
        <w:rPr>
          <w:rFonts w:ascii="Aptos" w:hAnsi="Aptos"/>
        </w:rPr>
        <w:t xml:space="preserve"> Parent nominee</w:t>
      </w:r>
    </w:p>
  </w:footnote>
  <w:footnote w:id="50">
    <w:p w14:paraId="172C0E1A" w14:textId="675E6F1F" w:rsidR="00052364" w:rsidRPr="005961AA" w:rsidRDefault="00052364" w:rsidP="0039001B">
      <w:pPr>
        <w:pStyle w:val="FootnoteText"/>
        <w:rPr>
          <w:rFonts w:cstheme="minorHAnsi"/>
        </w:rPr>
      </w:pPr>
      <w:r w:rsidRPr="005961AA">
        <w:rPr>
          <w:rStyle w:val="FootnoteReference"/>
          <w:rFonts w:cstheme="minorHAnsi"/>
        </w:rPr>
        <w:footnoteRef/>
      </w:r>
      <w:r w:rsidRPr="005961AA">
        <w:rPr>
          <w:rFonts w:cstheme="minorHAnsi"/>
        </w:rPr>
        <w:t xml:space="preserve"> Submission, </w:t>
      </w:r>
      <w:r w:rsidR="001F1421" w:rsidRPr="005961AA">
        <w:rPr>
          <w:rFonts w:cstheme="minorHAnsi"/>
        </w:rPr>
        <w:t xml:space="preserve">Unregistered </w:t>
      </w:r>
      <w:r w:rsidR="005853A6" w:rsidRPr="005961AA">
        <w:rPr>
          <w:rFonts w:cstheme="minorHAnsi"/>
        </w:rPr>
        <w:t>Provider</w:t>
      </w:r>
    </w:p>
  </w:footnote>
  <w:footnote w:id="51">
    <w:p w14:paraId="16FD1D84" w14:textId="248CA7C6" w:rsidR="00052364" w:rsidRPr="005961AA" w:rsidRDefault="00052364" w:rsidP="005B2CBD">
      <w:pPr>
        <w:pStyle w:val="FootnoteText"/>
        <w:rPr>
          <w:rFonts w:cstheme="minorHAnsi"/>
        </w:rPr>
      </w:pPr>
      <w:r w:rsidRPr="005961AA">
        <w:rPr>
          <w:rStyle w:val="FootnoteReference"/>
          <w:rFonts w:cstheme="minorHAnsi"/>
        </w:rPr>
        <w:footnoteRef/>
      </w:r>
      <w:r w:rsidRPr="005961AA">
        <w:rPr>
          <w:rFonts w:cstheme="minorHAnsi"/>
        </w:rPr>
        <w:t xml:space="preserve"> Disability Royal Commission Final Report Volume 3, outlines data and examples on the incidence of violence, abuse and neglect for people with disability,  </w:t>
      </w:r>
      <w:hyperlink r:id="rId17" w:history="1">
        <w:r w:rsidRPr="005961AA">
          <w:rPr>
            <w:rStyle w:val="Hyperlink"/>
            <w:rFonts w:asciiTheme="minorHAnsi" w:hAnsiTheme="minorHAnsi" w:cstheme="minorHAnsi"/>
          </w:rPr>
          <w:t>Disability Royal Commission Final Report Volume 3</w:t>
        </w:r>
      </w:hyperlink>
      <w:r w:rsidR="005327E7" w:rsidRPr="005961AA">
        <w:rPr>
          <w:rStyle w:val="Hyperlink"/>
          <w:rFonts w:asciiTheme="minorHAnsi" w:hAnsiTheme="minorHAnsi" w:cstheme="minorHAnsi"/>
        </w:rPr>
        <w:t xml:space="preserve">, </w:t>
      </w:r>
      <w:r w:rsidR="008F6370">
        <w:rPr>
          <w:rStyle w:val="Hyperlink"/>
          <w:rFonts w:asciiTheme="minorHAnsi" w:hAnsiTheme="minorHAnsi" w:cstheme="minorHAnsi"/>
        </w:rPr>
        <w:t>p.</w:t>
      </w:r>
      <w:r w:rsidR="008B77DB">
        <w:rPr>
          <w:rStyle w:val="Hyperlink"/>
          <w:rFonts w:asciiTheme="minorHAnsi" w:hAnsiTheme="minorHAnsi" w:cstheme="minorHAnsi"/>
        </w:rPr>
        <w:t xml:space="preserve"> </w:t>
      </w:r>
      <w:r w:rsidR="005327E7" w:rsidRPr="005961AA">
        <w:rPr>
          <w:rStyle w:val="Hyperlink"/>
          <w:rFonts w:asciiTheme="minorHAnsi" w:hAnsiTheme="minorHAnsi" w:cstheme="minorHAnsi"/>
        </w:rPr>
        <w:t>11</w:t>
      </w:r>
      <w:r w:rsidRPr="005961AA">
        <w:rPr>
          <w:rFonts w:cstheme="minorHAnsi"/>
        </w:rPr>
        <w:t>.</w:t>
      </w:r>
    </w:p>
  </w:footnote>
  <w:footnote w:id="52">
    <w:p w14:paraId="07620CE6" w14:textId="456484C4" w:rsidR="00052364" w:rsidRPr="005961AA" w:rsidRDefault="00052364" w:rsidP="005B2CBD">
      <w:pPr>
        <w:spacing w:after="0" w:line="240" w:lineRule="auto"/>
        <w:rPr>
          <w:rFonts w:asciiTheme="minorHAnsi" w:hAnsiTheme="minorHAnsi" w:cstheme="minorHAnsi"/>
          <w:sz w:val="20"/>
          <w:szCs w:val="20"/>
        </w:rPr>
      </w:pPr>
      <w:r w:rsidRPr="005961AA">
        <w:rPr>
          <w:rStyle w:val="FootnoteReference"/>
          <w:rFonts w:asciiTheme="minorHAnsi" w:hAnsiTheme="minorHAnsi" w:cstheme="minorHAnsi"/>
          <w:sz w:val="20"/>
          <w:szCs w:val="20"/>
        </w:rPr>
        <w:footnoteRef/>
      </w:r>
      <w:r w:rsidRPr="005961AA">
        <w:rPr>
          <w:rStyle w:val="FootnoteReference"/>
          <w:rFonts w:asciiTheme="minorHAnsi" w:hAnsiTheme="minorHAnsi" w:cstheme="minorHAnsi"/>
          <w:sz w:val="20"/>
          <w:szCs w:val="20"/>
        </w:rPr>
        <w:t xml:space="preserve"> </w:t>
      </w:r>
      <w:r w:rsidRPr="005961AA">
        <w:rPr>
          <w:rFonts w:asciiTheme="minorHAnsi" w:hAnsiTheme="minorHAnsi" w:cstheme="minorHAnsi"/>
          <w:sz w:val="20"/>
          <w:szCs w:val="20"/>
        </w:rPr>
        <w:t xml:space="preserve">Disability Royal Commission, Volume 3, </w:t>
      </w:r>
      <w:r w:rsidR="002745A0">
        <w:rPr>
          <w:rFonts w:asciiTheme="minorHAnsi" w:hAnsiTheme="minorHAnsi" w:cstheme="minorHAnsi"/>
          <w:sz w:val="20"/>
          <w:szCs w:val="20"/>
        </w:rPr>
        <w:t>p.</w:t>
      </w:r>
      <w:r w:rsidRPr="005961AA">
        <w:rPr>
          <w:rFonts w:asciiTheme="minorHAnsi" w:hAnsiTheme="minorHAnsi" w:cstheme="minorHAnsi"/>
          <w:sz w:val="20"/>
          <w:szCs w:val="20"/>
        </w:rPr>
        <w:t xml:space="preserve"> </w:t>
      </w:r>
      <w:r w:rsidRPr="005961AA">
        <w:rPr>
          <w:rFonts w:asciiTheme="minorHAnsi" w:eastAsiaTheme="minorHAnsi" w:hAnsiTheme="minorHAnsi" w:cstheme="minorHAnsi"/>
          <w:sz w:val="20"/>
          <w:szCs w:val="20"/>
        </w:rPr>
        <w:t xml:space="preserve">152 </w:t>
      </w:r>
      <w:r w:rsidR="00AE18BE" w:rsidRPr="005961AA">
        <w:rPr>
          <w:rFonts w:asciiTheme="minorHAnsi" w:hAnsiTheme="minorHAnsi" w:cstheme="minorHAnsi"/>
          <w:sz w:val="20"/>
          <w:szCs w:val="20"/>
        </w:rPr>
        <w:t>‘</w:t>
      </w:r>
      <w:r w:rsidRPr="005961AA">
        <w:rPr>
          <w:rFonts w:asciiTheme="minorHAnsi" w:hAnsiTheme="minorHAnsi" w:cstheme="minorHAnsi"/>
          <w:sz w:val="20"/>
          <w:szCs w:val="20"/>
        </w:rPr>
        <w:t>Of First Nations men and women with disability aged 15 to 64, women were more than twice as likely to report that their current or previous intimate partner was the perpetrator of physical harm against them in the last 12 months (53 per cent and 25 per cent, respectively).</w:t>
      </w:r>
      <w:r w:rsidR="00AE18BE" w:rsidRPr="005961AA">
        <w:rPr>
          <w:rFonts w:asciiTheme="minorHAnsi" w:hAnsiTheme="minorHAnsi" w:cstheme="minorHAnsi"/>
          <w:sz w:val="20"/>
          <w:szCs w:val="20"/>
        </w:rPr>
        <w:t>’</w:t>
      </w:r>
      <w:r w:rsidRPr="005961AA">
        <w:rPr>
          <w:rFonts w:asciiTheme="minorHAnsi" w:hAnsiTheme="minorHAnsi" w:cstheme="minorHAnsi"/>
          <w:sz w:val="20"/>
          <w:szCs w:val="20"/>
        </w:rPr>
        <w:t xml:space="preserve"> </w:t>
      </w:r>
    </w:p>
  </w:footnote>
  <w:footnote w:id="53">
    <w:p w14:paraId="57959305" w14:textId="5DD63D9D" w:rsidR="00052364" w:rsidRPr="005961AA" w:rsidRDefault="00052364" w:rsidP="0039001B">
      <w:pPr>
        <w:pStyle w:val="FootnoteText"/>
        <w:rPr>
          <w:rFonts w:eastAsia="Segoe UI" w:cstheme="minorHAnsi"/>
          <w:color w:val="333333"/>
        </w:rPr>
      </w:pPr>
      <w:r w:rsidRPr="005961AA">
        <w:rPr>
          <w:rStyle w:val="FootnoteReference"/>
          <w:rFonts w:cstheme="minorHAnsi"/>
        </w:rPr>
        <w:footnoteRef/>
      </w:r>
      <w:r w:rsidRPr="005961AA">
        <w:rPr>
          <w:rFonts w:cstheme="minorHAnsi"/>
        </w:rPr>
        <w:t xml:space="preserve"> </w:t>
      </w:r>
      <w:r w:rsidRPr="005961AA">
        <w:rPr>
          <w:rFonts w:eastAsia="Segoe UI" w:cstheme="minorHAnsi"/>
          <w:color w:val="333333"/>
        </w:rPr>
        <w:t xml:space="preserve">Submission, </w:t>
      </w:r>
      <w:r w:rsidR="00617720" w:rsidRPr="005961AA">
        <w:rPr>
          <w:rFonts w:eastAsia="Segoe UI" w:cstheme="minorHAnsi"/>
          <w:color w:val="333333"/>
        </w:rPr>
        <w:t>Registered Provider</w:t>
      </w:r>
    </w:p>
  </w:footnote>
  <w:footnote w:id="54">
    <w:p w14:paraId="2035FAE3" w14:textId="4377298B" w:rsidR="00052364" w:rsidRPr="005961AA" w:rsidRDefault="00052364" w:rsidP="0039001B">
      <w:pPr>
        <w:pStyle w:val="FootnoteText"/>
        <w:rPr>
          <w:rFonts w:cstheme="minorHAnsi"/>
        </w:rPr>
      </w:pPr>
      <w:r w:rsidRPr="005961AA">
        <w:rPr>
          <w:rStyle w:val="FootnoteReference"/>
          <w:rFonts w:cstheme="minorHAnsi"/>
        </w:rPr>
        <w:footnoteRef/>
      </w:r>
      <w:r w:rsidRPr="005961AA">
        <w:rPr>
          <w:rFonts w:cstheme="minorHAnsi"/>
        </w:rPr>
        <w:t xml:space="preserve">  Submission, </w:t>
      </w:r>
      <w:r w:rsidR="004665A5" w:rsidRPr="005961AA">
        <w:rPr>
          <w:rFonts w:cstheme="minorHAnsi"/>
        </w:rPr>
        <w:t>Advocacy Organi</w:t>
      </w:r>
      <w:r w:rsidR="00091387" w:rsidRPr="005961AA">
        <w:rPr>
          <w:rFonts w:cstheme="minorHAnsi"/>
        </w:rPr>
        <w:t>s</w:t>
      </w:r>
      <w:r w:rsidR="004665A5" w:rsidRPr="005961AA">
        <w:rPr>
          <w:rFonts w:cstheme="minorHAnsi"/>
        </w:rPr>
        <w:t>ation</w:t>
      </w:r>
    </w:p>
  </w:footnote>
  <w:footnote w:id="55">
    <w:p w14:paraId="51E6A8A9" w14:textId="6607B4E8" w:rsidR="00052364" w:rsidRPr="005961AA" w:rsidRDefault="00052364" w:rsidP="00052364">
      <w:pPr>
        <w:pStyle w:val="FootnoteText"/>
        <w:rPr>
          <w:rFonts w:cstheme="minorHAnsi"/>
        </w:rPr>
      </w:pPr>
      <w:r w:rsidRPr="005961AA">
        <w:rPr>
          <w:rStyle w:val="FootnoteReference"/>
          <w:rFonts w:cstheme="minorHAnsi"/>
        </w:rPr>
        <w:footnoteRef/>
      </w:r>
      <w:r w:rsidRPr="005961AA">
        <w:rPr>
          <w:rFonts w:cstheme="minorHAnsi"/>
        </w:rPr>
        <w:t xml:space="preserve"> Submission, </w:t>
      </w:r>
      <w:r w:rsidR="00091387" w:rsidRPr="005961AA">
        <w:rPr>
          <w:rFonts w:cstheme="minorHAnsi"/>
        </w:rPr>
        <w:t>Registered Provider</w:t>
      </w:r>
    </w:p>
  </w:footnote>
  <w:footnote w:id="56">
    <w:p w14:paraId="18E13F34" w14:textId="44468156" w:rsidR="00052364" w:rsidRPr="005961AA" w:rsidRDefault="00052364" w:rsidP="003503BF">
      <w:pPr>
        <w:pStyle w:val="pf0"/>
        <w:spacing w:before="0" w:beforeAutospacing="0" w:after="0" w:afterAutospacing="0"/>
        <w:rPr>
          <w:rFonts w:asciiTheme="minorHAnsi" w:hAnsiTheme="minorHAnsi" w:cstheme="minorHAnsi"/>
          <w:sz w:val="20"/>
          <w:szCs w:val="20"/>
        </w:rPr>
      </w:pPr>
      <w:r w:rsidRPr="005961AA">
        <w:rPr>
          <w:rStyle w:val="FootnoteReference"/>
          <w:rFonts w:asciiTheme="minorHAnsi" w:hAnsiTheme="minorHAnsi" w:cstheme="minorHAnsi"/>
          <w:sz w:val="20"/>
          <w:szCs w:val="20"/>
        </w:rPr>
        <w:footnoteRef/>
      </w:r>
      <w:r w:rsidRPr="005961AA">
        <w:rPr>
          <w:rFonts w:asciiTheme="minorHAnsi" w:hAnsiTheme="minorHAnsi" w:cstheme="minorHAnsi"/>
          <w:sz w:val="20"/>
          <w:szCs w:val="20"/>
        </w:rPr>
        <w:t xml:space="preserve"> </w:t>
      </w:r>
      <w:r w:rsidR="00196672">
        <w:rPr>
          <w:rFonts w:asciiTheme="minorHAnsi" w:hAnsiTheme="minorHAnsi" w:cstheme="minorHAnsi"/>
          <w:i/>
          <w:iCs/>
          <w:sz w:val="20"/>
          <w:szCs w:val="20"/>
        </w:rPr>
        <w:t>I</w:t>
      </w:r>
      <w:r w:rsidR="00196672" w:rsidRPr="00196672">
        <w:rPr>
          <w:rFonts w:asciiTheme="minorHAnsi" w:hAnsiTheme="minorHAnsi" w:cstheme="minorHAnsi"/>
          <w:i/>
          <w:iCs/>
          <w:sz w:val="20"/>
          <w:szCs w:val="20"/>
        </w:rPr>
        <w:t xml:space="preserve">ndependent review of the adequacy of the regulation of the supports and services provided to Ms Ann-Marie Smith, an NDIS participant, who died on 6 April 2020 </w:t>
      </w:r>
      <w:r w:rsidR="00196672" w:rsidRPr="00196672">
        <w:rPr>
          <w:rFonts w:asciiTheme="minorHAnsi" w:hAnsiTheme="minorHAnsi" w:cstheme="minorHAnsi"/>
          <w:sz w:val="20"/>
          <w:szCs w:val="20"/>
        </w:rPr>
        <w:t>(</w:t>
      </w:r>
      <w:hyperlink r:id="rId18" w:history="1">
        <w:r w:rsidRPr="000E0066">
          <w:rPr>
            <w:rStyle w:val="Hyperlink"/>
            <w:rFonts w:asciiTheme="minorHAnsi" w:eastAsia="Calibri" w:hAnsiTheme="minorHAnsi" w:cstheme="minorHAnsi"/>
            <w:sz w:val="20"/>
            <w:szCs w:val="20"/>
            <w:lang w:eastAsia="en-US"/>
          </w:rPr>
          <w:t>Robertson Review</w:t>
        </w:r>
      </w:hyperlink>
      <w:r w:rsidR="00203E02">
        <w:rPr>
          <w:rFonts w:asciiTheme="minorHAnsi" w:eastAsia="Calibri" w:hAnsiTheme="minorHAnsi" w:cstheme="minorHAnsi"/>
          <w:sz w:val="20"/>
          <w:szCs w:val="20"/>
          <w:lang w:eastAsia="en-US"/>
        </w:rPr>
        <w:t>)</w:t>
      </w:r>
    </w:p>
  </w:footnote>
  <w:footnote w:id="57">
    <w:p w14:paraId="2CF795F9" w14:textId="56FF351F" w:rsidR="009A3412" w:rsidRDefault="00E92370" w:rsidP="00052364">
      <w:pPr>
        <w:pStyle w:val="FootnoteText"/>
      </w:pPr>
      <w:r w:rsidRPr="005961AA">
        <w:rPr>
          <w:rFonts w:cstheme="minorHAnsi"/>
          <w:vertAlign w:val="superscript"/>
        </w:rPr>
        <w:footnoteRef/>
      </w:r>
      <w:r w:rsidRPr="005961AA">
        <w:rPr>
          <w:rFonts w:cstheme="minorHAnsi"/>
          <w:vertAlign w:val="superscript"/>
        </w:rPr>
        <w:t xml:space="preserve"> </w:t>
      </w:r>
      <w:r w:rsidR="00052364" w:rsidRPr="005961AA">
        <w:rPr>
          <w:rFonts w:cstheme="minorHAnsi"/>
        </w:rPr>
        <w:t>Isolation was discussed as a risk factor in many consultation activities including meetings, roundtables and in submissions.</w:t>
      </w:r>
    </w:p>
  </w:footnote>
  <w:footnote w:id="58">
    <w:p w14:paraId="514DA871" w14:textId="0C11F3CD" w:rsidR="00052364" w:rsidRDefault="00052364" w:rsidP="00052364">
      <w:pPr>
        <w:pStyle w:val="FootnoteText"/>
      </w:pPr>
      <w:r>
        <w:rPr>
          <w:rStyle w:val="FootnoteReference"/>
        </w:rPr>
        <w:footnoteRef/>
      </w:r>
      <w:r>
        <w:t xml:space="preserve"> </w:t>
      </w:r>
      <w:r w:rsidR="00203E02">
        <w:rPr>
          <w:rFonts w:cstheme="minorHAnsi"/>
          <w:i/>
          <w:iCs/>
        </w:rPr>
        <w:t>I</w:t>
      </w:r>
      <w:r w:rsidR="00203E02" w:rsidRPr="00196672">
        <w:rPr>
          <w:rFonts w:cstheme="minorHAnsi"/>
          <w:i/>
          <w:iCs/>
        </w:rPr>
        <w:t xml:space="preserve">ndependent review of the adequacy of the regulation of the supports and services provided to Ms Ann-Marie Smith, an NDIS participant, who died on 6 April 2020 </w:t>
      </w:r>
      <w:r w:rsidR="00203E02" w:rsidRPr="00196672">
        <w:rPr>
          <w:rFonts w:cstheme="minorHAnsi"/>
        </w:rPr>
        <w:t>(</w:t>
      </w:r>
      <w:hyperlink r:id="rId19" w:history="1">
        <w:r w:rsidR="00203E02" w:rsidRPr="000E0066">
          <w:rPr>
            <w:rStyle w:val="Hyperlink"/>
            <w:rFonts w:asciiTheme="minorHAnsi" w:hAnsiTheme="minorHAnsi" w:cstheme="minorHAnsi"/>
          </w:rPr>
          <w:t>Robertson Review</w:t>
        </w:r>
      </w:hyperlink>
      <w:r w:rsidR="00203E02">
        <w:rPr>
          <w:rFonts w:cstheme="minorHAnsi"/>
        </w:rPr>
        <w:t xml:space="preserve">), </w:t>
      </w:r>
      <w:r w:rsidR="00FB5D58">
        <w:t>p.</w:t>
      </w:r>
      <w:r>
        <w:t>42</w:t>
      </w:r>
      <w:r w:rsidR="00203E02">
        <w:t>.</w:t>
      </w:r>
    </w:p>
  </w:footnote>
  <w:footnote w:id="59">
    <w:p w14:paraId="06B74259" w14:textId="284E2003" w:rsidR="00052364" w:rsidRDefault="00052364" w:rsidP="00052364">
      <w:pPr>
        <w:pStyle w:val="FootnoteText"/>
      </w:pPr>
      <w:r w:rsidRPr="2FDA4596">
        <w:rPr>
          <w:rStyle w:val="FootnoteReference"/>
        </w:rPr>
        <w:footnoteRef/>
      </w:r>
      <w:r>
        <w:t xml:space="preserve"> </w:t>
      </w:r>
      <w:r w:rsidR="006C2183">
        <w:t xml:space="preserve"> </w:t>
      </w:r>
      <w:r w:rsidR="006C2183" w:rsidRPr="00E83A6B">
        <w:rPr>
          <w:rFonts w:ascii="Aptos" w:hAnsi="Aptos"/>
        </w:rPr>
        <w:t>The NDIS Commission’s 202</w:t>
      </w:r>
      <w:r w:rsidR="006C2183">
        <w:rPr>
          <w:rFonts w:ascii="Aptos" w:hAnsi="Aptos"/>
        </w:rPr>
        <w:t>2</w:t>
      </w:r>
      <w:r w:rsidR="006C2183" w:rsidRPr="00E83A6B">
        <w:rPr>
          <w:rFonts w:ascii="Aptos" w:hAnsi="Aptos"/>
          <w:i/>
          <w:iCs/>
        </w:rPr>
        <w:t xml:space="preserve"> Own Motion Inquiry into Aspects of Supported Accommodation</w:t>
      </w:r>
      <w:r w:rsidR="006C2183" w:rsidRPr="00E83A6B">
        <w:rPr>
          <w:rFonts w:ascii="Aptos" w:hAnsi="Aptos"/>
        </w:rPr>
        <w:t xml:space="preserve"> identified higher levels of incident reporting in closed group settings. Although the Inquiry was limited to 7 providers, these providers represented 18% of all NDIS participants </w:t>
      </w:r>
      <w:r w:rsidR="006C2183" w:rsidRPr="004C3559">
        <w:rPr>
          <w:rFonts w:ascii="Aptos" w:hAnsi="Aptos"/>
        </w:rPr>
        <w:t>receiving SIL across Australia. The Inquiry found that 85% of all reportable incidents notified by these providers occurred in group home settings, with the remainder occurring in other settings.</w:t>
      </w:r>
      <w:r w:rsidR="00085271">
        <w:rPr>
          <w:rFonts w:ascii="Aptos" w:hAnsi="Aptos"/>
        </w:rPr>
        <w:t xml:space="preserve"> Also, </w:t>
      </w:r>
      <w:r w:rsidR="00F45C3A">
        <w:rPr>
          <w:rFonts w:ascii="Aptos" w:hAnsi="Aptos"/>
        </w:rPr>
        <w:t xml:space="preserve">the </w:t>
      </w:r>
      <w:r w:rsidR="00F45C3A" w:rsidRPr="00F53FE9">
        <w:t>Disability</w:t>
      </w:r>
      <w:r w:rsidR="0024708A">
        <w:t xml:space="preserve"> </w:t>
      </w:r>
      <w:r w:rsidRPr="00F53FE9">
        <w:t>R</w:t>
      </w:r>
      <w:r w:rsidR="0024708A">
        <w:t xml:space="preserve">oyal </w:t>
      </w:r>
      <w:r w:rsidRPr="00F53FE9">
        <w:t>C</w:t>
      </w:r>
      <w:r w:rsidR="00635CB1">
        <w:t>ommission, Final Report</w:t>
      </w:r>
      <w:r w:rsidRPr="00F53FE9">
        <w:t xml:space="preserve"> </w:t>
      </w:r>
      <w:r>
        <w:t>(</w:t>
      </w:r>
      <w:r w:rsidRPr="00F53FE9">
        <w:t>Vol 3 Chapter 9</w:t>
      </w:r>
      <w:r w:rsidR="008F6370">
        <w:t xml:space="preserve"> </w:t>
      </w:r>
      <w:r w:rsidR="00502CE8">
        <w:t>p.</w:t>
      </w:r>
      <w:r w:rsidRPr="00F53FE9">
        <w:t>256</w:t>
      </w:r>
      <w:r>
        <w:t>) stated that due to lack of data, they relied on evidence provided to the Commission for their findings on segregated settings:</w:t>
      </w:r>
      <w:r w:rsidRPr="00F53FE9">
        <w:t xml:space="preserve"> </w:t>
      </w:r>
      <w:r w:rsidRPr="00F53FE9">
        <w:rPr>
          <w:i/>
          <w:iCs/>
        </w:rPr>
        <w:t>'There is minimal data available about the violence, abuse, neglect or exploitation occurring</w:t>
      </w:r>
      <w:r>
        <w:rPr>
          <w:i/>
          <w:iCs/>
        </w:rPr>
        <w:t xml:space="preserve"> </w:t>
      </w:r>
      <w:r w:rsidRPr="00F53FE9">
        <w:rPr>
          <w:i/>
          <w:iCs/>
        </w:rPr>
        <w:t>within segregated settings and services. We therefore rely on evidence and information</w:t>
      </w:r>
      <w:r>
        <w:rPr>
          <w:i/>
          <w:iCs/>
        </w:rPr>
        <w:t xml:space="preserve"> </w:t>
      </w:r>
      <w:r w:rsidRPr="00F53FE9">
        <w:rPr>
          <w:i/>
          <w:iCs/>
        </w:rPr>
        <w:t>provided to the Royal Commission to set out the nature of people with disability’s experiences</w:t>
      </w:r>
      <w:r>
        <w:rPr>
          <w:i/>
          <w:iCs/>
        </w:rPr>
        <w:t xml:space="preserve"> </w:t>
      </w:r>
      <w:r w:rsidRPr="00F53FE9">
        <w:rPr>
          <w:i/>
          <w:iCs/>
        </w:rPr>
        <w:t>in these settings.'</w:t>
      </w:r>
      <w:r w:rsidR="002E0670">
        <w:t xml:space="preserve"> </w:t>
      </w:r>
      <w:r w:rsidR="004A4CC6">
        <w:t>Volume 3 goes on to note that</w:t>
      </w:r>
      <w:r w:rsidRPr="00F53FE9">
        <w:t xml:space="preserve"> '</w:t>
      </w:r>
      <w:r w:rsidRPr="00F53FE9">
        <w:rPr>
          <w:i/>
          <w:iCs/>
        </w:rPr>
        <w:t>In 2020–21, more SIL and SDA recipients than those without these</w:t>
      </w:r>
      <w:r>
        <w:rPr>
          <w:i/>
          <w:iCs/>
        </w:rPr>
        <w:t xml:space="preserve"> </w:t>
      </w:r>
      <w:r w:rsidRPr="00F53FE9">
        <w:rPr>
          <w:i/>
          <w:iCs/>
        </w:rPr>
        <w:t>supports were subject to serious injury, unauthorised use of restrictive practices, allegations of</w:t>
      </w:r>
      <w:r>
        <w:rPr>
          <w:i/>
          <w:iCs/>
        </w:rPr>
        <w:t xml:space="preserve"> </w:t>
      </w:r>
      <w:r w:rsidRPr="00F53FE9">
        <w:rPr>
          <w:i/>
          <w:iCs/>
        </w:rPr>
        <w:t>unlawful physical/sexual contact, and alleged abuse and neglect</w:t>
      </w:r>
      <w:r w:rsidRPr="00F53FE9">
        <w:t>'</w:t>
      </w:r>
      <w:r>
        <w:t>(</w:t>
      </w:r>
      <w:r w:rsidRPr="00F53FE9">
        <w:t xml:space="preserve">Vol 3 </w:t>
      </w:r>
      <w:r>
        <w:t>p.</w:t>
      </w:r>
      <w:r w:rsidRPr="00F53FE9">
        <w:t>267</w:t>
      </w:r>
      <w:r>
        <w:t>).</w:t>
      </w:r>
    </w:p>
  </w:footnote>
  <w:footnote w:id="60">
    <w:p w14:paraId="3F790E13" w14:textId="694E48F1" w:rsidR="00052364" w:rsidRDefault="00052364" w:rsidP="00052364">
      <w:pPr>
        <w:pStyle w:val="FootnoteText"/>
      </w:pPr>
      <w:r w:rsidRPr="597204A7">
        <w:rPr>
          <w:rStyle w:val="FootnoteReference"/>
        </w:rPr>
        <w:footnoteRef/>
      </w:r>
      <w:r>
        <w:t xml:space="preserve"> Submission, </w:t>
      </w:r>
      <w:r w:rsidR="14FF9E76">
        <w:t>Parent</w:t>
      </w:r>
    </w:p>
  </w:footnote>
  <w:footnote w:id="61">
    <w:p w14:paraId="69C8086B" w14:textId="1D2E06AA" w:rsidR="00052364" w:rsidRDefault="00052364" w:rsidP="00052364">
      <w:pPr>
        <w:pStyle w:val="FootnoteText"/>
      </w:pPr>
      <w:r w:rsidRPr="597204A7">
        <w:rPr>
          <w:rStyle w:val="FootnoteReference"/>
        </w:rPr>
        <w:footnoteRef/>
      </w:r>
      <w:r>
        <w:t xml:space="preserve"> </w:t>
      </w:r>
      <w:r w:rsidR="000B6959" w:rsidRPr="008F6370">
        <w:rPr>
          <w:rFonts w:eastAsia="Segoe UI" w:cstheme="minorHAnsi"/>
          <w:color w:val="000000" w:themeColor="text1"/>
        </w:rPr>
        <w:t xml:space="preserve">Submission, </w:t>
      </w:r>
      <w:r w:rsidR="009E10D6" w:rsidRPr="008F6370">
        <w:rPr>
          <w:rFonts w:eastAsia="Segoe UI" w:cstheme="minorHAnsi"/>
          <w:color w:val="000000" w:themeColor="text1"/>
        </w:rPr>
        <w:t>Disability Representative Organisation</w:t>
      </w:r>
    </w:p>
  </w:footnote>
  <w:footnote w:id="62">
    <w:p w14:paraId="73874A8E" w14:textId="2F7B33B9" w:rsidR="00341637" w:rsidRDefault="00341637">
      <w:pPr>
        <w:pStyle w:val="FootnoteText"/>
      </w:pPr>
      <w:r>
        <w:rPr>
          <w:rStyle w:val="FootnoteReference"/>
        </w:rPr>
        <w:footnoteRef/>
      </w:r>
      <w:r w:rsidR="00873510">
        <w:t xml:space="preserve"> </w:t>
      </w:r>
      <w:r w:rsidR="6B6CD6C0">
        <w:t xml:space="preserve">Meeting notes, </w:t>
      </w:r>
      <w:r w:rsidR="00B46BD3">
        <w:t>Academic</w:t>
      </w:r>
    </w:p>
  </w:footnote>
  <w:footnote w:id="63">
    <w:p w14:paraId="1AE0F3DF" w14:textId="50C88A1F" w:rsidR="00E31184" w:rsidRPr="007D1AFB" w:rsidRDefault="00E31184" w:rsidP="00E31184">
      <w:pPr>
        <w:pStyle w:val="FootnoteText"/>
      </w:pPr>
      <w:r>
        <w:rPr>
          <w:rStyle w:val="FootnoteReference"/>
        </w:rPr>
        <w:footnoteRef/>
      </w:r>
      <w:r>
        <w:t xml:space="preserve"> Submission, </w:t>
      </w:r>
      <w:r w:rsidR="00B46BD3">
        <w:t>Advocacy Organisation</w:t>
      </w:r>
    </w:p>
  </w:footnote>
  <w:footnote w:id="64">
    <w:p w14:paraId="42F86749" w14:textId="66454C07" w:rsidR="00E31184" w:rsidRPr="007D1AFB" w:rsidRDefault="00E31184" w:rsidP="00E31184">
      <w:pPr>
        <w:pStyle w:val="FootnoteText"/>
        <w:rPr>
          <w:i/>
          <w:sz w:val="22"/>
          <w:szCs w:val="22"/>
        </w:rPr>
      </w:pPr>
      <w:r>
        <w:rPr>
          <w:rStyle w:val="FootnoteReference"/>
        </w:rPr>
        <w:footnoteRef/>
      </w:r>
      <w:r>
        <w:t xml:space="preserve"> Submission, </w:t>
      </w:r>
      <w:r w:rsidR="00D95FD7">
        <w:t>Advocacy Organisation</w:t>
      </w:r>
    </w:p>
  </w:footnote>
  <w:footnote w:id="65">
    <w:p w14:paraId="4E9F3AFA" w14:textId="5901CE0D" w:rsidR="00E31184" w:rsidRPr="00737486" w:rsidRDefault="00E31184" w:rsidP="00E31184">
      <w:pPr>
        <w:pStyle w:val="FootnoteText"/>
        <w:rPr>
          <w:rFonts w:cstheme="minorHAnsi"/>
          <w:color w:val="000000" w:themeColor="text1"/>
        </w:rPr>
      </w:pPr>
      <w:r w:rsidRPr="00737486">
        <w:rPr>
          <w:rStyle w:val="FootnoteReference"/>
          <w:rFonts w:cstheme="minorHAnsi"/>
          <w:color w:val="000000" w:themeColor="text1"/>
        </w:rPr>
        <w:footnoteRef/>
      </w:r>
      <w:r w:rsidRPr="00737486">
        <w:rPr>
          <w:rFonts w:cstheme="minorHAnsi"/>
          <w:color w:val="000000" w:themeColor="text1"/>
        </w:rPr>
        <w:t xml:space="preserve"> Submission, </w:t>
      </w:r>
      <w:r w:rsidR="00D95FD7" w:rsidRPr="00737486">
        <w:rPr>
          <w:rFonts w:cstheme="minorHAnsi"/>
          <w:color w:val="000000" w:themeColor="text1"/>
        </w:rPr>
        <w:t>Advocacy Organisation</w:t>
      </w:r>
    </w:p>
  </w:footnote>
  <w:footnote w:id="66">
    <w:p w14:paraId="39F7F26C" w14:textId="5BBEAF8C" w:rsidR="00052364" w:rsidRPr="00737486" w:rsidRDefault="00052364" w:rsidP="00052364">
      <w:pPr>
        <w:pStyle w:val="FootnoteText"/>
        <w:rPr>
          <w:rFonts w:eastAsia="Segoe UI" w:cstheme="minorHAnsi"/>
          <w:color w:val="000000" w:themeColor="text1"/>
        </w:rPr>
      </w:pPr>
      <w:r w:rsidRPr="00737486">
        <w:rPr>
          <w:rStyle w:val="FootnoteReference"/>
          <w:rFonts w:cstheme="minorHAnsi"/>
          <w:color w:val="000000" w:themeColor="text1"/>
        </w:rPr>
        <w:footnoteRef/>
      </w:r>
      <w:r w:rsidRPr="00737486">
        <w:rPr>
          <w:rFonts w:cstheme="minorHAnsi"/>
          <w:color w:val="000000" w:themeColor="text1"/>
        </w:rPr>
        <w:t xml:space="preserve"> Submission, </w:t>
      </w:r>
      <w:r w:rsidR="0088644B" w:rsidRPr="00737486">
        <w:rPr>
          <w:rFonts w:cstheme="minorHAnsi"/>
          <w:color w:val="000000" w:themeColor="text1"/>
        </w:rPr>
        <w:t>Advocacy Organisation</w:t>
      </w:r>
    </w:p>
  </w:footnote>
  <w:footnote w:id="67">
    <w:p w14:paraId="781BF53E" w14:textId="7177410B" w:rsidR="00052364" w:rsidRPr="00737486" w:rsidRDefault="00052364" w:rsidP="00052364">
      <w:pPr>
        <w:pStyle w:val="FootnoteText"/>
        <w:rPr>
          <w:rFonts w:eastAsia="Segoe UI" w:cstheme="minorHAnsi"/>
          <w:b/>
          <w:bCs/>
          <w:color w:val="000000" w:themeColor="text1"/>
        </w:rPr>
      </w:pPr>
      <w:r w:rsidRPr="00737486">
        <w:rPr>
          <w:rStyle w:val="FootnoteReference"/>
          <w:rFonts w:cstheme="minorHAnsi"/>
          <w:color w:val="000000" w:themeColor="text1"/>
        </w:rPr>
        <w:footnoteRef/>
      </w:r>
      <w:r w:rsidRPr="00737486">
        <w:rPr>
          <w:rFonts w:cstheme="minorHAnsi"/>
          <w:color w:val="000000" w:themeColor="text1"/>
        </w:rPr>
        <w:t xml:space="preserve"> Submission,</w:t>
      </w:r>
      <w:r w:rsidR="51ED20E5" w:rsidRPr="00737486">
        <w:rPr>
          <w:rFonts w:eastAsia="Segoe UI" w:cstheme="minorHAnsi"/>
          <w:color w:val="000000" w:themeColor="text1"/>
        </w:rPr>
        <w:t xml:space="preserve"> Parent</w:t>
      </w:r>
    </w:p>
  </w:footnote>
  <w:footnote w:id="68">
    <w:p w14:paraId="7E626CB1" w14:textId="24072EED" w:rsidR="00052364" w:rsidRDefault="00052364" w:rsidP="00052364">
      <w:pPr>
        <w:pStyle w:val="FootnoteText"/>
      </w:pPr>
      <w:r w:rsidRPr="00737486">
        <w:rPr>
          <w:rStyle w:val="FootnoteReference"/>
          <w:rFonts w:cstheme="minorHAnsi"/>
          <w:color w:val="000000" w:themeColor="text1"/>
        </w:rPr>
        <w:footnoteRef/>
      </w:r>
      <w:r w:rsidRPr="00737486">
        <w:rPr>
          <w:rFonts w:cstheme="minorHAnsi"/>
          <w:color w:val="000000" w:themeColor="text1"/>
        </w:rPr>
        <w:t xml:space="preserve"> </w:t>
      </w:r>
      <w:r w:rsidR="00275B7B" w:rsidRPr="00737486">
        <w:rPr>
          <w:rFonts w:cstheme="minorHAnsi"/>
          <w:color w:val="000000" w:themeColor="text1"/>
        </w:rPr>
        <w:t xml:space="preserve">Disability </w:t>
      </w:r>
      <w:r w:rsidRPr="00737486">
        <w:rPr>
          <w:rFonts w:cstheme="minorHAnsi"/>
          <w:color w:val="000000" w:themeColor="text1"/>
        </w:rPr>
        <w:t>R</w:t>
      </w:r>
      <w:r w:rsidR="00275B7B" w:rsidRPr="00737486">
        <w:rPr>
          <w:rFonts w:cstheme="minorHAnsi"/>
          <w:color w:val="000000" w:themeColor="text1"/>
        </w:rPr>
        <w:t xml:space="preserve">oyal </w:t>
      </w:r>
      <w:r w:rsidRPr="00737486">
        <w:rPr>
          <w:rFonts w:cstheme="minorHAnsi"/>
          <w:color w:val="000000" w:themeColor="text1"/>
        </w:rPr>
        <w:t>C</w:t>
      </w:r>
      <w:r w:rsidR="00275B7B" w:rsidRPr="00737486">
        <w:rPr>
          <w:rFonts w:cstheme="minorHAnsi"/>
          <w:color w:val="000000" w:themeColor="text1"/>
        </w:rPr>
        <w:t>ommission, Final Report</w:t>
      </w:r>
      <w:r w:rsidRPr="00737486">
        <w:rPr>
          <w:rFonts w:cstheme="minorHAnsi"/>
          <w:color w:val="000000" w:themeColor="text1"/>
        </w:rPr>
        <w:t xml:space="preserve"> Volume 10, </w:t>
      </w:r>
      <w:r w:rsidR="006E37E0">
        <w:rPr>
          <w:rFonts w:cstheme="minorHAnsi"/>
          <w:color w:val="000000" w:themeColor="text1"/>
        </w:rPr>
        <w:t>pp.</w:t>
      </w:r>
      <w:r w:rsidRPr="00737486">
        <w:rPr>
          <w:rFonts w:cstheme="minorHAnsi"/>
          <w:color w:val="000000" w:themeColor="text1"/>
        </w:rPr>
        <w:t xml:space="preserve">60-61 and also NDIS Commission Own Motion Inquiry </w:t>
      </w:r>
      <w:r w:rsidR="0050481B" w:rsidRPr="00737486">
        <w:rPr>
          <w:rFonts w:cstheme="minorHAnsi"/>
          <w:color w:val="000000" w:themeColor="text1"/>
        </w:rPr>
        <w:t xml:space="preserve">into Aspects of Supported Accommodation </w:t>
      </w:r>
      <w:r w:rsidRPr="00737486">
        <w:rPr>
          <w:rFonts w:cstheme="minorHAnsi"/>
          <w:color w:val="000000" w:themeColor="text1"/>
        </w:rPr>
        <w:t>202</w:t>
      </w:r>
      <w:r w:rsidR="004563F3">
        <w:rPr>
          <w:rFonts w:cstheme="minorHAnsi"/>
          <w:color w:val="000000" w:themeColor="text1"/>
        </w:rPr>
        <w:t>2.</w:t>
      </w:r>
      <w:r w:rsidRPr="00737486">
        <w:rPr>
          <w:color w:val="000000" w:themeColor="text1"/>
        </w:rPr>
        <w:t xml:space="preserve"> </w:t>
      </w:r>
    </w:p>
  </w:footnote>
  <w:footnote w:id="69">
    <w:p w14:paraId="03F13574" w14:textId="77777777" w:rsidR="00D50C51" w:rsidRPr="00190274" w:rsidRDefault="00D50C51" w:rsidP="00D50C51">
      <w:pPr>
        <w:pStyle w:val="FootnoteText"/>
        <w:rPr>
          <w:rFonts w:eastAsia="Segoe UI" w:cstheme="minorHAnsi"/>
          <w:color w:val="333333"/>
        </w:rPr>
      </w:pPr>
      <w:r w:rsidRPr="00190274">
        <w:rPr>
          <w:rStyle w:val="FootnoteReference"/>
          <w:rFonts w:cstheme="minorHAnsi"/>
        </w:rPr>
        <w:footnoteRef/>
      </w:r>
      <w:r w:rsidRPr="00190274">
        <w:rPr>
          <w:rFonts w:cstheme="minorHAnsi"/>
        </w:rPr>
        <w:t xml:space="preserve"> </w:t>
      </w:r>
      <w:r w:rsidRPr="00190274">
        <w:rPr>
          <w:rFonts w:eastAsia="Segoe UI" w:cstheme="minorHAnsi"/>
          <w:color w:val="333333"/>
        </w:rPr>
        <w:t>Submission, NDIS Participant</w:t>
      </w:r>
    </w:p>
  </w:footnote>
  <w:footnote w:id="70">
    <w:p w14:paraId="505135CD" w14:textId="62F453B4" w:rsidR="00052364" w:rsidRPr="00190274" w:rsidRDefault="00052364" w:rsidP="00052364">
      <w:pPr>
        <w:pStyle w:val="FootnoteText"/>
        <w:rPr>
          <w:rFonts w:cstheme="minorHAnsi"/>
        </w:rPr>
      </w:pPr>
      <w:r w:rsidRPr="00190274">
        <w:rPr>
          <w:rStyle w:val="FootnoteReference"/>
          <w:rFonts w:cstheme="minorHAnsi"/>
        </w:rPr>
        <w:footnoteRef/>
      </w:r>
      <w:r w:rsidR="009136C2">
        <w:rPr>
          <w:rFonts w:ascii="Aptos" w:hAnsi="Aptos"/>
        </w:rPr>
        <w:t xml:space="preserve"> </w:t>
      </w:r>
      <w:r w:rsidR="00041BCB" w:rsidRPr="00E83A6B">
        <w:rPr>
          <w:rFonts w:ascii="Aptos" w:hAnsi="Aptos"/>
        </w:rPr>
        <w:t>The NDIS Commission’s 202</w:t>
      </w:r>
      <w:r w:rsidR="00041BCB">
        <w:rPr>
          <w:rFonts w:ascii="Aptos" w:hAnsi="Aptos"/>
        </w:rPr>
        <w:t>2</w:t>
      </w:r>
      <w:r w:rsidR="00041BCB" w:rsidRPr="00E83A6B">
        <w:rPr>
          <w:rFonts w:ascii="Aptos" w:hAnsi="Aptos"/>
          <w:i/>
          <w:iCs/>
        </w:rPr>
        <w:t xml:space="preserve"> Own Motion Inquiry into Aspects of Supported Accommodation</w:t>
      </w:r>
      <w:r w:rsidR="00041BCB" w:rsidRPr="00E83A6B">
        <w:rPr>
          <w:rFonts w:ascii="Aptos" w:hAnsi="Aptos"/>
        </w:rPr>
        <w:t xml:space="preserve"> identified higher levels of incident reporting in closed group settings</w:t>
      </w:r>
      <w:r w:rsidR="0081644B">
        <w:rPr>
          <w:rFonts w:ascii="Aptos" w:hAnsi="Aptos"/>
        </w:rPr>
        <w:t>.</w:t>
      </w:r>
    </w:p>
  </w:footnote>
  <w:footnote w:id="71">
    <w:p w14:paraId="5689D615" w14:textId="289D8C07" w:rsidR="00052364" w:rsidRDefault="00052364" w:rsidP="00052364">
      <w:pPr>
        <w:pStyle w:val="FootnoteText"/>
      </w:pPr>
      <w:r w:rsidRPr="00190274">
        <w:rPr>
          <w:rStyle w:val="FootnoteReference"/>
          <w:rFonts w:cstheme="minorHAnsi"/>
        </w:rPr>
        <w:footnoteRef/>
      </w:r>
      <w:r w:rsidRPr="00190274">
        <w:rPr>
          <w:rFonts w:cstheme="minorHAnsi"/>
        </w:rPr>
        <w:t xml:space="preserve"> </w:t>
      </w:r>
      <w:r w:rsidRPr="00190274">
        <w:rPr>
          <w:rFonts w:eastAsia="Segoe UI" w:cstheme="minorHAnsi"/>
          <w:color w:val="333333"/>
        </w:rPr>
        <w:t xml:space="preserve">Submission, </w:t>
      </w:r>
      <w:r w:rsidR="00E03279" w:rsidRPr="00190274">
        <w:rPr>
          <w:rFonts w:eastAsia="Segoe UI" w:cstheme="minorHAnsi"/>
          <w:color w:val="333333"/>
        </w:rPr>
        <w:t>Provider Peak</w:t>
      </w:r>
    </w:p>
  </w:footnote>
  <w:footnote w:id="72">
    <w:p w14:paraId="00E6D0F4" w14:textId="32983FB1" w:rsidR="00052364" w:rsidRDefault="00052364" w:rsidP="00052364">
      <w:pPr>
        <w:pStyle w:val="FootnoteText"/>
      </w:pPr>
      <w:r w:rsidRPr="79740141">
        <w:rPr>
          <w:rStyle w:val="FootnoteReference"/>
        </w:rPr>
        <w:footnoteRef/>
      </w:r>
      <w:r>
        <w:t xml:space="preserve"> Submission, Parent</w:t>
      </w:r>
    </w:p>
  </w:footnote>
  <w:footnote w:id="73">
    <w:p w14:paraId="31EAD4A4" w14:textId="61BB640A" w:rsidR="00052364" w:rsidRDefault="00052364" w:rsidP="00052364">
      <w:pPr>
        <w:pStyle w:val="FootnoteText"/>
      </w:pPr>
      <w:r w:rsidRPr="79740141">
        <w:rPr>
          <w:rStyle w:val="FootnoteReference"/>
        </w:rPr>
        <w:footnoteRef/>
      </w:r>
      <w:r>
        <w:t xml:space="preserve"> Submission, Guardian</w:t>
      </w:r>
    </w:p>
  </w:footnote>
  <w:footnote w:id="74">
    <w:p w14:paraId="1C79EE0A" w14:textId="70FDF31D" w:rsidR="00255EAB" w:rsidRPr="00AC7434" w:rsidRDefault="00255EAB" w:rsidP="00255EAB">
      <w:pPr>
        <w:pStyle w:val="FootnoteText"/>
        <w:rPr>
          <w:rFonts w:cstheme="minorHAnsi"/>
        </w:rPr>
      </w:pPr>
      <w:r w:rsidRPr="00AC7434">
        <w:rPr>
          <w:rStyle w:val="FootnoteReference"/>
          <w:rFonts w:cstheme="minorHAnsi"/>
        </w:rPr>
        <w:footnoteRef/>
      </w:r>
      <w:r w:rsidR="009136C2">
        <w:rPr>
          <w:rFonts w:cstheme="minorHAnsi"/>
        </w:rPr>
        <w:t xml:space="preserve"> </w:t>
      </w:r>
      <w:r w:rsidRPr="00AC7434">
        <w:rPr>
          <w:rFonts w:cstheme="minorHAnsi"/>
        </w:rPr>
        <w:t>Submission, NDIS Participant and Parent</w:t>
      </w:r>
    </w:p>
  </w:footnote>
  <w:footnote w:id="75">
    <w:p w14:paraId="0CADB613" w14:textId="77777777" w:rsidR="00255EAB" w:rsidRPr="00AC7434" w:rsidRDefault="00255EAB" w:rsidP="00255EAB">
      <w:pPr>
        <w:pStyle w:val="FootnoteText"/>
        <w:rPr>
          <w:rFonts w:cstheme="minorHAnsi"/>
        </w:rPr>
      </w:pPr>
      <w:r w:rsidRPr="00AC7434">
        <w:rPr>
          <w:rStyle w:val="FootnoteReference"/>
          <w:rFonts w:cstheme="minorHAnsi"/>
        </w:rPr>
        <w:footnoteRef/>
      </w:r>
      <w:r w:rsidRPr="00AC7434">
        <w:rPr>
          <w:rFonts w:cstheme="minorHAnsi"/>
        </w:rPr>
        <w:t xml:space="preserve"> Submission, Parent of NDIS Participant</w:t>
      </w:r>
    </w:p>
  </w:footnote>
  <w:footnote w:id="76">
    <w:p w14:paraId="7F0DD691" w14:textId="5488F4A5" w:rsidR="00052364" w:rsidRDefault="00052364" w:rsidP="00052364">
      <w:pPr>
        <w:pStyle w:val="FootnoteText"/>
      </w:pPr>
      <w:r w:rsidRPr="00AC7434">
        <w:rPr>
          <w:rStyle w:val="FootnoteReference"/>
          <w:rFonts w:cstheme="minorHAnsi"/>
        </w:rPr>
        <w:footnoteRef/>
      </w:r>
      <w:r w:rsidRPr="00AC7434">
        <w:rPr>
          <w:rFonts w:cstheme="minorHAnsi"/>
        </w:rPr>
        <w:t xml:space="preserve"> NDIS Review, Supporting Analysis</w:t>
      </w:r>
      <w:r w:rsidR="00A269DA">
        <w:rPr>
          <w:rFonts w:cstheme="minorHAnsi"/>
        </w:rPr>
        <w:t>,</w:t>
      </w:r>
      <w:r w:rsidRPr="00AC7434">
        <w:rPr>
          <w:rFonts w:cstheme="minorHAnsi"/>
        </w:rPr>
        <w:t xml:space="preserve"> </w:t>
      </w:r>
      <w:r w:rsidR="00321AA8">
        <w:rPr>
          <w:rFonts w:cstheme="minorHAnsi"/>
        </w:rPr>
        <w:t>p.</w:t>
      </w:r>
      <w:r w:rsidRPr="00AC7434">
        <w:rPr>
          <w:rFonts w:cstheme="minorHAnsi"/>
        </w:rPr>
        <w:t>637</w:t>
      </w:r>
    </w:p>
  </w:footnote>
  <w:footnote w:id="77">
    <w:p w14:paraId="0B0E48B2" w14:textId="77777777" w:rsidR="00C62CE8" w:rsidRPr="00AC7434" w:rsidRDefault="00C62CE8" w:rsidP="00C62CE8">
      <w:pPr>
        <w:pStyle w:val="FootnoteText"/>
        <w:rPr>
          <w:rFonts w:eastAsia="Segoe UI" w:cstheme="minorHAnsi"/>
          <w:color w:val="333333"/>
        </w:rPr>
      </w:pPr>
      <w:r w:rsidRPr="00AC7434">
        <w:rPr>
          <w:rStyle w:val="FootnoteReference"/>
          <w:rFonts w:cstheme="minorHAnsi"/>
        </w:rPr>
        <w:footnoteRef/>
      </w:r>
      <w:r w:rsidRPr="00AC7434">
        <w:rPr>
          <w:rFonts w:cstheme="minorHAnsi"/>
        </w:rPr>
        <w:t xml:space="preserve"> Submission, </w:t>
      </w:r>
      <w:r w:rsidRPr="00AC7434">
        <w:rPr>
          <w:rFonts w:eastAsia="Segoe UI" w:cstheme="minorHAnsi"/>
          <w:color w:val="333333"/>
        </w:rPr>
        <w:t>Registered Provider</w:t>
      </w:r>
    </w:p>
  </w:footnote>
  <w:footnote w:id="78">
    <w:p w14:paraId="4E77EF0A" w14:textId="69B217D8" w:rsidR="0009694F" w:rsidRDefault="0009694F">
      <w:pPr>
        <w:pStyle w:val="FootnoteText"/>
      </w:pPr>
      <w:r>
        <w:rPr>
          <w:rStyle w:val="FootnoteReference"/>
        </w:rPr>
        <w:footnoteRef/>
      </w:r>
      <w:r>
        <w:t xml:space="preserve"> </w:t>
      </w:r>
      <w:r w:rsidRPr="0009694F">
        <w:rPr>
          <w:i/>
          <w:iCs/>
        </w:rPr>
        <w:t>National Disability Insurance Scheme (Provider Registration and Practice Standards) Rules 2018</w:t>
      </w:r>
    </w:p>
  </w:footnote>
  <w:footnote w:id="79">
    <w:p w14:paraId="2FDFA15E" w14:textId="737CF9A5" w:rsidR="29E814B8" w:rsidRDefault="29E814B8" w:rsidP="005B2CBD">
      <w:pPr>
        <w:pStyle w:val="FootnoteText"/>
      </w:pPr>
      <w:r w:rsidRPr="29E814B8">
        <w:rPr>
          <w:rStyle w:val="FootnoteReference"/>
        </w:rPr>
        <w:footnoteRef/>
      </w:r>
      <w:r w:rsidR="37ED728E">
        <w:t xml:space="preserve"> Submission, </w:t>
      </w:r>
      <w:r w:rsidR="00813D0D">
        <w:t>Unregistered Provider</w:t>
      </w:r>
    </w:p>
  </w:footnote>
  <w:footnote w:id="80">
    <w:p w14:paraId="247287A4" w14:textId="2DBCE89D" w:rsidR="5AF76F86" w:rsidRDefault="5AF76F86" w:rsidP="005B2CBD">
      <w:pPr>
        <w:pStyle w:val="FootnoteText"/>
      </w:pPr>
      <w:r w:rsidRPr="5AF76F86">
        <w:rPr>
          <w:rStyle w:val="FootnoteReference"/>
        </w:rPr>
        <w:footnoteRef/>
      </w:r>
      <w:r>
        <w:t xml:space="preserve"> Submission, </w:t>
      </w:r>
      <w:r w:rsidR="00813D0D">
        <w:t>Unregistered Provider</w:t>
      </w:r>
    </w:p>
  </w:footnote>
  <w:footnote w:id="81">
    <w:p w14:paraId="50F02669" w14:textId="386D23F4" w:rsidR="5D93FC54" w:rsidRDefault="5D93FC54" w:rsidP="005B2CBD">
      <w:pPr>
        <w:pStyle w:val="FootnoteText"/>
      </w:pPr>
      <w:r w:rsidRPr="5D93FC54">
        <w:rPr>
          <w:rStyle w:val="FootnoteReference"/>
        </w:rPr>
        <w:footnoteRef/>
      </w:r>
      <w:r>
        <w:t xml:space="preserve"> Submission, Unregistered </w:t>
      </w:r>
      <w:r w:rsidR="00813D0D">
        <w:t>P</w:t>
      </w:r>
      <w:r>
        <w:t>rovider</w:t>
      </w:r>
    </w:p>
  </w:footnote>
  <w:footnote w:id="82">
    <w:p w14:paraId="1CD19D5C" w14:textId="4CFFCB06" w:rsidR="00394D33" w:rsidRDefault="00394D33">
      <w:pPr>
        <w:pStyle w:val="FootnoteText"/>
      </w:pPr>
      <w:r>
        <w:rPr>
          <w:rStyle w:val="FootnoteReference"/>
        </w:rPr>
        <w:footnoteRef/>
      </w:r>
      <w:r>
        <w:t xml:space="preserve"> </w:t>
      </w:r>
      <w:r w:rsidR="00202078">
        <w:t xml:space="preserve">NDIS Review Final Report, </w:t>
      </w:r>
      <w:r w:rsidR="002E7EDF">
        <w:t>p.</w:t>
      </w:r>
      <w:r w:rsidR="004344ED">
        <w:t>20</w:t>
      </w:r>
      <w:r w:rsidR="00762251">
        <w:t>7.</w:t>
      </w:r>
      <w:r w:rsidR="00E45BCF">
        <w:t xml:space="preserve"> This noted that </w:t>
      </w:r>
      <w:r w:rsidR="00AE1D6A">
        <w:t>in the period April 2022 to June 2023</w:t>
      </w:r>
      <w:r w:rsidR="0062699C">
        <w:t>,</w:t>
      </w:r>
      <w:r w:rsidR="0062699C" w:rsidRPr="0062699C">
        <w:t xml:space="preserve"> </w:t>
      </w:r>
      <w:r w:rsidR="0062699C">
        <w:t>over 154,000 unregistered providers received a payment from a Plan Manager</w:t>
      </w:r>
      <w:r w:rsidR="00D44A71">
        <w:t xml:space="preserve"> and that the </w:t>
      </w:r>
      <w:r w:rsidR="0062699C">
        <w:t>number of unregistered providers i</w:t>
      </w:r>
      <w:r w:rsidR="00D44A71">
        <w:t>s</w:t>
      </w:r>
      <w:r w:rsidR="0062699C">
        <w:t xml:space="preserve"> likely hi</w:t>
      </w:r>
      <w:r w:rsidR="00D44A71">
        <w:t>gher.</w:t>
      </w:r>
    </w:p>
  </w:footnote>
  <w:footnote w:id="83">
    <w:p w14:paraId="1D321AA3" w14:textId="6C8E4621" w:rsidR="5D93FC54" w:rsidRDefault="5D93FC54" w:rsidP="005B2CBD">
      <w:pPr>
        <w:pStyle w:val="FootnoteText"/>
      </w:pPr>
      <w:r w:rsidRPr="5D93FC54">
        <w:rPr>
          <w:rStyle w:val="FootnoteReference"/>
        </w:rPr>
        <w:footnoteRef/>
      </w:r>
      <w:r w:rsidR="2A3C8F81">
        <w:t xml:space="preserve"> Submission, </w:t>
      </w:r>
      <w:r w:rsidR="00AE2ADA">
        <w:t>Unregistered Provider</w:t>
      </w:r>
    </w:p>
  </w:footnote>
  <w:footnote w:id="84">
    <w:p w14:paraId="664DCA09" w14:textId="317BA59B" w:rsidR="2A3C8F81" w:rsidRDefault="2A3C8F81" w:rsidP="005B2CBD">
      <w:pPr>
        <w:pStyle w:val="FootnoteText"/>
      </w:pPr>
      <w:r w:rsidRPr="2A3C8F81">
        <w:rPr>
          <w:rStyle w:val="FootnoteReference"/>
        </w:rPr>
        <w:footnoteRef/>
      </w:r>
      <w:r>
        <w:t xml:space="preserve"> Submission, </w:t>
      </w:r>
      <w:r w:rsidR="00AE2ADA">
        <w:t>Unregistered Provider</w:t>
      </w:r>
    </w:p>
  </w:footnote>
  <w:footnote w:id="85">
    <w:p w14:paraId="792C4E78" w14:textId="0BC63F3B" w:rsidR="002C4333" w:rsidRPr="002C4333" w:rsidRDefault="002C4333">
      <w:pPr>
        <w:pStyle w:val="FootnoteText"/>
      </w:pPr>
      <w:r>
        <w:rPr>
          <w:rStyle w:val="FootnoteReference"/>
        </w:rPr>
        <w:footnoteRef/>
      </w:r>
      <w:r>
        <w:t xml:space="preserve"> </w:t>
      </w:r>
      <w:r w:rsidRPr="002C4333">
        <w:t>Roundtable Participant</w:t>
      </w:r>
    </w:p>
  </w:footnote>
  <w:footnote w:id="86">
    <w:p w14:paraId="07C360C2" w14:textId="3B7C6804" w:rsidR="00CF649A" w:rsidRDefault="00CF649A" w:rsidP="00CF649A">
      <w:pPr>
        <w:pStyle w:val="FootnoteText"/>
      </w:pPr>
      <w:r>
        <w:rPr>
          <w:rStyle w:val="FootnoteReference"/>
        </w:rPr>
        <w:footnoteRef/>
      </w:r>
      <w:r>
        <w:t xml:space="preserve"> Disability Royal Commission, Final Report – Volume 7 </w:t>
      </w:r>
      <w:r w:rsidRPr="007F46EB">
        <w:t>Inclusive education, employment and housing</w:t>
      </w:r>
      <w:r>
        <w:t xml:space="preserve"> Part C –</w:t>
      </w:r>
      <w:r w:rsidR="008F6370">
        <w:t xml:space="preserve"> p.</w:t>
      </w:r>
      <w:r>
        <w:t>648</w:t>
      </w:r>
      <w:r w:rsidR="008F6370">
        <w:t>.</w:t>
      </w:r>
      <w:r>
        <w:t xml:space="preserve"> </w:t>
      </w:r>
    </w:p>
  </w:footnote>
  <w:footnote w:id="87">
    <w:p w14:paraId="6D639B16" w14:textId="70E34B0B" w:rsidR="00CF649A" w:rsidRDefault="00CF649A" w:rsidP="00CF649A">
      <w:pPr>
        <w:pStyle w:val="FootnoteText"/>
      </w:pPr>
      <w:r>
        <w:rPr>
          <w:rStyle w:val="FootnoteReference"/>
        </w:rPr>
        <w:footnoteRef/>
      </w:r>
      <w:r>
        <w:t xml:space="preserve"> NDIS Commission, Own Motion Inquiry: Aspects of Supported Accommodation in the NDIS, </w:t>
      </w:r>
      <w:r w:rsidR="00894C0B">
        <w:t>p.</w:t>
      </w:r>
      <w:r>
        <w:t>5.</w:t>
      </w:r>
    </w:p>
  </w:footnote>
  <w:footnote w:id="88">
    <w:p w14:paraId="21418611" w14:textId="7C1A0908" w:rsidR="00CF649A" w:rsidRDefault="00CF649A" w:rsidP="00CF649A">
      <w:pPr>
        <w:pStyle w:val="FootnoteText"/>
      </w:pPr>
      <w:r>
        <w:rPr>
          <w:rStyle w:val="FootnoteReference"/>
        </w:rPr>
        <w:footnoteRef/>
      </w:r>
      <w:r>
        <w:t xml:space="preserve"> NDIS Commission, Own Motion Inquiry: Aspects of Supported Accommodation in the NDIS, </w:t>
      </w:r>
      <w:r w:rsidR="00050666">
        <w:t>p.</w:t>
      </w:r>
      <w:r>
        <w:t>46.</w:t>
      </w:r>
    </w:p>
  </w:footnote>
  <w:footnote w:id="89">
    <w:p w14:paraId="69C10361" w14:textId="77777777" w:rsidR="00CF649A" w:rsidRDefault="00CF649A" w:rsidP="00CF649A">
      <w:pPr>
        <w:pStyle w:val="FootnoteText"/>
      </w:pPr>
      <w:r>
        <w:rPr>
          <w:rStyle w:val="FootnoteReference"/>
        </w:rPr>
        <w:footnoteRef/>
      </w:r>
      <w:r>
        <w:t xml:space="preserve"> NDIS Commission, Own Motion Inquiry: Aspects of Supported Accommodation in the NDIS, page 102.</w:t>
      </w:r>
    </w:p>
  </w:footnote>
  <w:footnote w:id="90">
    <w:p w14:paraId="6FEE4EA6" w14:textId="77777777" w:rsidR="00A34E65" w:rsidRDefault="00A34E65" w:rsidP="00A34E65">
      <w:pPr>
        <w:pStyle w:val="FootnoteText"/>
      </w:pPr>
      <w:r w:rsidRPr="5DDA34EC">
        <w:rPr>
          <w:rStyle w:val="FootnoteReference"/>
        </w:rPr>
        <w:footnoteRef/>
      </w:r>
      <w:r>
        <w:t xml:space="preserve"> Submission, Parent</w:t>
      </w:r>
    </w:p>
  </w:footnote>
  <w:footnote w:id="91">
    <w:p w14:paraId="244C1E9B" w14:textId="77777777" w:rsidR="00A34E65" w:rsidRDefault="00A34E65" w:rsidP="00A34E65">
      <w:pPr>
        <w:pStyle w:val="FootnoteText"/>
      </w:pPr>
      <w:r w:rsidRPr="7DE5DAD4">
        <w:rPr>
          <w:rStyle w:val="FootnoteReference"/>
        </w:rPr>
        <w:footnoteRef/>
      </w:r>
      <w:r>
        <w:t xml:space="preserve"> Submission, NDIS Participant</w:t>
      </w:r>
    </w:p>
  </w:footnote>
  <w:footnote w:id="92">
    <w:p w14:paraId="173EF428" w14:textId="77777777" w:rsidR="00A34E65" w:rsidRDefault="00A34E65" w:rsidP="00A34E65">
      <w:pPr>
        <w:pStyle w:val="FootnoteText"/>
      </w:pPr>
      <w:r w:rsidRPr="59569E37">
        <w:rPr>
          <w:rStyle w:val="FootnoteReference"/>
        </w:rPr>
        <w:footnoteRef/>
      </w:r>
      <w:r>
        <w:t xml:space="preserve"> Submission, Advocacy Organisation</w:t>
      </w:r>
    </w:p>
  </w:footnote>
  <w:footnote w:id="93">
    <w:p w14:paraId="65295FD2" w14:textId="4110AB68" w:rsidR="00A34E65" w:rsidRDefault="00A34E65" w:rsidP="00A34E65">
      <w:pPr>
        <w:pStyle w:val="FootnoteText"/>
      </w:pPr>
      <w:r w:rsidRPr="5B2A7E79">
        <w:rPr>
          <w:rStyle w:val="FootnoteReference"/>
        </w:rPr>
        <w:footnoteRef/>
      </w:r>
      <w:r>
        <w:t xml:space="preserve"> </w:t>
      </w:r>
      <w:r w:rsidRPr="00415CFF">
        <w:t>Meeting notes, Service for One provider</w:t>
      </w:r>
    </w:p>
  </w:footnote>
  <w:footnote w:id="94">
    <w:p w14:paraId="555D464E" w14:textId="77777777" w:rsidR="009D071E" w:rsidRDefault="009D071E" w:rsidP="009D071E">
      <w:pPr>
        <w:pStyle w:val="FootnoteText"/>
      </w:pPr>
      <w:r w:rsidRPr="003C78C3">
        <w:rPr>
          <w:rStyle w:val="FootnoteReference"/>
        </w:rPr>
        <w:footnoteRef/>
      </w:r>
      <w:r w:rsidRPr="003C78C3">
        <w:t xml:space="preserve"> Submission, NDIS Participant</w:t>
      </w:r>
    </w:p>
  </w:footnote>
  <w:footnote w:id="95">
    <w:p w14:paraId="382B5201" w14:textId="43C77CF4" w:rsidR="008F7168" w:rsidRDefault="008F7168" w:rsidP="008F7168">
      <w:pPr>
        <w:pStyle w:val="FootnoteText"/>
      </w:pPr>
      <w:r w:rsidRPr="5289ECA2">
        <w:rPr>
          <w:rStyle w:val="FootnoteReference"/>
        </w:rPr>
        <w:footnoteRef/>
      </w:r>
      <w:r>
        <w:t xml:space="preserve"> </w:t>
      </w:r>
      <w:r w:rsidR="00827EF9">
        <w:t>Meeting notes, Academic</w:t>
      </w:r>
    </w:p>
  </w:footnote>
  <w:footnote w:id="96">
    <w:p w14:paraId="46E08434" w14:textId="05433EF0" w:rsidR="00A34E65" w:rsidRDefault="00A34E65" w:rsidP="00A34E65">
      <w:pPr>
        <w:pStyle w:val="FootnoteText"/>
      </w:pPr>
      <w:r>
        <w:rPr>
          <w:rStyle w:val="FootnoteReference"/>
        </w:rPr>
        <w:footnoteRef/>
      </w:r>
      <w:r>
        <w:t xml:space="preserve"> Participants and Nominees</w:t>
      </w:r>
      <w:r w:rsidR="009226FD">
        <w:t xml:space="preserve"> - Advisory Working Group Minutes</w:t>
      </w:r>
    </w:p>
  </w:footnote>
  <w:footnote w:id="97">
    <w:p w14:paraId="339983A3" w14:textId="77777777" w:rsidR="00F470D8" w:rsidRDefault="00F470D8" w:rsidP="00F470D8">
      <w:pPr>
        <w:pStyle w:val="FootnoteText"/>
      </w:pPr>
      <w:r>
        <w:rPr>
          <w:rStyle w:val="FootnoteReference"/>
        </w:rPr>
        <w:footnoteRef/>
      </w:r>
      <w:r>
        <w:t xml:space="preserve"> Submission, NDIS Participant</w:t>
      </w:r>
    </w:p>
  </w:footnote>
  <w:footnote w:id="98">
    <w:p w14:paraId="637D2978" w14:textId="3D51DC4F" w:rsidR="00A34E65" w:rsidRDefault="00A34E65" w:rsidP="00A34E65">
      <w:pPr>
        <w:pStyle w:val="FootnoteText"/>
      </w:pPr>
      <w:r>
        <w:rPr>
          <w:rStyle w:val="FootnoteReference"/>
        </w:rPr>
        <w:footnoteRef/>
      </w:r>
      <w:r>
        <w:t xml:space="preserve"> </w:t>
      </w:r>
      <w:r w:rsidR="006676A1">
        <w:t>Participants and Nominees</w:t>
      </w:r>
      <w:r w:rsidR="009226FD">
        <w:t xml:space="preserve"> - Advisory Working Group Minutes</w:t>
      </w:r>
    </w:p>
  </w:footnote>
  <w:footnote w:id="99">
    <w:p w14:paraId="08A803B1" w14:textId="405FF965" w:rsidR="00BB1B69" w:rsidRDefault="00BB1B69" w:rsidP="00BB1B69">
      <w:pPr>
        <w:pStyle w:val="FootnoteText"/>
      </w:pPr>
      <w:r w:rsidRPr="2C56834E">
        <w:rPr>
          <w:rStyle w:val="FootnoteReference"/>
        </w:rPr>
        <w:footnoteRef/>
      </w:r>
      <w:r>
        <w:t xml:space="preserve"> Submission, Parent</w:t>
      </w:r>
    </w:p>
  </w:footnote>
  <w:footnote w:id="100">
    <w:p w14:paraId="68ADD2A0" w14:textId="2E431342" w:rsidR="3530A1EF" w:rsidRDefault="3530A1EF" w:rsidP="005B2CBD">
      <w:pPr>
        <w:pStyle w:val="FootnoteText"/>
      </w:pPr>
      <w:r w:rsidRPr="3530A1EF">
        <w:rPr>
          <w:rStyle w:val="FootnoteReference"/>
        </w:rPr>
        <w:footnoteRef/>
      </w:r>
      <w:r>
        <w:t xml:space="preserve"> Meeting notes, M01.24</w:t>
      </w:r>
      <w:r w:rsidR="00E07E3B">
        <w:t>, Advocacy Organisation</w:t>
      </w:r>
    </w:p>
  </w:footnote>
  <w:footnote w:id="101">
    <w:p w14:paraId="071A97DE" w14:textId="77777777" w:rsidR="00EF70EC" w:rsidRDefault="00EF70EC" w:rsidP="00EF70EC">
      <w:pPr>
        <w:pStyle w:val="FootnoteText"/>
      </w:pPr>
      <w:r w:rsidRPr="13B3ADAA">
        <w:rPr>
          <w:rStyle w:val="FootnoteReference"/>
        </w:rPr>
        <w:footnoteRef/>
      </w:r>
      <w:r>
        <w:t xml:space="preserve"> Submission, Parent nominee</w:t>
      </w:r>
    </w:p>
  </w:footnote>
  <w:footnote w:id="102">
    <w:p w14:paraId="2D29EABC" w14:textId="6A193E34" w:rsidR="31811193" w:rsidRDefault="31811193" w:rsidP="005B2CBD">
      <w:pPr>
        <w:pStyle w:val="FootnoteText"/>
      </w:pPr>
      <w:r w:rsidRPr="31811193">
        <w:rPr>
          <w:rStyle w:val="FootnoteReference"/>
        </w:rPr>
        <w:footnoteRef/>
      </w:r>
      <w:r w:rsidR="70A09271">
        <w:t xml:space="preserve"> Webinar participant</w:t>
      </w:r>
    </w:p>
  </w:footnote>
  <w:footnote w:id="103">
    <w:p w14:paraId="60FF50AF" w14:textId="29879F20" w:rsidR="00CD3690" w:rsidRPr="0043321D" w:rsidRDefault="00CD3690">
      <w:pPr>
        <w:pStyle w:val="FootnoteText"/>
        <w:rPr>
          <w:rFonts w:cstheme="minorHAnsi"/>
        </w:rPr>
      </w:pPr>
      <w:r w:rsidRPr="0043321D">
        <w:rPr>
          <w:rStyle w:val="FootnoteReference"/>
          <w:rFonts w:cstheme="minorHAnsi"/>
        </w:rPr>
        <w:footnoteRef/>
      </w:r>
      <w:r w:rsidRPr="0043321D">
        <w:rPr>
          <w:rFonts w:cstheme="minorHAnsi"/>
        </w:rPr>
        <w:t xml:space="preserve"> </w:t>
      </w:r>
      <w:r w:rsidR="00841BB9" w:rsidRPr="0043321D">
        <w:rPr>
          <w:rStyle w:val="normaltextrun"/>
          <w:rFonts w:cstheme="minorHAnsi"/>
          <w:color w:val="000000"/>
          <w:shd w:val="clear" w:color="auto" w:fill="FFFFFF"/>
        </w:rPr>
        <w:t xml:space="preserve">NDIS Commission Own Motion Inquiry into Platform Providers 2023; </w:t>
      </w:r>
      <w:r w:rsidR="0048795F" w:rsidRPr="0039417E">
        <w:rPr>
          <w:rStyle w:val="normaltextrun"/>
          <w:rFonts w:cstheme="minorHAnsi"/>
          <w:color w:val="000000" w:themeColor="text1"/>
          <w:shd w:val="clear" w:color="auto" w:fill="FFFFFF"/>
        </w:rPr>
        <w:t>Own Motion Inquiry into Platform Providers in the NDIS Market | NDIS Quality and Safeguards Commission (ndiscommission.gov.au)</w:t>
      </w:r>
      <w:r w:rsidR="000366C4" w:rsidRPr="0039417E">
        <w:rPr>
          <w:rFonts w:cstheme="minorHAnsi"/>
          <w:color w:val="000000" w:themeColor="text1"/>
        </w:rPr>
        <w:t xml:space="preserve">, </w:t>
      </w:r>
      <w:r w:rsidR="000366C4" w:rsidRPr="0043321D">
        <w:rPr>
          <w:rFonts w:cstheme="minorHAnsi"/>
        </w:rPr>
        <w:t>p.21</w:t>
      </w:r>
    </w:p>
  </w:footnote>
  <w:footnote w:id="104">
    <w:p w14:paraId="1DB44853" w14:textId="50A497A2" w:rsidR="003F17F4" w:rsidRPr="0039417E" w:rsidRDefault="003F17F4">
      <w:pPr>
        <w:pStyle w:val="FootnoteText"/>
        <w:rPr>
          <w:rFonts w:cstheme="minorHAnsi"/>
          <w:color w:val="000000" w:themeColor="text1"/>
          <w:u w:val="single"/>
        </w:rPr>
      </w:pPr>
      <w:r w:rsidRPr="0043321D">
        <w:rPr>
          <w:rStyle w:val="FootnoteReference"/>
          <w:rFonts w:cstheme="minorHAnsi"/>
        </w:rPr>
        <w:footnoteRef/>
      </w:r>
      <w:r w:rsidRPr="0043321D">
        <w:rPr>
          <w:rFonts w:cstheme="minorHAnsi"/>
        </w:rPr>
        <w:t xml:space="preserve"> </w:t>
      </w:r>
      <w:r w:rsidR="005A426F" w:rsidRPr="0043321D">
        <w:rPr>
          <w:rStyle w:val="normaltextrun"/>
          <w:rFonts w:cstheme="minorHAnsi"/>
          <w:color w:val="000000"/>
          <w:shd w:val="clear" w:color="auto" w:fill="FFFFFF"/>
        </w:rPr>
        <w:t xml:space="preserve">NDIS </w:t>
      </w:r>
      <w:r w:rsidR="00BB1AD1" w:rsidRPr="0043321D">
        <w:rPr>
          <w:rStyle w:val="normaltextrun"/>
          <w:rFonts w:cstheme="minorHAnsi"/>
          <w:color w:val="000000"/>
          <w:shd w:val="clear" w:color="auto" w:fill="FFFFFF"/>
        </w:rPr>
        <w:t>Commission</w:t>
      </w:r>
      <w:r w:rsidR="005A426F" w:rsidRPr="0043321D">
        <w:rPr>
          <w:rStyle w:val="normaltextrun"/>
          <w:rFonts w:cstheme="minorHAnsi"/>
          <w:color w:val="000000"/>
          <w:shd w:val="clear" w:color="auto" w:fill="FFFFFF"/>
        </w:rPr>
        <w:t xml:space="preserve"> Own Motion Inquiry</w:t>
      </w:r>
      <w:r w:rsidR="00791110" w:rsidRPr="0043321D">
        <w:rPr>
          <w:rStyle w:val="normaltextrun"/>
          <w:rFonts w:cstheme="minorHAnsi"/>
          <w:color w:val="000000"/>
          <w:shd w:val="clear" w:color="auto" w:fill="FFFFFF"/>
        </w:rPr>
        <w:t xml:space="preserve"> </w:t>
      </w:r>
      <w:r w:rsidR="005A426F" w:rsidRPr="0043321D">
        <w:rPr>
          <w:rStyle w:val="normaltextrun"/>
          <w:rFonts w:cstheme="minorHAnsi"/>
          <w:color w:val="000000"/>
          <w:shd w:val="clear" w:color="auto" w:fill="FFFFFF"/>
        </w:rPr>
        <w:t xml:space="preserve">into Platform </w:t>
      </w:r>
      <w:r w:rsidR="00791110" w:rsidRPr="0043321D">
        <w:rPr>
          <w:rStyle w:val="normaltextrun"/>
          <w:rFonts w:cstheme="minorHAnsi"/>
          <w:color w:val="000000"/>
          <w:shd w:val="clear" w:color="auto" w:fill="FFFFFF"/>
        </w:rPr>
        <w:t>P</w:t>
      </w:r>
      <w:r w:rsidR="005A426F" w:rsidRPr="0043321D">
        <w:rPr>
          <w:rStyle w:val="normaltextrun"/>
          <w:rFonts w:cstheme="minorHAnsi"/>
          <w:color w:val="000000"/>
          <w:shd w:val="clear" w:color="auto" w:fill="FFFFFF"/>
        </w:rPr>
        <w:t>roviders</w:t>
      </w:r>
      <w:r w:rsidR="00791110" w:rsidRPr="0043321D">
        <w:rPr>
          <w:rStyle w:val="normaltextrun"/>
          <w:rFonts w:cstheme="minorHAnsi"/>
          <w:color w:val="000000"/>
          <w:shd w:val="clear" w:color="auto" w:fill="FFFFFF"/>
        </w:rPr>
        <w:t xml:space="preserve"> 2023</w:t>
      </w:r>
      <w:r w:rsidR="005A426F" w:rsidRPr="00FF77B1">
        <w:rPr>
          <w:rStyle w:val="normaltextrun"/>
          <w:rFonts w:cstheme="minorHAnsi"/>
          <w:color w:val="000000" w:themeColor="text1"/>
          <w:shd w:val="clear" w:color="auto" w:fill="FFFFFF"/>
        </w:rPr>
        <w:t xml:space="preserve">; </w:t>
      </w:r>
      <w:r w:rsidR="0048795F" w:rsidRPr="0039417E">
        <w:rPr>
          <w:rStyle w:val="normaltextrun"/>
          <w:rFonts w:cstheme="minorHAnsi"/>
          <w:color w:val="000000" w:themeColor="text1"/>
          <w:shd w:val="clear" w:color="auto" w:fill="FFFFFF"/>
        </w:rPr>
        <w:t>Own Motion Inquiry into Platform Providers in the NDIS Market | NDIS Quality and Safeguards Commission (ndiscommission.gov.au)</w:t>
      </w:r>
      <w:r w:rsidR="005F204E">
        <w:rPr>
          <w:rStyle w:val="normaltextrun"/>
          <w:rFonts w:cstheme="minorHAnsi"/>
          <w:color w:val="000000" w:themeColor="text1"/>
          <w:shd w:val="clear" w:color="auto" w:fill="FFFFFF"/>
        </w:rPr>
        <w:t>, p.21</w:t>
      </w:r>
    </w:p>
  </w:footnote>
  <w:footnote w:id="105">
    <w:p w14:paraId="1EFDA496" w14:textId="1FEE5C59" w:rsidR="007764F6" w:rsidRPr="0043321D" w:rsidRDefault="007764F6">
      <w:pPr>
        <w:pStyle w:val="FootnoteText"/>
        <w:rPr>
          <w:rFonts w:cstheme="minorHAnsi"/>
        </w:rPr>
      </w:pPr>
      <w:r w:rsidRPr="0043321D">
        <w:rPr>
          <w:rStyle w:val="FootnoteReference"/>
          <w:rFonts w:cstheme="minorHAnsi"/>
        </w:rPr>
        <w:footnoteRef/>
      </w:r>
      <w:r w:rsidRPr="0043321D">
        <w:rPr>
          <w:rFonts w:cstheme="minorHAnsi"/>
        </w:rPr>
        <w:t xml:space="preserve"> </w:t>
      </w:r>
      <w:r w:rsidR="00CA1EC0" w:rsidRPr="0043321D">
        <w:rPr>
          <w:rStyle w:val="normaltextrun"/>
          <w:rFonts w:cstheme="minorHAnsi"/>
          <w:color w:val="000000"/>
          <w:shd w:val="clear" w:color="auto" w:fill="FFFFFF"/>
        </w:rPr>
        <w:t xml:space="preserve">NDIS Commission Own Motion Inquiry into Platform Providers 2023; </w:t>
      </w:r>
      <w:r w:rsidR="0048795F" w:rsidRPr="0039417E">
        <w:rPr>
          <w:rStyle w:val="normaltextrun"/>
          <w:rFonts w:cstheme="minorHAnsi"/>
          <w:color w:val="000000" w:themeColor="text1"/>
          <w:shd w:val="clear" w:color="auto" w:fill="FFFFFF"/>
        </w:rPr>
        <w:t>Own Motion Inquiry into Platform Providers in the NDIS Market | NDIS Quality and Safeguards Commission (ndiscommission.gov.au)</w:t>
      </w:r>
      <w:r w:rsidR="000B6D3C" w:rsidRPr="0039417E">
        <w:rPr>
          <w:rFonts w:cstheme="minorHAnsi"/>
          <w:color w:val="000000" w:themeColor="text1"/>
        </w:rPr>
        <w:t xml:space="preserve">, </w:t>
      </w:r>
      <w:r w:rsidR="000B6D3C" w:rsidRPr="0043321D">
        <w:rPr>
          <w:rFonts w:cstheme="minorHAnsi"/>
        </w:rPr>
        <w:t>p.</w:t>
      </w:r>
      <w:r w:rsidR="00106083" w:rsidRPr="0043321D">
        <w:rPr>
          <w:rFonts w:cstheme="minorHAnsi"/>
        </w:rPr>
        <w:t>21</w:t>
      </w:r>
    </w:p>
  </w:footnote>
  <w:footnote w:id="106">
    <w:p w14:paraId="6C890EA5" w14:textId="4E38C842" w:rsidR="001D5880" w:rsidRPr="0043321D" w:rsidRDefault="001D5880">
      <w:pPr>
        <w:pStyle w:val="FootnoteText"/>
        <w:rPr>
          <w:rFonts w:cstheme="minorHAnsi"/>
        </w:rPr>
      </w:pPr>
      <w:r w:rsidRPr="0043321D">
        <w:rPr>
          <w:rStyle w:val="FootnoteReference"/>
          <w:rFonts w:cstheme="minorHAnsi"/>
        </w:rPr>
        <w:footnoteRef/>
      </w:r>
      <w:r w:rsidRPr="0043321D">
        <w:rPr>
          <w:rFonts w:cstheme="minorHAnsi"/>
        </w:rPr>
        <w:t xml:space="preserve"> </w:t>
      </w:r>
      <w:r w:rsidR="00C47961" w:rsidRPr="0043321D">
        <w:rPr>
          <w:rStyle w:val="normaltextrun"/>
          <w:rFonts w:cstheme="minorHAnsi"/>
          <w:color w:val="000000"/>
          <w:shd w:val="clear" w:color="auto" w:fill="FFFFFF"/>
        </w:rPr>
        <w:t xml:space="preserve">NDIS Commission Own Motion Inquiry into Platform Providers 2023; </w:t>
      </w:r>
      <w:r w:rsidR="0048795F" w:rsidRPr="0039417E">
        <w:rPr>
          <w:rStyle w:val="normaltextrun"/>
          <w:rFonts w:cstheme="minorHAnsi"/>
          <w:color w:val="000000" w:themeColor="text1"/>
          <w:shd w:val="clear" w:color="auto" w:fill="FFFFFF"/>
        </w:rPr>
        <w:t>Own Motion Inquiry into Platform Providers in the NDIS Market | NDIS Quality and Safeguards Commission (n</w:t>
      </w:r>
      <w:r w:rsidR="008F7D69">
        <w:rPr>
          <w:rStyle w:val="normaltextrun"/>
          <w:rFonts w:cstheme="minorHAnsi"/>
          <w:color w:val="000000" w:themeColor="text1"/>
          <w:shd w:val="clear" w:color="auto" w:fill="FFFFFF"/>
        </w:rPr>
        <w:t>d</w:t>
      </w:r>
      <w:r w:rsidR="0048795F" w:rsidRPr="0039417E">
        <w:rPr>
          <w:rStyle w:val="normaltextrun"/>
          <w:rFonts w:cstheme="minorHAnsi"/>
          <w:color w:val="000000" w:themeColor="text1"/>
          <w:shd w:val="clear" w:color="auto" w:fill="FFFFFF"/>
        </w:rPr>
        <w:t>iscommission.gov.au)</w:t>
      </w:r>
      <w:r w:rsidR="00C47961" w:rsidRPr="0039417E">
        <w:rPr>
          <w:rFonts w:cstheme="minorHAnsi"/>
          <w:color w:val="000000" w:themeColor="text1"/>
        </w:rPr>
        <w:t xml:space="preserve">, </w:t>
      </w:r>
      <w:r w:rsidR="00C47961" w:rsidRPr="0043321D">
        <w:rPr>
          <w:rFonts w:cstheme="minorHAnsi"/>
        </w:rPr>
        <w:t>p.</w:t>
      </w:r>
      <w:r w:rsidR="008F7D69">
        <w:rPr>
          <w:rFonts w:cstheme="minorHAnsi"/>
        </w:rPr>
        <w:t>25</w:t>
      </w:r>
    </w:p>
  </w:footnote>
  <w:footnote w:id="107">
    <w:p w14:paraId="60D59BF7" w14:textId="788ACDBB" w:rsidR="00BB1B69" w:rsidRPr="0043321D" w:rsidRDefault="00BB1B69" w:rsidP="00BB1B69">
      <w:pPr>
        <w:pStyle w:val="FootnoteText"/>
        <w:rPr>
          <w:rFonts w:cstheme="minorHAnsi"/>
        </w:rPr>
      </w:pPr>
      <w:r w:rsidRPr="0043321D">
        <w:rPr>
          <w:rStyle w:val="FootnoteReference"/>
          <w:rFonts w:cstheme="minorHAnsi"/>
        </w:rPr>
        <w:footnoteRef/>
      </w:r>
      <w:r w:rsidRPr="0043321D">
        <w:rPr>
          <w:rFonts w:cstheme="minorHAnsi"/>
        </w:rPr>
        <w:t xml:space="preserve"> A list of registered providers is available at the NDIS Commission website: </w:t>
      </w:r>
      <w:hyperlink r:id="rId20" w:history="1">
        <w:r w:rsidRPr="0043321D">
          <w:rPr>
            <w:rStyle w:val="Hyperlink"/>
            <w:rFonts w:asciiTheme="minorHAnsi" w:hAnsiTheme="minorHAnsi" w:cstheme="minorHAnsi"/>
          </w:rPr>
          <w:t>List of registered providers | NDIS Quality and Safeguards Commission (ndiscommission.gov.au)</w:t>
        </w:r>
      </w:hyperlink>
      <w:r w:rsidRPr="0043321D">
        <w:rPr>
          <w:rFonts w:cstheme="minorHAnsi"/>
        </w:rPr>
        <w:t xml:space="preserve">. The two platforms referenced are HireUp </w:t>
      </w:r>
      <w:hyperlink r:id="rId21" w:history="1">
        <w:r w:rsidRPr="0043321D">
          <w:rPr>
            <w:rStyle w:val="Hyperlink"/>
            <w:rFonts w:asciiTheme="minorHAnsi" w:hAnsiTheme="minorHAnsi" w:cstheme="minorHAnsi"/>
          </w:rPr>
          <w:t>NDIS Registered Disability Support Provider | Hireup | Hireup</w:t>
        </w:r>
      </w:hyperlink>
      <w:r w:rsidRPr="0043321D">
        <w:rPr>
          <w:rFonts w:cstheme="minorHAnsi"/>
        </w:rPr>
        <w:t xml:space="preserve">, and five.good.friends; </w:t>
      </w:r>
      <w:hyperlink r:id="rId22" w:history="1">
        <w:r w:rsidRPr="0043321D">
          <w:rPr>
            <w:rStyle w:val="Hyperlink"/>
            <w:rFonts w:asciiTheme="minorHAnsi" w:hAnsiTheme="minorHAnsi" w:cstheme="minorHAnsi"/>
          </w:rPr>
          <w:t>NDIS Supports (fivegoodfriends.com.au)</w:t>
        </w:r>
      </w:hyperlink>
    </w:p>
  </w:footnote>
  <w:footnote w:id="108">
    <w:p w14:paraId="7DCD2F30" w14:textId="0D3B4C7A" w:rsidR="00BB1B69" w:rsidRPr="007D1493" w:rsidRDefault="00BB1B69" w:rsidP="00BB1B69">
      <w:pPr>
        <w:pStyle w:val="FootnoteText"/>
      </w:pPr>
      <w:r w:rsidRPr="0043321D">
        <w:rPr>
          <w:rStyle w:val="FootnoteReference"/>
          <w:rFonts w:cstheme="minorHAnsi"/>
        </w:rPr>
        <w:footnoteRef/>
      </w:r>
      <w:r w:rsidRPr="0043321D">
        <w:rPr>
          <w:rFonts w:cstheme="minorHAnsi"/>
        </w:rPr>
        <w:t xml:space="preserve"> </w:t>
      </w:r>
      <w:r w:rsidR="42D7CAC3" w:rsidRPr="0043321D">
        <w:rPr>
          <w:rFonts w:cstheme="minorHAnsi"/>
        </w:rPr>
        <w:t xml:space="preserve">See for example </w:t>
      </w:r>
      <w:r w:rsidR="7D058D48" w:rsidRPr="0043321D">
        <w:rPr>
          <w:rFonts w:cstheme="minorHAnsi"/>
        </w:rPr>
        <w:t xml:space="preserve">Submission, </w:t>
      </w:r>
      <w:r w:rsidR="00C351DD" w:rsidRPr="0043321D">
        <w:rPr>
          <w:rFonts w:cstheme="minorHAnsi"/>
        </w:rPr>
        <w:t>Registered</w:t>
      </w:r>
      <w:r w:rsidR="7D058D48" w:rsidRPr="0043321D">
        <w:rPr>
          <w:rFonts w:cstheme="minorHAnsi"/>
        </w:rPr>
        <w:t xml:space="preserve"> Platform </w:t>
      </w:r>
      <w:r w:rsidR="39C677F3" w:rsidRPr="0043321D">
        <w:rPr>
          <w:rFonts w:cstheme="minorHAnsi"/>
        </w:rPr>
        <w:t xml:space="preserve">Provider, </w:t>
      </w:r>
      <w:r w:rsidR="2DD0F6E1" w:rsidRPr="0043321D">
        <w:rPr>
          <w:rFonts w:cstheme="minorHAnsi"/>
        </w:rPr>
        <w:t>Submission</w:t>
      </w:r>
      <w:r w:rsidR="00796BEE" w:rsidRPr="0043321D">
        <w:rPr>
          <w:rFonts w:cstheme="minorHAnsi"/>
        </w:rPr>
        <w:t xml:space="preserve">, Unregistered </w:t>
      </w:r>
      <w:r w:rsidR="2DD0F6E1" w:rsidRPr="0043321D">
        <w:rPr>
          <w:rFonts w:cstheme="minorHAnsi"/>
        </w:rPr>
        <w:t>Platform Provider</w:t>
      </w:r>
    </w:p>
  </w:footnote>
  <w:footnote w:id="109">
    <w:p w14:paraId="4462CFC1" w14:textId="09496E0A" w:rsidR="00BB1B69" w:rsidRPr="007D1493" w:rsidRDefault="00BB1B69" w:rsidP="00BB1B69">
      <w:pPr>
        <w:pStyle w:val="FootnoteText"/>
      </w:pPr>
      <w:r>
        <w:rPr>
          <w:rStyle w:val="FootnoteReference"/>
        </w:rPr>
        <w:footnoteRef/>
      </w:r>
      <w:r w:rsidR="0561F979">
        <w:t xml:space="preserve"> Submission, Unregistered </w:t>
      </w:r>
      <w:r w:rsidR="7E05F994">
        <w:t xml:space="preserve">Platform </w:t>
      </w:r>
      <w:r w:rsidR="00796BEE">
        <w:t>Provider</w:t>
      </w:r>
    </w:p>
  </w:footnote>
  <w:footnote w:id="110">
    <w:p w14:paraId="16A2D69E" w14:textId="5E23D244" w:rsidR="112CE13D" w:rsidRDefault="112CE13D" w:rsidP="005B2CBD">
      <w:pPr>
        <w:pStyle w:val="FootnoteText"/>
      </w:pPr>
      <w:r w:rsidRPr="112CE13D">
        <w:rPr>
          <w:rStyle w:val="FootnoteReference"/>
        </w:rPr>
        <w:footnoteRef/>
      </w:r>
      <w:r>
        <w:t xml:space="preserve"> Submission, NDIS Participant</w:t>
      </w:r>
    </w:p>
  </w:footnote>
  <w:footnote w:id="111">
    <w:p w14:paraId="03641F48" w14:textId="1EF5D57F" w:rsidR="00BB1B69" w:rsidRPr="00F3224F" w:rsidRDefault="00BB1B69" w:rsidP="00BB1B69">
      <w:pPr>
        <w:pStyle w:val="FootnoteText"/>
        <w:rPr>
          <w:rFonts w:cstheme="minorHAnsi"/>
        </w:rPr>
      </w:pPr>
      <w:r w:rsidRPr="00F3224F">
        <w:rPr>
          <w:rStyle w:val="FootnoteReference"/>
          <w:rFonts w:cstheme="minorHAnsi"/>
        </w:rPr>
        <w:footnoteRef/>
      </w:r>
      <w:r w:rsidRPr="00F3224F">
        <w:rPr>
          <w:rFonts w:cstheme="minorHAnsi"/>
        </w:rPr>
        <w:t xml:space="preserve"> </w:t>
      </w:r>
      <w:r w:rsidR="00B75781" w:rsidRPr="00F3224F">
        <w:rPr>
          <w:rFonts w:cstheme="minorHAnsi"/>
        </w:rPr>
        <w:t xml:space="preserve">Disability Royal Commission, </w:t>
      </w:r>
      <w:r w:rsidR="00BB01B7" w:rsidRPr="00F3224F">
        <w:rPr>
          <w:rFonts w:cstheme="minorHAnsi"/>
        </w:rPr>
        <w:t xml:space="preserve">Final Report – Volume 7 </w:t>
      </w:r>
      <w:r w:rsidR="007F46EB" w:rsidRPr="00F3224F">
        <w:rPr>
          <w:rFonts w:cstheme="minorHAnsi"/>
        </w:rPr>
        <w:t xml:space="preserve">Inclusive education, employment and housing Part C </w:t>
      </w:r>
      <w:r w:rsidR="003853AC" w:rsidRPr="00F3224F">
        <w:rPr>
          <w:rFonts w:cstheme="minorHAnsi"/>
        </w:rPr>
        <w:t>–</w:t>
      </w:r>
      <w:r w:rsidR="007F46EB" w:rsidRPr="00F3224F">
        <w:rPr>
          <w:rFonts w:cstheme="minorHAnsi"/>
        </w:rPr>
        <w:t xml:space="preserve"> </w:t>
      </w:r>
      <w:r w:rsidR="003853AC" w:rsidRPr="00F3224F">
        <w:rPr>
          <w:rFonts w:cstheme="minorHAnsi"/>
        </w:rPr>
        <w:t>p</w:t>
      </w:r>
      <w:r w:rsidR="000434C0" w:rsidRPr="00F3224F">
        <w:rPr>
          <w:rFonts w:cstheme="minorHAnsi"/>
        </w:rPr>
        <w:t>.</w:t>
      </w:r>
      <w:r w:rsidR="007F46EB" w:rsidRPr="00F3224F">
        <w:rPr>
          <w:rFonts w:cstheme="minorHAnsi"/>
        </w:rPr>
        <w:t>633</w:t>
      </w:r>
    </w:p>
  </w:footnote>
  <w:footnote w:id="112">
    <w:p w14:paraId="6DC4B2DB" w14:textId="73577839" w:rsidR="008A234E" w:rsidRPr="00F3224F" w:rsidRDefault="008A234E">
      <w:pPr>
        <w:pStyle w:val="FootnoteText"/>
        <w:rPr>
          <w:rFonts w:cstheme="minorHAnsi"/>
        </w:rPr>
      </w:pPr>
      <w:r w:rsidRPr="00F3224F">
        <w:rPr>
          <w:rStyle w:val="FootnoteReference"/>
          <w:rFonts w:cstheme="minorHAnsi"/>
        </w:rPr>
        <w:footnoteRef/>
      </w:r>
      <w:r w:rsidRPr="00F3224F">
        <w:rPr>
          <w:rFonts w:cstheme="minorHAnsi"/>
        </w:rPr>
        <w:t xml:space="preserve"> </w:t>
      </w:r>
      <w:r w:rsidR="00276039" w:rsidRPr="00F3224F">
        <w:rPr>
          <w:rFonts w:cstheme="minorHAnsi"/>
        </w:rPr>
        <w:t xml:space="preserve">Disability Royal Commission, </w:t>
      </w:r>
      <w:r w:rsidR="009F0433" w:rsidRPr="000937E7">
        <w:t>Final Report - Volume 7, Inclusive education, employment and housing - summary and recommendations (royalcommission.gov.au)</w:t>
      </w:r>
      <w:r w:rsidR="00276039" w:rsidRPr="00F3224F">
        <w:rPr>
          <w:rFonts w:cstheme="minorHAnsi"/>
        </w:rPr>
        <w:t xml:space="preserve">  p.18)</w:t>
      </w:r>
    </w:p>
  </w:footnote>
  <w:footnote w:id="113">
    <w:p w14:paraId="4B9FAFCD" w14:textId="7FFB1A8E" w:rsidR="008E367E" w:rsidRPr="00F3224F" w:rsidRDefault="008E367E">
      <w:pPr>
        <w:pStyle w:val="FootnoteText"/>
        <w:rPr>
          <w:rFonts w:cstheme="minorHAnsi"/>
        </w:rPr>
      </w:pPr>
      <w:r w:rsidRPr="00F3224F">
        <w:rPr>
          <w:rStyle w:val="FootnoteReference"/>
          <w:rFonts w:cstheme="minorHAnsi"/>
        </w:rPr>
        <w:footnoteRef/>
      </w:r>
      <w:r w:rsidRPr="00F3224F">
        <w:rPr>
          <w:rFonts w:cstheme="minorHAnsi"/>
        </w:rPr>
        <w:t xml:space="preserve"> Disability Royal Commission, </w:t>
      </w:r>
      <w:r w:rsidR="009F0433" w:rsidRPr="000937E7">
        <w:t>Final Report - Volume 7, Inclusive education, employment and housing - summary and recommendations (royalcommission.gov.au)</w:t>
      </w:r>
      <w:r w:rsidRPr="00F3224F">
        <w:rPr>
          <w:rFonts w:cstheme="minorHAnsi"/>
        </w:rPr>
        <w:t xml:space="preserve">  p.</w:t>
      </w:r>
      <w:r w:rsidR="00F25F6A" w:rsidRPr="00F3224F">
        <w:rPr>
          <w:rFonts w:cstheme="minorHAnsi"/>
        </w:rPr>
        <w:t>15</w:t>
      </w:r>
      <w:r w:rsidRPr="00F3224F">
        <w:rPr>
          <w:rFonts w:cstheme="minorHAnsi"/>
        </w:rPr>
        <w:t>)</w:t>
      </w:r>
    </w:p>
  </w:footnote>
  <w:footnote w:id="114">
    <w:p w14:paraId="3DAB6B35" w14:textId="45868A66" w:rsidR="00BF3BD2" w:rsidRPr="00F3224F" w:rsidRDefault="00BF3BD2">
      <w:pPr>
        <w:pStyle w:val="FootnoteText"/>
        <w:rPr>
          <w:rFonts w:cstheme="minorHAnsi"/>
        </w:rPr>
      </w:pPr>
      <w:r w:rsidRPr="00F3224F">
        <w:rPr>
          <w:rStyle w:val="FootnoteReference"/>
          <w:rFonts w:cstheme="minorHAnsi"/>
        </w:rPr>
        <w:footnoteRef/>
      </w:r>
      <w:r w:rsidRPr="00F3224F">
        <w:rPr>
          <w:rFonts w:cstheme="minorHAnsi"/>
        </w:rPr>
        <w:t xml:space="preserve"> </w:t>
      </w:r>
      <w:r w:rsidR="00842978" w:rsidRPr="00F3224F">
        <w:rPr>
          <w:rFonts w:cstheme="minorHAnsi"/>
        </w:rPr>
        <w:t xml:space="preserve">Disability Royal Commission, </w:t>
      </w:r>
      <w:r w:rsidR="009F0433" w:rsidRPr="000937E7">
        <w:t>Final Report - Volume 7, Inclusive education, employment and housing - summary and recommendations (royalcommission.gov.au)</w:t>
      </w:r>
      <w:r w:rsidR="00842978" w:rsidRPr="00F3224F">
        <w:rPr>
          <w:rFonts w:cstheme="minorHAnsi"/>
        </w:rPr>
        <w:t xml:space="preserve">  p</w:t>
      </w:r>
      <w:r w:rsidR="009F0433">
        <w:rPr>
          <w:rFonts w:cstheme="minorHAnsi"/>
        </w:rPr>
        <w:t>p</w:t>
      </w:r>
      <w:r w:rsidR="00842978" w:rsidRPr="00F3224F">
        <w:rPr>
          <w:rFonts w:cstheme="minorHAnsi"/>
        </w:rPr>
        <w:t>.1</w:t>
      </w:r>
      <w:r w:rsidR="00AD1475" w:rsidRPr="00F3224F">
        <w:rPr>
          <w:rFonts w:cstheme="minorHAnsi"/>
        </w:rPr>
        <w:t>8-19</w:t>
      </w:r>
      <w:r w:rsidR="00842978" w:rsidRPr="00F3224F">
        <w:rPr>
          <w:rFonts w:cstheme="minorHAnsi"/>
        </w:rPr>
        <w:t xml:space="preserve">) </w:t>
      </w:r>
      <w:r w:rsidR="00101536" w:rsidRPr="00F3224F">
        <w:rPr>
          <w:rFonts w:cstheme="minorHAnsi"/>
        </w:rPr>
        <w:t xml:space="preserve">The DRC </w:t>
      </w:r>
      <w:r w:rsidR="00EB7A6D" w:rsidRPr="00F3224F">
        <w:rPr>
          <w:rFonts w:cstheme="minorHAnsi"/>
        </w:rPr>
        <w:t xml:space="preserve">also </w:t>
      </w:r>
      <w:r w:rsidR="00101536" w:rsidRPr="00F3224F">
        <w:rPr>
          <w:rFonts w:cstheme="minorHAnsi"/>
        </w:rPr>
        <w:t xml:space="preserve">noted that </w:t>
      </w:r>
      <w:r w:rsidR="00B04B28" w:rsidRPr="00F3224F">
        <w:rPr>
          <w:rFonts w:cstheme="minorHAnsi"/>
        </w:rPr>
        <w:t xml:space="preserve">the </w:t>
      </w:r>
      <w:r w:rsidR="00101536" w:rsidRPr="00F3224F">
        <w:rPr>
          <w:rFonts w:cstheme="minorHAnsi"/>
        </w:rPr>
        <w:t>estimated</w:t>
      </w:r>
      <w:r w:rsidR="00EB7A6D" w:rsidRPr="00F3224F">
        <w:rPr>
          <w:rFonts w:cstheme="minorHAnsi"/>
        </w:rPr>
        <w:t xml:space="preserve"> SDA</w:t>
      </w:r>
      <w:r w:rsidR="00101536" w:rsidRPr="00F3224F">
        <w:rPr>
          <w:rFonts w:cstheme="minorHAnsi"/>
        </w:rPr>
        <w:t xml:space="preserve"> figure represents an undercount of the total number of group home residents.</w:t>
      </w:r>
    </w:p>
  </w:footnote>
  <w:footnote w:id="115">
    <w:p w14:paraId="48EE08BF" w14:textId="1E0C4978" w:rsidR="00384ABB" w:rsidRPr="00F3224F" w:rsidRDefault="00384ABB">
      <w:pPr>
        <w:pStyle w:val="FootnoteText"/>
        <w:rPr>
          <w:rFonts w:cstheme="minorHAnsi"/>
        </w:rPr>
      </w:pPr>
      <w:r w:rsidRPr="00F3224F">
        <w:rPr>
          <w:rStyle w:val="FootnoteReference"/>
          <w:rFonts w:cstheme="minorHAnsi"/>
        </w:rPr>
        <w:footnoteRef/>
      </w:r>
      <w:r w:rsidRPr="00F3224F">
        <w:rPr>
          <w:rFonts w:cstheme="minorHAnsi"/>
        </w:rPr>
        <w:t xml:space="preserve"> Disability Royal Commission, </w:t>
      </w:r>
      <w:r w:rsidR="009F0433" w:rsidRPr="000937E7">
        <w:t>Final Report - Volume 7, Inclusive education, employment and housing - summary and recommendations (royalcommission.gov.au)</w:t>
      </w:r>
      <w:r w:rsidRPr="00F3224F">
        <w:rPr>
          <w:rFonts w:cstheme="minorHAnsi"/>
        </w:rPr>
        <w:t xml:space="preserve"> </w:t>
      </w:r>
      <w:r w:rsidR="009F0433">
        <w:rPr>
          <w:rFonts w:cstheme="minorHAnsi"/>
        </w:rPr>
        <w:t>p.</w:t>
      </w:r>
      <w:r w:rsidR="007D6641" w:rsidRPr="00F3224F">
        <w:rPr>
          <w:rFonts w:cstheme="minorHAnsi"/>
        </w:rPr>
        <w:t>616.</w:t>
      </w:r>
    </w:p>
  </w:footnote>
  <w:footnote w:id="116">
    <w:p w14:paraId="2F8025FC" w14:textId="586B4514" w:rsidR="005A650C" w:rsidRDefault="005A650C" w:rsidP="005A650C">
      <w:pPr>
        <w:pStyle w:val="FootnoteText"/>
      </w:pPr>
      <w:r w:rsidRPr="00F3224F">
        <w:rPr>
          <w:rStyle w:val="FootnoteReference"/>
          <w:rFonts w:cstheme="minorHAnsi"/>
        </w:rPr>
        <w:footnoteRef/>
      </w:r>
      <w:r w:rsidRPr="00F3224F">
        <w:rPr>
          <w:rFonts w:cstheme="minorHAnsi"/>
        </w:rPr>
        <w:t xml:space="preserve"> NDIS Commission, Own Motion Inquiry: Aspects of Supported Accommodation in the NDIS, </w:t>
      </w:r>
      <w:r w:rsidR="009F0433">
        <w:rPr>
          <w:rFonts w:cstheme="minorHAnsi"/>
        </w:rPr>
        <w:t>p.</w:t>
      </w:r>
      <w:r w:rsidRPr="00F3224F">
        <w:rPr>
          <w:rFonts w:cstheme="minorHAnsi"/>
        </w:rPr>
        <w:t>50.</w:t>
      </w:r>
    </w:p>
  </w:footnote>
  <w:footnote w:id="117">
    <w:p w14:paraId="4FD83105" w14:textId="6BD4C53F" w:rsidR="112CE13D" w:rsidRDefault="112CE13D" w:rsidP="112CE13D">
      <w:pPr>
        <w:pStyle w:val="FootnoteText"/>
      </w:pPr>
      <w:r w:rsidRPr="112CE13D">
        <w:rPr>
          <w:rStyle w:val="FootnoteReference"/>
        </w:rPr>
        <w:footnoteRef/>
      </w:r>
      <w:r>
        <w:t xml:space="preserve"> Submission</w:t>
      </w:r>
      <w:r w:rsidR="000434C0">
        <w:t xml:space="preserve">, Advocacy </w:t>
      </w:r>
      <w:r w:rsidR="008D5873">
        <w:t>Organisation</w:t>
      </w:r>
    </w:p>
  </w:footnote>
  <w:footnote w:id="118">
    <w:p w14:paraId="26392753" w14:textId="2FE22079" w:rsidR="00BB1B69" w:rsidRDefault="00BB1B69" w:rsidP="00BB1B69">
      <w:pPr>
        <w:pStyle w:val="FootnoteText"/>
      </w:pPr>
      <w:r w:rsidRPr="3C3224CE">
        <w:rPr>
          <w:rStyle w:val="FootnoteReference"/>
        </w:rPr>
        <w:footnoteRef/>
      </w:r>
      <w:r>
        <w:t xml:space="preserve"> </w:t>
      </w:r>
      <w:r w:rsidR="00F352CC">
        <w:t>Meeting notes</w:t>
      </w:r>
    </w:p>
  </w:footnote>
  <w:footnote w:id="119">
    <w:p w14:paraId="0D27BDFC" w14:textId="423D8534" w:rsidR="112CE13D" w:rsidRDefault="112CE13D" w:rsidP="005B2CBD">
      <w:pPr>
        <w:pStyle w:val="FootnoteText"/>
      </w:pPr>
      <w:r w:rsidRPr="112CE13D">
        <w:rPr>
          <w:rStyle w:val="FootnoteReference"/>
        </w:rPr>
        <w:footnoteRef/>
      </w:r>
      <w:r>
        <w:t xml:space="preserve"> Submission, </w:t>
      </w:r>
      <w:r w:rsidR="0038158D">
        <w:t>Unregistered Platform</w:t>
      </w:r>
    </w:p>
  </w:footnote>
  <w:footnote w:id="120">
    <w:p w14:paraId="1213A9D4" w14:textId="45EFBAE0" w:rsidR="005B09A2" w:rsidRDefault="005B09A2">
      <w:pPr>
        <w:pStyle w:val="FootnoteText"/>
      </w:pPr>
      <w:r>
        <w:rPr>
          <w:rStyle w:val="FootnoteReference"/>
        </w:rPr>
        <w:footnoteRef/>
      </w:r>
      <w:r>
        <w:t xml:space="preserve"> </w:t>
      </w:r>
      <w:r w:rsidR="00C01433">
        <w:t xml:space="preserve">NDIS Commission, Own Motion Inquiry: Aspects of Supported Accommodation in the NDIS, page </w:t>
      </w:r>
      <w:r w:rsidR="00D538A3">
        <w:t>30.</w:t>
      </w:r>
      <w:r w:rsidR="00450388">
        <w:t xml:space="preserve"> </w:t>
      </w:r>
      <w:r w:rsidR="00C80B56">
        <w:t>The d</w:t>
      </w:r>
      <w:r w:rsidR="00450388">
        <w:t xml:space="preserve">ata </w:t>
      </w:r>
      <w:r w:rsidR="00C80B56">
        <w:t>referenced on average NDIS plan f</w:t>
      </w:r>
      <w:r w:rsidR="00450388">
        <w:t xml:space="preserve">unding is based on plans as at </w:t>
      </w:r>
      <w:r w:rsidR="00C80B56">
        <w:t xml:space="preserve">30 </w:t>
      </w:r>
      <w:r w:rsidR="00450388">
        <w:t>June 2022.</w:t>
      </w:r>
    </w:p>
  </w:footnote>
  <w:footnote w:id="121">
    <w:p w14:paraId="4A1AA93D" w14:textId="36CFDC09" w:rsidR="112CE13D" w:rsidRDefault="112CE13D" w:rsidP="005B2CBD">
      <w:pPr>
        <w:pStyle w:val="FootnoteText"/>
      </w:pPr>
      <w:r w:rsidRPr="112CE13D">
        <w:rPr>
          <w:rStyle w:val="FootnoteReference"/>
        </w:rPr>
        <w:footnoteRef/>
      </w:r>
      <w:r>
        <w:t xml:space="preserve"> Submission, </w:t>
      </w:r>
      <w:r w:rsidR="00461CB3">
        <w:t>Advocacy Organisation</w:t>
      </w:r>
    </w:p>
  </w:footnote>
  <w:footnote w:id="122">
    <w:p w14:paraId="3A705552" w14:textId="777E4AFB" w:rsidR="00397DB3" w:rsidRDefault="00397DB3" w:rsidP="00397DB3">
      <w:pPr>
        <w:pStyle w:val="FootnoteText"/>
      </w:pPr>
      <w:r w:rsidRPr="3C3224CE">
        <w:rPr>
          <w:rStyle w:val="FootnoteReference"/>
        </w:rPr>
        <w:footnoteRef/>
      </w:r>
      <w:r w:rsidR="008003B5">
        <w:t xml:space="preserve"> Disability Royal Commission, Final Report</w:t>
      </w:r>
      <w:r w:rsidR="004D0650">
        <w:t xml:space="preserve"> -</w:t>
      </w:r>
      <w:r w:rsidR="008003B5">
        <w:t xml:space="preserve"> Volume 7 </w:t>
      </w:r>
      <w:r w:rsidR="008003B5" w:rsidRPr="007F46EB">
        <w:t>Inclusive education, employment and housing</w:t>
      </w:r>
      <w:r w:rsidR="008003B5">
        <w:t xml:space="preserve"> Part C</w:t>
      </w:r>
    </w:p>
  </w:footnote>
  <w:footnote w:id="123">
    <w:p w14:paraId="004DF7FE" w14:textId="1F8C9A34" w:rsidR="112CE13D" w:rsidRDefault="112CE13D" w:rsidP="005B2CBD">
      <w:pPr>
        <w:pStyle w:val="FootnoteText"/>
      </w:pPr>
      <w:r w:rsidRPr="112CE13D">
        <w:rPr>
          <w:rStyle w:val="FootnoteReference"/>
        </w:rPr>
        <w:footnoteRef/>
      </w:r>
      <w:r>
        <w:t xml:space="preserve"> Submission, NDIS Participant</w:t>
      </w:r>
    </w:p>
  </w:footnote>
  <w:footnote w:id="124">
    <w:p w14:paraId="79C8F845" w14:textId="29F37198" w:rsidR="00B90265" w:rsidRDefault="00B90265">
      <w:pPr>
        <w:pStyle w:val="FootnoteText"/>
      </w:pPr>
      <w:r>
        <w:rPr>
          <w:rStyle w:val="FootnoteReference"/>
        </w:rPr>
        <w:footnoteRef/>
      </w:r>
      <w:r>
        <w:t xml:space="preserve"> </w:t>
      </w:r>
      <w:r w:rsidR="00285FF4">
        <w:t>Disability Royal Commission, Final Report</w:t>
      </w:r>
      <w:r w:rsidR="004D0650">
        <w:t xml:space="preserve"> -</w:t>
      </w:r>
      <w:r w:rsidR="00285FF4">
        <w:t xml:space="preserve"> </w:t>
      </w:r>
      <w:r w:rsidR="00E046D1">
        <w:t>Volume 6 p</w:t>
      </w:r>
      <w:r w:rsidR="004D0650">
        <w:t>.</w:t>
      </w:r>
      <w:r w:rsidR="00E046D1">
        <w:t>263</w:t>
      </w:r>
    </w:p>
  </w:footnote>
  <w:footnote w:id="125">
    <w:p w14:paraId="42D92589" w14:textId="6BC7065A" w:rsidR="00E046D1" w:rsidRDefault="00E046D1">
      <w:pPr>
        <w:pStyle w:val="FootnoteText"/>
      </w:pPr>
      <w:r>
        <w:rPr>
          <w:rStyle w:val="FootnoteReference"/>
        </w:rPr>
        <w:footnoteRef/>
      </w:r>
      <w:r>
        <w:t xml:space="preserve"> </w:t>
      </w:r>
      <w:r w:rsidR="00285FF4">
        <w:t xml:space="preserve">Disability Royal Commission, Final Report </w:t>
      </w:r>
      <w:r w:rsidR="004D0650">
        <w:t xml:space="preserve">- </w:t>
      </w:r>
      <w:r w:rsidR="0000107F">
        <w:t xml:space="preserve">Volume 6 </w:t>
      </w:r>
      <w:r w:rsidR="004D0650">
        <w:t>p.</w:t>
      </w:r>
      <w:r w:rsidR="0000107F">
        <w:t>302</w:t>
      </w:r>
    </w:p>
  </w:footnote>
  <w:footnote w:id="126">
    <w:p w14:paraId="769D38D5" w14:textId="123E7538" w:rsidR="0000107F" w:rsidRDefault="0000107F">
      <w:pPr>
        <w:pStyle w:val="FootnoteText"/>
      </w:pPr>
      <w:r>
        <w:rPr>
          <w:rStyle w:val="FootnoteReference"/>
        </w:rPr>
        <w:footnoteRef/>
      </w:r>
      <w:r>
        <w:t xml:space="preserve"> </w:t>
      </w:r>
      <w:r w:rsidR="00285FF4">
        <w:t>Disability Royal Commission, Final Report</w:t>
      </w:r>
      <w:r w:rsidR="004D0650">
        <w:t xml:space="preserve"> -</w:t>
      </w:r>
      <w:r w:rsidR="00285FF4">
        <w:t xml:space="preserve"> </w:t>
      </w:r>
      <w:r w:rsidR="000D0F48">
        <w:t xml:space="preserve">Volume 6 </w:t>
      </w:r>
      <w:r w:rsidR="004D0650">
        <w:t>p.</w:t>
      </w:r>
      <w:r w:rsidR="000D0F48">
        <w:t>270</w:t>
      </w:r>
    </w:p>
  </w:footnote>
  <w:footnote w:id="127">
    <w:p w14:paraId="1FB60669" w14:textId="77777777" w:rsidR="00E23341" w:rsidRDefault="00E23341" w:rsidP="00E23341">
      <w:pPr>
        <w:pStyle w:val="FootnoteText"/>
      </w:pPr>
      <w:r w:rsidRPr="7992E81D">
        <w:rPr>
          <w:rStyle w:val="FootnoteReference"/>
        </w:rPr>
        <w:footnoteRef/>
      </w:r>
      <w:r>
        <w:t xml:space="preserve"> </w:t>
      </w:r>
      <w:r w:rsidRPr="00FD5BAF">
        <w:t>General comment No.5 on Article 19 - the right to live independently and be included in the community</w:t>
      </w:r>
      <w:r>
        <w:t xml:space="preserve">, p. 3/para 3. </w:t>
      </w:r>
      <w:hyperlink r:id="rId23" w:history="1">
        <w:r>
          <w:rPr>
            <w:rStyle w:val="Hyperlink"/>
          </w:rPr>
          <w:t>A/HRC/28/37</w:t>
        </w:r>
      </w:hyperlink>
    </w:p>
  </w:footnote>
  <w:footnote w:id="128">
    <w:p w14:paraId="2520A052" w14:textId="77777777" w:rsidR="00E23341" w:rsidRDefault="00E23341" w:rsidP="00E23341">
      <w:pPr>
        <w:pStyle w:val="FootnoteText"/>
      </w:pPr>
      <w:r w:rsidRPr="7992E81D">
        <w:rPr>
          <w:rStyle w:val="FootnoteReference"/>
        </w:rPr>
        <w:footnoteRef/>
      </w:r>
      <w:r>
        <w:t xml:space="preserve"> General Comment 5, p, 4/para 6.</w:t>
      </w:r>
    </w:p>
  </w:footnote>
  <w:footnote w:id="129">
    <w:p w14:paraId="6FB329C6" w14:textId="77777777" w:rsidR="00E23341" w:rsidRDefault="00E23341" w:rsidP="00E23341">
      <w:pPr>
        <w:pStyle w:val="FootnoteText"/>
      </w:pPr>
      <w:r w:rsidRPr="7992E81D">
        <w:rPr>
          <w:rStyle w:val="FootnoteReference"/>
        </w:rPr>
        <w:footnoteRef/>
      </w:r>
      <w:r>
        <w:t xml:space="preserve"> General Comment 5, p. 7/para 21.</w:t>
      </w:r>
    </w:p>
  </w:footnote>
  <w:footnote w:id="130">
    <w:p w14:paraId="475695C7" w14:textId="77777777" w:rsidR="00E23341" w:rsidRDefault="00E23341" w:rsidP="00E23341">
      <w:pPr>
        <w:pStyle w:val="FootnoteText"/>
      </w:pPr>
      <w:r w:rsidRPr="7992E81D">
        <w:rPr>
          <w:rStyle w:val="FootnoteReference"/>
        </w:rPr>
        <w:footnoteRef/>
      </w:r>
      <w:r>
        <w:t xml:space="preserve"> General Comment 5, p. 8/para 25.</w:t>
      </w:r>
    </w:p>
  </w:footnote>
  <w:footnote w:id="131">
    <w:p w14:paraId="5FBCCF14" w14:textId="77777777" w:rsidR="00E23341" w:rsidRDefault="00E23341" w:rsidP="00E23341">
      <w:pPr>
        <w:pStyle w:val="FootnoteText"/>
      </w:pPr>
      <w:r w:rsidRPr="7992E81D">
        <w:rPr>
          <w:rStyle w:val="FootnoteReference"/>
        </w:rPr>
        <w:footnoteRef/>
      </w:r>
      <w:r>
        <w:t xml:space="preserve"> General Comment 5, para 28. </w:t>
      </w:r>
    </w:p>
  </w:footnote>
  <w:footnote w:id="132">
    <w:p w14:paraId="69611FA9" w14:textId="77777777" w:rsidR="00E23341" w:rsidRDefault="00E23341" w:rsidP="00E23341">
      <w:pPr>
        <w:pStyle w:val="FootnoteText"/>
      </w:pPr>
      <w:r w:rsidRPr="7992E81D">
        <w:rPr>
          <w:rStyle w:val="FootnoteReference"/>
        </w:rPr>
        <w:footnoteRef/>
      </w:r>
      <w:r>
        <w:t xml:space="preserve"> General Comment 5, para 28. </w:t>
      </w:r>
    </w:p>
  </w:footnote>
  <w:footnote w:id="133">
    <w:p w14:paraId="4E0877BA" w14:textId="5D7820C1" w:rsidR="00E23341" w:rsidRPr="006E3369" w:rsidRDefault="00E23341" w:rsidP="00E23341">
      <w:pPr>
        <w:pStyle w:val="FootnoteText"/>
        <w:rPr>
          <w:rFonts w:cstheme="minorHAnsi"/>
        </w:rPr>
      </w:pPr>
      <w:r w:rsidRPr="006E3369">
        <w:rPr>
          <w:rStyle w:val="FootnoteReference"/>
          <w:rFonts w:cstheme="minorHAnsi"/>
        </w:rPr>
        <w:footnoteRef/>
      </w:r>
      <w:r w:rsidRPr="006E3369">
        <w:rPr>
          <w:rFonts w:cstheme="minorHAnsi"/>
        </w:rPr>
        <w:t xml:space="preserve"> General Comment 5, para 29. </w:t>
      </w:r>
    </w:p>
  </w:footnote>
  <w:footnote w:id="134">
    <w:p w14:paraId="5196550C" w14:textId="77777777" w:rsidR="00E23341" w:rsidRPr="006E3369" w:rsidRDefault="00E23341" w:rsidP="00E23341">
      <w:pPr>
        <w:pStyle w:val="FootnoteText"/>
        <w:rPr>
          <w:rFonts w:cstheme="minorHAnsi"/>
        </w:rPr>
      </w:pPr>
      <w:r w:rsidRPr="006E3369">
        <w:rPr>
          <w:rStyle w:val="FootnoteReference"/>
          <w:rFonts w:cstheme="minorHAnsi"/>
        </w:rPr>
        <w:footnoteRef/>
      </w:r>
      <w:r w:rsidRPr="006E3369">
        <w:rPr>
          <w:rFonts w:cstheme="minorHAnsi"/>
        </w:rPr>
        <w:t xml:space="preserve"> General Comment 5, para 30. </w:t>
      </w:r>
    </w:p>
  </w:footnote>
  <w:footnote w:id="135">
    <w:p w14:paraId="0F49A10D" w14:textId="77777777" w:rsidR="00E23341" w:rsidRPr="006E3369" w:rsidRDefault="00E23341" w:rsidP="00E23341">
      <w:pPr>
        <w:pStyle w:val="FootnoteText"/>
        <w:rPr>
          <w:rFonts w:cstheme="minorHAnsi"/>
        </w:rPr>
      </w:pPr>
      <w:r w:rsidRPr="006E3369">
        <w:rPr>
          <w:rStyle w:val="FootnoteReference"/>
          <w:rFonts w:cstheme="minorHAnsi"/>
        </w:rPr>
        <w:footnoteRef/>
      </w:r>
      <w:r w:rsidRPr="006E3369">
        <w:rPr>
          <w:rFonts w:cstheme="minorHAnsi"/>
        </w:rPr>
        <w:t xml:space="preserve"> General Comment 5, para 38. </w:t>
      </w:r>
    </w:p>
  </w:footnote>
  <w:footnote w:id="136">
    <w:p w14:paraId="16B43496" w14:textId="77777777" w:rsidR="00E23341" w:rsidRPr="006E3369" w:rsidRDefault="00E23341" w:rsidP="00E23341">
      <w:pPr>
        <w:pStyle w:val="FootnoteText"/>
        <w:rPr>
          <w:rFonts w:cstheme="minorHAnsi"/>
        </w:rPr>
      </w:pPr>
      <w:r w:rsidRPr="006E3369">
        <w:rPr>
          <w:rStyle w:val="FootnoteReference"/>
          <w:rFonts w:cstheme="minorHAnsi"/>
        </w:rPr>
        <w:footnoteRef/>
      </w:r>
      <w:r w:rsidRPr="006E3369">
        <w:rPr>
          <w:rFonts w:cstheme="minorHAnsi"/>
        </w:rPr>
        <w:t xml:space="preserve"> Applied Self-Direction: </w:t>
      </w:r>
      <w:hyperlink r:id="rId24">
        <w:r w:rsidRPr="006E3369">
          <w:rPr>
            <w:rStyle w:val="Hyperlink"/>
            <w:rFonts w:asciiTheme="minorHAnsi" w:hAnsiTheme="minorHAnsi" w:cstheme="minorHAnsi"/>
          </w:rPr>
          <w:t>https://appliedselfdirection.com/what-self-</w:t>
        </w:r>
        <w:r w:rsidRPr="006E3369">
          <w:rPr>
            <w:rStyle w:val="Footnotehyperlink"/>
          </w:rPr>
          <w:t>direction</w:t>
        </w:r>
      </w:hyperlink>
      <w:r w:rsidRPr="006E3369">
        <w:rPr>
          <w:rFonts w:cstheme="minorHAnsi"/>
        </w:rPr>
        <w:t xml:space="preserve"> </w:t>
      </w:r>
    </w:p>
  </w:footnote>
  <w:footnote w:id="137">
    <w:p w14:paraId="1A520F33" w14:textId="0B24A373" w:rsidR="00E23341" w:rsidRPr="006E3369" w:rsidRDefault="00E23341" w:rsidP="00E23341">
      <w:pPr>
        <w:pStyle w:val="FootnoteText"/>
        <w:rPr>
          <w:rFonts w:cstheme="minorHAnsi"/>
        </w:rPr>
      </w:pPr>
      <w:r w:rsidRPr="006E3369">
        <w:rPr>
          <w:rStyle w:val="FootnoteReference"/>
          <w:rFonts w:cstheme="minorHAnsi"/>
        </w:rPr>
        <w:footnoteRef/>
      </w:r>
      <w:r w:rsidRPr="006E3369">
        <w:rPr>
          <w:rFonts w:cstheme="minorHAnsi"/>
        </w:rPr>
        <w:t xml:space="preserve"> </w:t>
      </w:r>
      <w:r w:rsidR="009F19FC" w:rsidRPr="006E3369">
        <w:rPr>
          <w:rFonts w:cstheme="minorHAnsi"/>
        </w:rPr>
        <w:t xml:space="preserve">Applied Self-Direction: </w:t>
      </w:r>
      <w:r w:rsidRPr="006E3369">
        <w:rPr>
          <w:rStyle w:val="Footnotehyperlink"/>
        </w:rPr>
        <w:t>https://appliedselfdirection.com/what-self-direction</w:t>
      </w:r>
    </w:p>
  </w:footnote>
  <w:footnote w:id="138">
    <w:p w14:paraId="591DCD8D" w14:textId="77777777" w:rsidR="00E23341" w:rsidRPr="00804721" w:rsidRDefault="00E23341" w:rsidP="00E23341">
      <w:pPr>
        <w:pStyle w:val="FootnoteText"/>
      </w:pPr>
      <w:r w:rsidRPr="006E3369">
        <w:rPr>
          <w:rStyle w:val="FootnoteReference"/>
          <w:rFonts w:cstheme="minorHAnsi"/>
        </w:rPr>
        <w:footnoteRef/>
      </w:r>
      <w:r w:rsidRPr="006E3369">
        <w:rPr>
          <w:rFonts w:cstheme="minorHAnsi"/>
        </w:rPr>
        <w:t xml:space="preserve"> </w:t>
      </w:r>
      <w:hyperlink r:id="rId25" w:anchor=":~:text=States%20Parties%20to%20the%20present%20Convention%20recognize%20the,participation%20in%20the%20community%2C%20including%20by%20ensuring%20that%3A" w:history="1">
        <w:r w:rsidRPr="006E3369">
          <w:rPr>
            <w:rStyle w:val="Hyperlink"/>
            <w:rFonts w:asciiTheme="minorHAnsi" w:hAnsiTheme="minorHAnsi" w:cstheme="minorHAnsi"/>
          </w:rPr>
          <w:t>Article 19 – Living independently and being included in the community | United Nations Enable</w:t>
        </w:r>
      </w:hyperlink>
    </w:p>
  </w:footnote>
  <w:footnote w:id="139">
    <w:p w14:paraId="676372A3" w14:textId="2D1F08AC" w:rsidR="00E23341" w:rsidRDefault="00E23341" w:rsidP="00E23341">
      <w:pPr>
        <w:pStyle w:val="FootnoteText"/>
      </w:pPr>
      <w:r w:rsidRPr="7992E81D">
        <w:rPr>
          <w:rStyle w:val="FootnoteReference"/>
        </w:rPr>
        <w:footnoteRef/>
      </w:r>
      <w:r w:rsidR="6EB98A9E">
        <w:t xml:space="preserve"> Submission, </w:t>
      </w:r>
      <w:r w:rsidR="009F19FC">
        <w:t>Advocacy Organisation</w:t>
      </w:r>
    </w:p>
  </w:footnote>
  <w:footnote w:id="140">
    <w:p w14:paraId="6D31BDF0" w14:textId="14CDE400" w:rsidR="00E23341" w:rsidRDefault="00E23341" w:rsidP="00E23341">
      <w:pPr>
        <w:pStyle w:val="FootnoteText"/>
      </w:pPr>
      <w:r w:rsidRPr="28B4A178">
        <w:rPr>
          <w:rStyle w:val="FootnoteReference"/>
        </w:rPr>
        <w:footnoteRef/>
      </w:r>
      <w:r>
        <w:t xml:space="preserve"> Submission, Parent nominee</w:t>
      </w:r>
    </w:p>
  </w:footnote>
  <w:footnote w:id="141">
    <w:p w14:paraId="2850A184" w14:textId="532CD9C1" w:rsidR="00E23341" w:rsidRDefault="00E23341" w:rsidP="00E23341">
      <w:pPr>
        <w:pStyle w:val="FootnoteText"/>
      </w:pPr>
      <w:r w:rsidRPr="28B4A178">
        <w:rPr>
          <w:rStyle w:val="FootnoteReference"/>
        </w:rPr>
        <w:footnoteRef/>
      </w:r>
      <w:r>
        <w:t xml:space="preserve"> Submission, </w:t>
      </w:r>
      <w:r w:rsidR="009F19FC">
        <w:t>NDIS</w:t>
      </w:r>
      <w:r>
        <w:t xml:space="preserve"> Participant</w:t>
      </w:r>
    </w:p>
  </w:footnote>
  <w:footnote w:id="142">
    <w:p w14:paraId="184883C1" w14:textId="751A5302" w:rsidR="00E23341" w:rsidRDefault="00E23341" w:rsidP="00E23341">
      <w:pPr>
        <w:pStyle w:val="FootnoteText"/>
      </w:pPr>
      <w:r w:rsidRPr="28B4A178">
        <w:rPr>
          <w:rStyle w:val="FootnoteReference"/>
        </w:rPr>
        <w:footnoteRef/>
      </w:r>
      <w:r>
        <w:t xml:space="preserve"> Submission, </w:t>
      </w:r>
      <w:r w:rsidR="009F19FC">
        <w:t>Parent</w:t>
      </w:r>
    </w:p>
  </w:footnote>
  <w:footnote w:id="143">
    <w:p w14:paraId="30F33099" w14:textId="77777777" w:rsidR="00E23341" w:rsidRDefault="00E23341" w:rsidP="00E23341">
      <w:pPr>
        <w:pStyle w:val="FootnoteText"/>
      </w:pPr>
      <w:r w:rsidRPr="7992E81D">
        <w:rPr>
          <w:rStyle w:val="FootnoteReference"/>
        </w:rPr>
        <w:footnoteRef/>
      </w:r>
      <w:r>
        <w:t xml:space="preserve"> Applied Self-Direction lecture</w:t>
      </w:r>
    </w:p>
  </w:footnote>
  <w:footnote w:id="144">
    <w:p w14:paraId="7C9C1ADF" w14:textId="69DF6328" w:rsidR="00E23341" w:rsidRPr="00D427AB" w:rsidRDefault="00E23341" w:rsidP="00E23341">
      <w:pPr>
        <w:pStyle w:val="FootnoteText"/>
        <w:rPr>
          <w:rFonts w:cstheme="minorHAnsi"/>
        </w:rPr>
      </w:pPr>
      <w:r w:rsidRPr="00D427AB">
        <w:rPr>
          <w:rStyle w:val="FootnoteReference"/>
          <w:rFonts w:cstheme="minorHAnsi"/>
        </w:rPr>
        <w:footnoteRef/>
      </w:r>
      <w:r w:rsidRPr="00D427AB">
        <w:rPr>
          <w:rFonts w:cstheme="minorHAnsi"/>
        </w:rPr>
        <w:t xml:space="preserve"> Submission, Parent</w:t>
      </w:r>
    </w:p>
  </w:footnote>
  <w:footnote w:id="145">
    <w:p w14:paraId="73279C79" w14:textId="77777777" w:rsidR="003F68C9" w:rsidRPr="00C6484C" w:rsidRDefault="003F68C9" w:rsidP="003F68C9">
      <w:pPr>
        <w:pStyle w:val="FootnoteText"/>
        <w:rPr>
          <w:rFonts w:cstheme="minorHAnsi"/>
        </w:rPr>
      </w:pPr>
      <w:r w:rsidRPr="00C6484C">
        <w:rPr>
          <w:rStyle w:val="FootnoteReference"/>
          <w:rFonts w:cstheme="minorHAnsi"/>
        </w:rPr>
        <w:footnoteRef/>
      </w:r>
      <w:r w:rsidRPr="00C6484C">
        <w:rPr>
          <w:rFonts w:cstheme="minorHAnsi"/>
        </w:rPr>
        <w:t xml:space="preserve"> Applied Self-Direction lecture.</w:t>
      </w:r>
    </w:p>
  </w:footnote>
  <w:footnote w:id="146">
    <w:p w14:paraId="582F3467" w14:textId="5D6D2993" w:rsidR="00E23341" w:rsidRPr="00C6484C" w:rsidRDefault="00E23341" w:rsidP="00E23341">
      <w:pPr>
        <w:pStyle w:val="FootnoteText"/>
        <w:rPr>
          <w:rFonts w:cstheme="minorHAnsi"/>
        </w:rPr>
      </w:pPr>
      <w:r w:rsidRPr="00C6484C">
        <w:rPr>
          <w:rStyle w:val="FootnoteReference"/>
          <w:rFonts w:cstheme="minorHAnsi"/>
        </w:rPr>
        <w:footnoteRef/>
      </w:r>
      <w:r w:rsidRPr="00C6484C">
        <w:rPr>
          <w:rFonts w:cstheme="minorHAnsi"/>
        </w:rPr>
        <w:t xml:space="preserve"> Meeting notes, Parent</w:t>
      </w:r>
    </w:p>
  </w:footnote>
  <w:footnote w:id="147">
    <w:p w14:paraId="0A8FE42D" w14:textId="2166F7D5" w:rsidR="00E23341" w:rsidRPr="00C6484C" w:rsidRDefault="00E23341" w:rsidP="00E23341">
      <w:pPr>
        <w:pStyle w:val="FootnoteText"/>
        <w:rPr>
          <w:rFonts w:cstheme="minorHAnsi"/>
        </w:rPr>
      </w:pPr>
      <w:r w:rsidRPr="00C6484C">
        <w:rPr>
          <w:rStyle w:val="FootnoteReference"/>
          <w:rFonts w:cstheme="minorHAnsi"/>
        </w:rPr>
        <w:footnoteRef/>
      </w:r>
      <w:r w:rsidRPr="00C6484C">
        <w:rPr>
          <w:rFonts w:cstheme="minorHAnsi"/>
        </w:rPr>
        <w:t xml:space="preserve"> Submission, Parent</w:t>
      </w:r>
    </w:p>
  </w:footnote>
  <w:footnote w:id="148">
    <w:p w14:paraId="4D3150D6" w14:textId="0D858A13" w:rsidR="00E23341" w:rsidRPr="00C6484C" w:rsidRDefault="00E23341" w:rsidP="004D1EB3">
      <w:pPr>
        <w:pStyle w:val="paragraph"/>
        <w:spacing w:before="0" w:beforeAutospacing="0" w:after="0" w:afterAutospacing="0"/>
        <w:textAlignment w:val="baseline"/>
        <w:rPr>
          <w:rFonts w:asciiTheme="minorHAnsi" w:hAnsiTheme="minorHAnsi" w:cstheme="minorHAnsi"/>
          <w:sz w:val="20"/>
          <w:szCs w:val="20"/>
        </w:rPr>
      </w:pPr>
      <w:r w:rsidRPr="00C6484C">
        <w:rPr>
          <w:rStyle w:val="FootnoteReference"/>
          <w:rFonts w:asciiTheme="minorHAnsi" w:hAnsiTheme="minorHAnsi" w:cstheme="minorHAnsi"/>
          <w:sz w:val="20"/>
          <w:szCs w:val="20"/>
        </w:rPr>
        <w:footnoteRef/>
      </w:r>
      <w:r w:rsidRPr="00C6484C">
        <w:rPr>
          <w:rFonts w:asciiTheme="minorHAnsi" w:hAnsiTheme="minorHAnsi" w:cstheme="minorHAnsi"/>
          <w:sz w:val="20"/>
          <w:szCs w:val="20"/>
        </w:rPr>
        <w:t xml:space="preserve"> </w:t>
      </w:r>
      <w:r w:rsidRPr="00C6484C">
        <w:rPr>
          <w:rFonts w:asciiTheme="minorHAnsi" w:eastAsia="Calibri" w:hAnsiTheme="minorHAnsi" w:cstheme="minorHAnsi"/>
          <w:sz w:val="20"/>
          <w:szCs w:val="20"/>
          <w:lang w:eastAsia="en-US"/>
        </w:rPr>
        <w:t>Section 43(1) of the NDIS Act </w:t>
      </w:r>
      <w:hyperlink r:id="rId26" w:tgtFrame="_blank" w:history="1">
        <w:r w:rsidRPr="00C6484C">
          <w:rPr>
            <w:rFonts w:asciiTheme="minorHAnsi" w:eastAsia="Calibri" w:hAnsiTheme="minorHAnsi" w:cstheme="minorHAnsi"/>
            <w:sz w:val="20"/>
            <w:szCs w:val="20"/>
            <w:lang w:eastAsia="en-US"/>
          </w:rPr>
          <w:t>Federal Register of Legislation - National Disability Insurance Scheme Act 2013</w:t>
        </w:r>
      </w:hyperlink>
      <w:r w:rsidRPr="00C6484C">
        <w:rPr>
          <w:rFonts w:asciiTheme="minorHAnsi" w:eastAsia="Calibri" w:hAnsiTheme="minorHAnsi" w:cstheme="minorHAnsi"/>
          <w:sz w:val="20"/>
          <w:szCs w:val="20"/>
          <w:lang w:eastAsia="en-US"/>
        </w:rPr>
        <w:t>; See also NDIA Fact Sheet, managing your funding: </w:t>
      </w:r>
      <w:hyperlink r:id="rId27" w:tgtFrame="_blank" w:history="1">
        <w:r w:rsidRPr="00C6484C">
          <w:rPr>
            <w:rStyle w:val="Footnotehyperlink"/>
            <w:rFonts w:eastAsia="Calibri"/>
          </w:rPr>
          <w:t>https://www.ndis.gov.au/media/6403/download?attachment</w:t>
        </w:r>
      </w:hyperlink>
      <w:r w:rsidR="004D1EB3" w:rsidRPr="00C6484C">
        <w:rPr>
          <w:rFonts w:asciiTheme="minorHAnsi" w:eastAsia="Calibri" w:hAnsiTheme="minorHAnsi" w:cstheme="minorHAnsi"/>
          <w:sz w:val="20"/>
          <w:szCs w:val="20"/>
          <w:lang w:eastAsia="en-US"/>
        </w:rPr>
        <w:t xml:space="preserve"> </w:t>
      </w:r>
    </w:p>
  </w:footnote>
  <w:footnote w:id="149">
    <w:p w14:paraId="77F70E4F" w14:textId="77777777" w:rsidR="00E23341" w:rsidRPr="00C6484C" w:rsidRDefault="00E23341" w:rsidP="004D1EB3">
      <w:pPr>
        <w:pStyle w:val="paragraph"/>
        <w:spacing w:before="0" w:beforeAutospacing="0" w:after="0" w:afterAutospacing="0"/>
        <w:textAlignment w:val="baseline"/>
        <w:rPr>
          <w:rStyle w:val="Footnotehyperlink"/>
        </w:rPr>
      </w:pPr>
      <w:r w:rsidRPr="00C6484C">
        <w:rPr>
          <w:rStyle w:val="FootnoteReference"/>
          <w:rFonts w:asciiTheme="minorHAnsi" w:hAnsiTheme="minorHAnsi" w:cstheme="minorHAnsi"/>
          <w:sz w:val="20"/>
          <w:szCs w:val="20"/>
        </w:rPr>
        <w:footnoteRef/>
      </w:r>
      <w:r w:rsidRPr="00C6484C">
        <w:rPr>
          <w:rFonts w:asciiTheme="minorHAnsi" w:hAnsiTheme="minorHAnsi" w:cstheme="minorHAnsi"/>
          <w:sz w:val="20"/>
          <w:szCs w:val="20"/>
        </w:rPr>
        <w:t xml:space="preserve"> S</w:t>
      </w:r>
      <w:r w:rsidRPr="00C6484C">
        <w:rPr>
          <w:rStyle w:val="normaltextrun"/>
          <w:rFonts w:asciiTheme="minorHAnsi" w:eastAsiaTheme="majorEastAsia" w:hAnsiTheme="minorHAnsi" w:cstheme="minorHAnsi"/>
          <w:sz w:val="20"/>
          <w:szCs w:val="20"/>
        </w:rPr>
        <w:t>ee part 4 of National Disability Insurance Scheme (Plan Management) Rules 2013 </w:t>
      </w:r>
      <w:hyperlink r:id="rId28" w:tgtFrame="_blank" w:history="1">
        <w:r w:rsidRPr="00C6484C">
          <w:rPr>
            <w:rStyle w:val="Footnotehyperlink"/>
            <w:rFonts w:eastAsiaTheme="majorEastAsia"/>
          </w:rPr>
          <w:t>Federal Register of Legislation - National Disability Insurance Scheme (Plan Management) Rules 2013</w:t>
        </w:r>
      </w:hyperlink>
      <w:r w:rsidRPr="00C6484C">
        <w:rPr>
          <w:rStyle w:val="eop"/>
          <w:rFonts w:asciiTheme="minorHAnsi" w:eastAsiaTheme="majorEastAsia" w:hAnsiTheme="minorHAnsi" w:cstheme="minorHAnsi"/>
          <w:sz w:val="20"/>
          <w:szCs w:val="20"/>
        </w:rPr>
        <w:t>; See also</w:t>
      </w:r>
      <w:r w:rsidRPr="00C6484C">
        <w:rPr>
          <w:rFonts w:asciiTheme="minorHAnsi" w:hAnsiTheme="minorHAnsi" w:cstheme="minorHAnsi"/>
          <w:sz w:val="20"/>
          <w:szCs w:val="20"/>
        </w:rPr>
        <w:t xml:space="preserve"> </w:t>
      </w:r>
      <w:r w:rsidRPr="00C6484C">
        <w:rPr>
          <w:rStyle w:val="normaltextrun"/>
          <w:rFonts w:asciiTheme="minorHAnsi" w:eastAsiaTheme="majorEastAsia" w:hAnsiTheme="minorHAnsi" w:cstheme="minorHAnsi"/>
          <w:sz w:val="20"/>
          <w:szCs w:val="20"/>
        </w:rPr>
        <w:t>Section 42(2)(b) of the National Disability Insurance Scheme Act 2013 </w:t>
      </w:r>
      <w:hyperlink r:id="rId29" w:tgtFrame="_blank" w:history="1">
        <w:r w:rsidRPr="00C6484C">
          <w:rPr>
            <w:rStyle w:val="Footnotehyperlink"/>
            <w:rFonts w:eastAsiaTheme="majorEastAsia"/>
          </w:rPr>
          <w:t>Federal Register of Legislation - National Disability Insurance Scheme Act 2013</w:t>
        </w:r>
      </w:hyperlink>
      <w:r w:rsidRPr="00C6484C">
        <w:rPr>
          <w:rStyle w:val="Footnotehyperlink"/>
          <w:rFonts w:eastAsiaTheme="majorEastAsia"/>
        </w:rPr>
        <w:t> </w:t>
      </w:r>
    </w:p>
  </w:footnote>
  <w:footnote w:id="150">
    <w:p w14:paraId="5BECF478" w14:textId="113B208E" w:rsidR="00E23341" w:rsidRPr="00D427AB" w:rsidRDefault="00E23341" w:rsidP="00E23341">
      <w:pPr>
        <w:pStyle w:val="FootnoteText"/>
        <w:rPr>
          <w:rFonts w:cstheme="minorHAnsi"/>
        </w:rPr>
      </w:pPr>
      <w:r w:rsidRPr="00D427AB">
        <w:rPr>
          <w:rStyle w:val="FootnoteReference"/>
          <w:rFonts w:cstheme="minorHAnsi"/>
        </w:rPr>
        <w:footnoteRef/>
      </w:r>
      <w:r w:rsidRPr="00D427AB">
        <w:rPr>
          <w:rFonts w:cstheme="minorHAnsi"/>
        </w:rPr>
        <w:t xml:space="preserve"> Submission, </w:t>
      </w:r>
      <w:r w:rsidR="00F45C3A" w:rsidRPr="00D427AB">
        <w:rPr>
          <w:rFonts w:cstheme="minorHAnsi"/>
        </w:rPr>
        <w:t>NDIS Participant</w:t>
      </w:r>
    </w:p>
  </w:footnote>
  <w:footnote w:id="151">
    <w:p w14:paraId="2C6B7E88" w14:textId="77777777" w:rsidR="00E23341" w:rsidRPr="00D427AB" w:rsidRDefault="00E23341" w:rsidP="00E23341">
      <w:pPr>
        <w:pStyle w:val="FootnoteText"/>
        <w:rPr>
          <w:rFonts w:cstheme="minorHAnsi"/>
        </w:rPr>
      </w:pPr>
      <w:r w:rsidRPr="00D427AB">
        <w:rPr>
          <w:rStyle w:val="FootnoteReference"/>
          <w:rFonts w:cstheme="minorHAnsi"/>
        </w:rPr>
        <w:footnoteRef/>
      </w:r>
      <w:r w:rsidRPr="00D427AB">
        <w:rPr>
          <w:rFonts w:cstheme="minorHAnsi"/>
        </w:rPr>
        <w:t xml:space="preserve"> </w:t>
      </w:r>
      <w:r w:rsidRPr="00D427AB">
        <w:rPr>
          <w:rStyle w:val="normaltextrun"/>
          <w:rFonts w:cstheme="minorHAnsi"/>
        </w:rPr>
        <w:t>See part 4 of National Disability Insurance Scheme (Plan Management) Rules 2013 </w:t>
      </w:r>
      <w:hyperlink r:id="rId30" w:tgtFrame="_blank" w:history="1">
        <w:r w:rsidRPr="004B6AC8">
          <w:rPr>
            <w:rStyle w:val="Footnotehyperlink"/>
          </w:rPr>
          <w:t>Federal Register of Legislation - National Disability Insurance Scheme (Plan Management) Rules 2013</w:t>
        </w:r>
      </w:hyperlink>
      <w:r w:rsidRPr="00D427AB">
        <w:rPr>
          <w:rStyle w:val="eop"/>
          <w:rFonts w:cstheme="minorHAnsi"/>
          <w:shd w:val="clear" w:color="auto" w:fill="FFFFFF"/>
        </w:rPr>
        <w:t> </w:t>
      </w:r>
    </w:p>
  </w:footnote>
  <w:footnote w:id="152">
    <w:p w14:paraId="32E1E034" w14:textId="5292C983" w:rsidR="00E23341" w:rsidRPr="004B6AC8" w:rsidRDefault="00E23341" w:rsidP="00E23341">
      <w:pPr>
        <w:pStyle w:val="FootnoteText"/>
        <w:rPr>
          <w:rStyle w:val="Footnotehyperlink"/>
        </w:rPr>
      </w:pPr>
      <w:r w:rsidRPr="00D427AB">
        <w:rPr>
          <w:rStyle w:val="FootnoteReference"/>
          <w:rFonts w:cstheme="minorHAnsi"/>
        </w:rPr>
        <w:footnoteRef/>
      </w:r>
      <w:r w:rsidRPr="00D427AB">
        <w:rPr>
          <w:rFonts w:cstheme="minorHAnsi"/>
        </w:rPr>
        <w:t xml:space="preserve"> S</w:t>
      </w:r>
      <w:r w:rsidRPr="00D427AB">
        <w:rPr>
          <w:rStyle w:val="normaltextrun"/>
          <w:rFonts w:cstheme="minorHAnsi"/>
        </w:rPr>
        <w:t>ection 43,  National Disability Insurance Scheme Act 2013 </w:t>
      </w:r>
      <w:r w:rsidR="00F2551C" w:rsidRPr="004B6AC8">
        <w:rPr>
          <w:rStyle w:val="Footnotehyperlink"/>
        </w:rPr>
        <w:t>Federal Register of Legislation - National Disability Insurance Scheme Act</w:t>
      </w:r>
      <w:r w:rsidRPr="004B6AC8">
        <w:rPr>
          <w:rStyle w:val="Footnotehyperlink"/>
        </w:rPr>
        <w:t> </w:t>
      </w:r>
    </w:p>
  </w:footnote>
  <w:footnote w:id="153">
    <w:p w14:paraId="1E62F898" w14:textId="64498CA4" w:rsidR="00E23341" w:rsidRPr="004B6AC8" w:rsidRDefault="00E23341" w:rsidP="00E23341">
      <w:pPr>
        <w:pStyle w:val="FootnoteText"/>
        <w:rPr>
          <w:rStyle w:val="Footnotehyperlink"/>
        </w:rPr>
      </w:pPr>
      <w:r w:rsidRPr="00D427AB">
        <w:rPr>
          <w:rStyle w:val="FootnoteReference"/>
          <w:rFonts w:cstheme="minorHAnsi"/>
        </w:rPr>
        <w:footnoteRef/>
      </w:r>
      <w:r w:rsidRPr="00D427AB">
        <w:rPr>
          <w:rFonts w:cstheme="minorHAnsi"/>
        </w:rPr>
        <w:t xml:space="preserve"> S</w:t>
      </w:r>
      <w:r w:rsidRPr="00D427AB">
        <w:rPr>
          <w:rStyle w:val="normaltextrun"/>
          <w:rFonts w:cstheme="minorHAnsi"/>
        </w:rPr>
        <w:t>ection 43 National Disability Insurance Scheme Act 2013 </w:t>
      </w:r>
      <w:r w:rsidR="00F2551C" w:rsidRPr="004B6AC8">
        <w:rPr>
          <w:rStyle w:val="Footnotehyperlink"/>
        </w:rPr>
        <w:t>Federal Register of Legislation - National Disability Insurance Scheme Act 2013</w:t>
      </w:r>
      <w:r w:rsidRPr="004B6AC8">
        <w:rPr>
          <w:rStyle w:val="Footnotehyperlink"/>
        </w:rPr>
        <w:t> </w:t>
      </w:r>
    </w:p>
  </w:footnote>
  <w:footnote w:id="154">
    <w:p w14:paraId="55E7A08E" w14:textId="3312D043" w:rsidR="00E23341" w:rsidRPr="004B6AC8" w:rsidRDefault="00E23341" w:rsidP="00E23341">
      <w:pPr>
        <w:pStyle w:val="FootnoteText"/>
        <w:rPr>
          <w:rStyle w:val="Footnotehyperlink"/>
        </w:rPr>
      </w:pPr>
      <w:r w:rsidRPr="00D427AB">
        <w:rPr>
          <w:rStyle w:val="FootnoteReference"/>
          <w:rFonts w:cstheme="minorHAnsi"/>
        </w:rPr>
        <w:footnoteRef/>
      </w:r>
      <w:r w:rsidRPr="00D427AB">
        <w:rPr>
          <w:rFonts w:cstheme="minorHAnsi"/>
        </w:rPr>
        <w:t xml:space="preserve"> S</w:t>
      </w:r>
      <w:r w:rsidRPr="00D427AB">
        <w:rPr>
          <w:rStyle w:val="normaltextrun"/>
          <w:rFonts w:cstheme="minorHAnsi"/>
        </w:rPr>
        <w:t>ection 43 National Disability Insurance Scheme Act 2013 </w:t>
      </w:r>
      <w:r w:rsidR="00F2551C" w:rsidRPr="004B6AC8">
        <w:rPr>
          <w:rStyle w:val="Footnotehyperlink"/>
        </w:rPr>
        <w:t>Federal Register of Legislation - National Disability Insurance Scheme Act 2013</w:t>
      </w:r>
      <w:r w:rsidRPr="004B6AC8">
        <w:rPr>
          <w:rStyle w:val="Footnotehyperlink"/>
        </w:rPr>
        <w:t> </w:t>
      </w:r>
    </w:p>
  </w:footnote>
  <w:footnote w:id="155">
    <w:p w14:paraId="32075069" w14:textId="77777777" w:rsidR="00E23341" w:rsidRDefault="00E23341" w:rsidP="00E23341">
      <w:pPr>
        <w:pStyle w:val="FootnoteText"/>
      </w:pPr>
      <w:r w:rsidRPr="7992E81D">
        <w:rPr>
          <w:rStyle w:val="FootnoteReference"/>
        </w:rPr>
        <w:footnoteRef/>
      </w:r>
      <w:r>
        <w:t xml:space="preserve"> </w:t>
      </w:r>
      <w:r>
        <w:rPr>
          <w:rStyle w:val="normaltextrun"/>
          <w:rFonts w:ascii="Calibri" w:hAnsi="Calibri" w:cs="Calibri"/>
          <w:sz w:val="22"/>
          <w:szCs w:val="22"/>
        </w:rPr>
        <w:t>Working Together to Deliver the NDIS </w:t>
      </w:r>
      <w:r>
        <w:rPr>
          <w:rStyle w:val="spellingerror"/>
          <w:rFonts w:ascii="Calibri" w:hAnsi="Calibri" w:cs="Calibri"/>
          <w:sz w:val="22"/>
          <w:szCs w:val="22"/>
        </w:rPr>
        <w:t>NDIS</w:t>
      </w:r>
      <w:r>
        <w:rPr>
          <w:rStyle w:val="normaltextrun"/>
          <w:rFonts w:ascii="Calibri" w:hAnsi="Calibri" w:cs="Calibri"/>
          <w:sz w:val="22"/>
          <w:szCs w:val="22"/>
        </w:rPr>
        <w:t> Review: Final Report Page 13</w:t>
      </w:r>
      <w:r>
        <w:rPr>
          <w:rStyle w:val="eop"/>
          <w:rFonts w:ascii="Calibri" w:hAnsi="Calibri" w:cs="Calibri"/>
          <w:sz w:val="22"/>
          <w:szCs w:val="22"/>
          <w:shd w:val="clear" w:color="auto" w:fill="FFFFFF"/>
        </w:rPr>
        <w:t xml:space="preserve">, </w:t>
      </w:r>
      <w:r>
        <w:t>Recommendation 17.3.</w:t>
      </w:r>
    </w:p>
  </w:footnote>
  <w:footnote w:id="156">
    <w:p w14:paraId="112A1E97" w14:textId="3563A796" w:rsidR="00E23341" w:rsidRDefault="00E23341" w:rsidP="00E23341">
      <w:pPr>
        <w:pStyle w:val="FootnoteText"/>
      </w:pPr>
      <w:r w:rsidRPr="28B4A178">
        <w:rPr>
          <w:rStyle w:val="FootnoteReference"/>
        </w:rPr>
        <w:footnoteRef/>
      </w:r>
      <w:r>
        <w:t xml:space="preserve"> Submission, </w:t>
      </w:r>
      <w:r w:rsidR="00A55DE9">
        <w:t>NDIS</w:t>
      </w:r>
      <w:r>
        <w:t xml:space="preserve"> Participant</w:t>
      </w:r>
    </w:p>
  </w:footnote>
  <w:footnote w:id="157">
    <w:p w14:paraId="17E45349" w14:textId="310B05AF" w:rsidR="00E23341" w:rsidRDefault="00E23341" w:rsidP="00E23341">
      <w:pPr>
        <w:pStyle w:val="FootnoteText"/>
      </w:pPr>
      <w:r w:rsidRPr="28B4A178">
        <w:rPr>
          <w:rStyle w:val="FootnoteReference"/>
        </w:rPr>
        <w:footnoteRef/>
      </w:r>
      <w:r>
        <w:t xml:space="preserve"> Meeting </w:t>
      </w:r>
      <w:r w:rsidR="00A55DE9">
        <w:t>notes</w:t>
      </w:r>
      <w:r>
        <w:t>, Participant</w:t>
      </w:r>
    </w:p>
  </w:footnote>
  <w:footnote w:id="158">
    <w:p w14:paraId="27249B66" w14:textId="77777777" w:rsidR="002E04F5" w:rsidRDefault="002E04F5" w:rsidP="002E04F5">
      <w:pPr>
        <w:pStyle w:val="FootnoteText"/>
        <w:rPr>
          <w:rStyle w:val="FootnoteReference"/>
          <w:sz w:val="24"/>
          <w:szCs w:val="24"/>
        </w:rPr>
      </w:pPr>
      <w:r w:rsidRPr="7992E81D">
        <w:rPr>
          <w:rStyle w:val="FootnoteReference"/>
        </w:rPr>
        <w:footnoteRef/>
      </w:r>
      <w:r>
        <w:t xml:space="preserve"> Webinar participant</w:t>
      </w:r>
      <w:r w:rsidRPr="00804721">
        <w:rPr>
          <w:i/>
          <w:iCs/>
        </w:rPr>
        <w:t xml:space="preserve"> </w:t>
      </w:r>
    </w:p>
  </w:footnote>
  <w:footnote w:id="159">
    <w:p w14:paraId="1DC0A09E" w14:textId="2FFE1274" w:rsidR="002248D1" w:rsidRDefault="002248D1" w:rsidP="002248D1">
      <w:pPr>
        <w:pStyle w:val="FootnoteText"/>
      </w:pPr>
      <w:r w:rsidRPr="62448A57">
        <w:rPr>
          <w:rStyle w:val="FootnoteReference"/>
        </w:rPr>
        <w:footnoteRef/>
      </w:r>
      <w:r>
        <w:t xml:space="preserve"> Disability Royal Commission Final Report, Volume 10, Recommendation 10.28: Information sharing between prescribed bodies</w:t>
      </w:r>
    </w:p>
  </w:footnote>
  <w:footnote w:id="160">
    <w:p w14:paraId="5BDF5CAB" w14:textId="38AC8D79" w:rsidR="009A5B9F" w:rsidRDefault="009A5B9F">
      <w:pPr>
        <w:pStyle w:val="FootnoteText"/>
      </w:pPr>
      <w:r>
        <w:rPr>
          <w:rStyle w:val="FootnoteReference"/>
        </w:rPr>
        <w:footnoteRef/>
      </w:r>
      <w:r>
        <w:t xml:space="preserve"> </w:t>
      </w:r>
      <w:r w:rsidR="008051C9" w:rsidRPr="70B1AF3A">
        <w:rPr>
          <w:rFonts w:ascii="Aptos" w:eastAsia="Aptos" w:hAnsi="Aptos" w:cs="Aptos"/>
        </w:rPr>
        <w:t xml:space="preserve">NDIS Review Final Report, </w:t>
      </w:r>
      <w:r w:rsidR="008051C9">
        <w:rPr>
          <w:rFonts w:ascii="Aptos" w:eastAsia="Aptos" w:hAnsi="Aptos" w:cs="Aptos"/>
        </w:rPr>
        <w:t>p.</w:t>
      </w:r>
      <w:r w:rsidR="008051C9" w:rsidRPr="70B1AF3A">
        <w:rPr>
          <w:rFonts w:ascii="Aptos" w:eastAsia="Aptos" w:hAnsi="Aptos" w:cs="Aptos"/>
        </w:rPr>
        <w:t>207</w:t>
      </w:r>
    </w:p>
  </w:footnote>
  <w:footnote w:id="161">
    <w:p w14:paraId="1C62CB8D" w14:textId="77777777" w:rsidR="00035D76" w:rsidRDefault="00035D76" w:rsidP="00035D76">
      <w:pPr>
        <w:pStyle w:val="FootnoteText"/>
        <w:rPr>
          <w:i/>
          <w:iCs/>
        </w:rPr>
      </w:pPr>
      <w:r w:rsidRPr="7FC917A2">
        <w:rPr>
          <w:rStyle w:val="FootnoteReference"/>
        </w:rPr>
        <w:footnoteRef/>
      </w:r>
      <w:r>
        <w:t xml:space="preserve"> </w:t>
      </w:r>
      <w:r w:rsidRPr="7FC917A2">
        <w:rPr>
          <w:i/>
          <w:iCs/>
        </w:rPr>
        <w:t xml:space="preserve">National Disability Insurance Scheme (Code of Conduct) Rules 2018 </w:t>
      </w:r>
      <w:r w:rsidRPr="7FC917A2">
        <w:t>(Cth), s 6.</w:t>
      </w:r>
    </w:p>
  </w:footnote>
  <w:footnote w:id="162">
    <w:p w14:paraId="3B7CF001" w14:textId="77777777" w:rsidR="00035D76" w:rsidRDefault="00035D76" w:rsidP="00035D76">
      <w:pPr>
        <w:pStyle w:val="FootnoteText"/>
      </w:pPr>
      <w:r w:rsidRPr="7FC917A2">
        <w:rPr>
          <w:rStyle w:val="FootnoteReference"/>
        </w:rPr>
        <w:footnoteRef/>
      </w:r>
      <w:r>
        <w:t xml:space="preserve"> </w:t>
      </w:r>
      <w:hyperlink r:id="rId31" w:history="1">
        <w:r w:rsidRPr="0065434B">
          <w:rPr>
            <w:rStyle w:val="Footnotehyperlink"/>
          </w:rPr>
          <w:t>https://www.ndiscommission.gov.au/about/ndis-code-conduct</w:t>
        </w:r>
      </w:hyperlink>
      <w:r>
        <w:t xml:space="preserve"> and also guidance materials such as </w:t>
      </w:r>
      <w:hyperlink r:id="rId32" w:history="1">
        <w:r w:rsidRPr="0065434B">
          <w:rPr>
            <w:rStyle w:val="Footnotehyperlink"/>
          </w:rPr>
          <w:t>https://www.ndiscommission.gov.au/workers/worker-training-modules-and-resources/worker-orientation-module</w:t>
        </w:r>
      </w:hyperlink>
      <w:r w:rsidRPr="0065434B">
        <w:rPr>
          <w:rStyle w:val="Footnotehyperlink"/>
        </w:rPr>
        <w:t xml:space="preserve"> .</w:t>
      </w:r>
    </w:p>
  </w:footnote>
  <w:footnote w:id="163">
    <w:p w14:paraId="43103CA4" w14:textId="77777777" w:rsidR="00035D76" w:rsidRDefault="00035D76" w:rsidP="00035D76">
      <w:pPr>
        <w:pStyle w:val="FootnoteText"/>
      </w:pPr>
      <w:r w:rsidRPr="64C15461">
        <w:rPr>
          <w:rStyle w:val="FootnoteReference"/>
        </w:rPr>
        <w:footnoteRef/>
      </w:r>
      <w:r>
        <w:t xml:space="preserve"> NDIS Code of Conduct, r 6(1)(f).</w:t>
      </w:r>
    </w:p>
  </w:footnote>
  <w:footnote w:id="164">
    <w:p w14:paraId="47E8193C" w14:textId="5997313B" w:rsidR="003747D2" w:rsidRDefault="003747D2">
      <w:pPr>
        <w:pStyle w:val="FootnoteText"/>
      </w:pPr>
      <w:r w:rsidRPr="00A81320">
        <w:rPr>
          <w:rStyle w:val="FootnoteReference"/>
        </w:rPr>
        <w:footnoteRef/>
      </w:r>
      <w:r w:rsidRPr="004054D1">
        <w:t xml:space="preserve"> </w:t>
      </w:r>
      <w:r w:rsidR="00BC7FF2" w:rsidRPr="00AD113F">
        <w:t>Academic and Policy</w:t>
      </w:r>
      <w:r w:rsidR="00BC7FF2">
        <w:t xml:space="preserve"> - </w:t>
      </w:r>
      <w:r w:rsidR="00AD113F" w:rsidRPr="00AD113F">
        <w:t>Advisory Working Group Meeting</w:t>
      </w:r>
      <w:r w:rsidR="00BC7FF2">
        <w:t xml:space="preserve"> Minutes</w:t>
      </w:r>
    </w:p>
  </w:footnote>
  <w:footnote w:id="165">
    <w:p w14:paraId="60F33718" w14:textId="77777777" w:rsidR="00035D76" w:rsidRPr="00BC7FF2" w:rsidRDefault="00035D76" w:rsidP="00035D76">
      <w:pPr>
        <w:pStyle w:val="FootnoteText"/>
        <w:rPr>
          <w:rFonts w:cstheme="minorHAnsi"/>
        </w:rPr>
      </w:pPr>
      <w:r w:rsidRPr="00BC7FF2">
        <w:rPr>
          <w:rStyle w:val="FootnoteReference"/>
          <w:rFonts w:cstheme="minorHAnsi"/>
        </w:rPr>
        <w:footnoteRef/>
      </w:r>
      <w:r w:rsidRPr="00BC7FF2">
        <w:rPr>
          <w:rFonts w:cstheme="minorHAnsi"/>
        </w:rPr>
        <w:t xml:space="preserve"> </w:t>
      </w:r>
      <w:r w:rsidRPr="00BC7FF2">
        <w:rPr>
          <w:rFonts w:cstheme="minorHAnsi"/>
          <w:i/>
          <w:iCs/>
        </w:rPr>
        <w:t xml:space="preserve">National Disability Insurance Scheme Act 2013 </w:t>
      </w:r>
      <w:r w:rsidRPr="00BC7FF2">
        <w:rPr>
          <w:rFonts w:cstheme="minorHAnsi"/>
        </w:rPr>
        <w:t xml:space="preserve">(Cth), s 181Y. </w:t>
      </w:r>
    </w:p>
  </w:footnote>
  <w:footnote w:id="166">
    <w:p w14:paraId="6D95738D" w14:textId="77777777" w:rsidR="00035D76" w:rsidRPr="00BC7FF2" w:rsidRDefault="00035D76" w:rsidP="00035D76">
      <w:pPr>
        <w:pStyle w:val="FootnoteText"/>
        <w:rPr>
          <w:rFonts w:cstheme="minorHAnsi"/>
        </w:rPr>
      </w:pPr>
      <w:r w:rsidRPr="00BC7FF2">
        <w:rPr>
          <w:rStyle w:val="FootnoteReference"/>
          <w:rFonts w:cstheme="minorHAnsi"/>
        </w:rPr>
        <w:footnoteRef/>
      </w:r>
      <w:r w:rsidRPr="00BC7FF2">
        <w:rPr>
          <w:rFonts w:cstheme="minorHAnsi"/>
        </w:rPr>
        <w:t xml:space="preserve"> </w:t>
      </w:r>
      <w:r w:rsidRPr="00B77149">
        <w:rPr>
          <w:rStyle w:val="Footnotehyperlink"/>
        </w:rPr>
        <w:t>https://www.ndiscommission.gov.au/participants/apply-access-worker-screening-database</w:t>
      </w:r>
    </w:p>
  </w:footnote>
  <w:footnote w:id="167">
    <w:p w14:paraId="16C10083" w14:textId="42BC7DEB" w:rsidR="00736CA4" w:rsidRDefault="00736CA4">
      <w:pPr>
        <w:pStyle w:val="FootnoteText"/>
      </w:pPr>
      <w:r>
        <w:rPr>
          <w:rStyle w:val="FootnoteReference"/>
        </w:rPr>
        <w:footnoteRef/>
      </w:r>
      <w:r>
        <w:t xml:space="preserve"> </w:t>
      </w:r>
      <w:hyperlink r:id="rId33">
        <w:r w:rsidR="00A77E35" w:rsidRPr="00A77E35">
          <w:rPr>
            <w:rStyle w:val="Hyperlink"/>
            <w:rFonts w:asciiTheme="minorHAnsi" w:hAnsiTheme="minorHAnsi"/>
          </w:rPr>
          <w:t>Intergovernmental Agreement on Nationally Consistent Worker Screening for the National Disability Insurance Scheme (federation.gov.au)</w:t>
        </w:r>
      </w:hyperlink>
      <w:r w:rsidR="00351D2C">
        <w:t xml:space="preserve"> </w:t>
      </w:r>
      <w:r w:rsidR="00D426F3">
        <w:t>C</w:t>
      </w:r>
      <w:r w:rsidR="00351D2C">
        <w:t>lause 27</w:t>
      </w:r>
    </w:p>
  </w:footnote>
  <w:footnote w:id="168">
    <w:p w14:paraId="0B57A67B" w14:textId="45CA1B0D" w:rsidR="00B2740F" w:rsidRDefault="00B2740F">
      <w:pPr>
        <w:pStyle w:val="FootnoteText"/>
      </w:pPr>
      <w:r>
        <w:rPr>
          <w:rStyle w:val="FootnoteReference"/>
        </w:rPr>
        <w:footnoteRef/>
      </w:r>
      <w:r>
        <w:t xml:space="preserve"> </w:t>
      </w:r>
      <w:r w:rsidR="003F054E" w:rsidRPr="00BC7FF2">
        <w:rPr>
          <w:rFonts w:cstheme="minorHAnsi"/>
          <w:i/>
          <w:iCs/>
        </w:rPr>
        <w:t>National Disability Insurance Scheme (Practice Standards – Worker Screening) Rules 2018</w:t>
      </w:r>
    </w:p>
  </w:footnote>
  <w:footnote w:id="169">
    <w:p w14:paraId="30BC3C68" w14:textId="77777777" w:rsidR="00035D76" w:rsidRDefault="00035D76" w:rsidP="00035D76">
      <w:pPr>
        <w:pStyle w:val="FootnoteText"/>
      </w:pPr>
      <w:r w:rsidRPr="00BC7FF2">
        <w:rPr>
          <w:rStyle w:val="FootnoteReference"/>
          <w:rFonts w:cstheme="minorHAnsi"/>
        </w:rPr>
        <w:footnoteRef/>
      </w:r>
      <w:r w:rsidRPr="00BC7FF2">
        <w:rPr>
          <w:rFonts w:cstheme="minorHAnsi"/>
        </w:rPr>
        <w:t xml:space="preserve"> </w:t>
      </w:r>
      <w:r w:rsidRPr="00BC7FF2">
        <w:rPr>
          <w:rFonts w:cstheme="minorHAnsi"/>
          <w:i/>
          <w:iCs/>
        </w:rPr>
        <w:t xml:space="preserve">National Disability Insurance Scheme (Practice Standards – Worker Screening) Rules 2018 </w:t>
      </w:r>
      <w:r w:rsidRPr="00BC7FF2">
        <w:rPr>
          <w:rFonts w:cstheme="minorHAnsi"/>
        </w:rPr>
        <w:t>(Cth), s 11.</w:t>
      </w:r>
    </w:p>
  </w:footnote>
  <w:footnote w:id="170">
    <w:p w14:paraId="4066279D" w14:textId="77777777" w:rsidR="00035D76" w:rsidRDefault="00035D76" w:rsidP="00035D76">
      <w:pPr>
        <w:pStyle w:val="FootnoteText"/>
      </w:pPr>
      <w:r w:rsidRPr="77EF165D">
        <w:rPr>
          <w:rStyle w:val="FootnoteReference"/>
        </w:rPr>
        <w:footnoteRef/>
      </w:r>
      <w:r>
        <w:t xml:space="preserve"> </w:t>
      </w:r>
      <w:r w:rsidRPr="77EF165D">
        <w:rPr>
          <w:i/>
          <w:iCs/>
        </w:rPr>
        <w:t xml:space="preserve">National Disability Insurance Scheme (Practice Standards – Worker Screening) Rules 2018 </w:t>
      </w:r>
      <w:r w:rsidRPr="77EF165D">
        <w:t>(Cth), s 5.</w:t>
      </w:r>
    </w:p>
  </w:footnote>
  <w:footnote w:id="171">
    <w:p w14:paraId="2A0A96F7" w14:textId="77777777" w:rsidR="00035D76" w:rsidRDefault="00035D76" w:rsidP="00035D76">
      <w:pPr>
        <w:pStyle w:val="FootnoteText"/>
      </w:pPr>
      <w:r w:rsidRPr="77EF165D">
        <w:rPr>
          <w:rStyle w:val="FootnoteReference"/>
        </w:rPr>
        <w:footnoteRef/>
      </w:r>
      <w:r>
        <w:t xml:space="preserve"> </w:t>
      </w:r>
      <w:r w:rsidRPr="77EF165D">
        <w:rPr>
          <w:i/>
          <w:iCs/>
        </w:rPr>
        <w:t xml:space="preserve">National Disability Insurance Scheme (Practice Standards – Worker Screening) Rules 2018 </w:t>
      </w:r>
      <w:r w:rsidRPr="77EF165D">
        <w:t xml:space="preserve">(Cth), s 6(2). </w:t>
      </w:r>
    </w:p>
  </w:footnote>
  <w:footnote w:id="172">
    <w:p w14:paraId="734E4EE7" w14:textId="77777777" w:rsidR="00035D76" w:rsidRDefault="00035D76" w:rsidP="00035D76">
      <w:pPr>
        <w:pStyle w:val="FootnoteText"/>
      </w:pPr>
      <w:r w:rsidRPr="77EF165D">
        <w:rPr>
          <w:rStyle w:val="FootnoteReference"/>
        </w:rPr>
        <w:footnoteRef/>
      </w:r>
      <w:r>
        <w:t xml:space="preserve"> </w:t>
      </w:r>
      <w:r w:rsidRPr="77EF165D">
        <w:rPr>
          <w:i/>
          <w:iCs/>
        </w:rPr>
        <w:t xml:space="preserve">National Disability Insurance Scheme (Practice Standards – Worker Screening) Rules 2018 </w:t>
      </w:r>
      <w:r w:rsidRPr="77EF165D">
        <w:t xml:space="preserve">(Cth), s 14(1)(a)(i). </w:t>
      </w:r>
    </w:p>
  </w:footnote>
  <w:footnote w:id="173">
    <w:p w14:paraId="1E35F792" w14:textId="77777777" w:rsidR="00035D76" w:rsidRDefault="00035D76" w:rsidP="00035D76">
      <w:pPr>
        <w:pStyle w:val="FootnoteText"/>
      </w:pPr>
      <w:r w:rsidRPr="77EF165D">
        <w:rPr>
          <w:rStyle w:val="FootnoteReference"/>
        </w:rPr>
        <w:footnoteRef/>
      </w:r>
      <w:r>
        <w:t xml:space="preserve"> </w:t>
      </w:r>
      <w:r w:rsidRPr="77EF165D">
        <w:rPr>
          <w:i/>
          <w:iCs/>
        </w:rPr>
        <w:t xml:space="preserve">National Disability Insurance Scheme (Practice Standards – Worker Screening) Rules 2018 </w:t>
      </w:r>
      <w:r w:rsidRPr="77EF165D">
        <w:t>(Cth), s 14(1)(a)(ii).</w:t>
      </w:r>
    </w:p>
  </w:footnote>
  <w:footnote w:id="174">
    <w:p w14:paraId="17675510" w14:textId="77777777" w:rsidR="00035D76" w:rsidRDefault="00035D76" w:rsidP="00035D76">
      <w:pPr>
        <w:pStyle w:val="FootnoteText"/>
      </w:pPr>
      <w:r w:rsidRPr="77EF165D">
        <w:rPr>
          <w:rStyle w:val="FootnoteReference"/>
        </w:rPr>
        <w:footnoteRef/>
      </w:r>
      <w:r>
        <w:t xml:space="preserve"> </w:t>
      </w:r>
      <w:r w:rsidRPr="77EF165D">
        <w:rPr>
          <w:i/>
          <w:iCs/>
        </w:rPr>
        <w:t xml:space="preserve">National Disability Insurance Scheme (Practice Standards – Worker Screening) Rules 2018 </w:t>
      </w:r>
      <w:r w:rsidRPr="77EF165D">
        <w:t>(Cth), s 14A.</w:t>
      </w:r>
    </w:p>
  </w:footnote>
  <w:footnote w:id="175">
    <w:p w14:paraId="7237030D" w14:textId="6025CF6E" w:rsidR="00035D76" w:rsidRDefault="00035D76" w:rsidP="15FE5CA8">
      <w:pPr>
        <w:pStyle w:val="FootnoteText"/>
      </w:pPr>
      <w:r w:rsidRPr="77EF165D">
        <w:rPr>
          <w:rStyle w:val="FootnoteReference"/>
        </w:rPr>
        <w:footnoteRef/>
      </w:r>
      <w:r w:rsidR="15FE5CA8">
        <w:t xml:space="preserve"> Submission, NDIS </w:t>
      </w:r>
      <w:r w:rsidR="3040E0F1">
        <w:t>Participant</w:t>
      </w:r>
    </w:p>
  </w:footnote>
  <w:footnote w:id="176">
    <w:p w14:paraId="27351D0E" w14:textId="43B3BD1B" w:rsidR="6EB98A9E" w:rsidRDefault="6EB98A9E" w:rsidP="00552B9E">
      <w:pPr>
        <w:pStyle w:val="FootnoteText"/>
      </w:pPr>
      <w:r w:rsidRPr="6EB98A9E">
        <w:rPr>
          <w:rStyle w:val="FootnoteReference"/>
        </w:rPr>
        <w:footnoteRef/>
      </w:r>
      <w:r>
        <w:t xml:space="preserve"> Submission, </w:t>
      </w:r>
      <w:r w:rsidR="003962B4">
        <w:t>Registered</w:t>
      </w:r>
      <w:r>
        <w:t xml:space="preserve"> Provider</w:t>
      </w:r>
    </w:p>
  </w:footnote>
  <w:footnote w:id="177">
    <w:p w14:paraId="5EAD89FB" w14:textId="69DE63DD" w:rsidR="00D932A3" w:rsidRDefault="00D932A3">
      <w:pPr>
        <w:pStyle w:val="FootnoteText"/>
      </w:pPr>
      <w:r>
        <w:rPr>
          <w:rStyle w:val="FootnoteReference"/>
        </w:rPr>
        <w:footnoteRef/>
      </w:r>
      <w:r>
        <w:t xml:space="preserve"> </w:t>
      </w:r>
      <w:hyperlink r:id="rId34">
        <w:r w:rsidR="00A2384F" w:rsidRPr="00A2384F">
          <w:rPr>
            <w:rStyle w:val="Footnotehyperlink"/>
          </w:rPr>
          <w:t>Intergovernmental Agreement on Nationally Consistent Worker Screening for the National Disability Insurance Scheme (</w:t>
        </w:r>
        <w:r w:rsidR="00251671">
          <w:rPr>
            <w:rStyle w:val="Footnotehyperlink"/>
          </w:rPr>
          <w:t>IGA</w:t>
        </w:r>
        <w:r w:rsidR="00A2384F" w:rsidRPr="00A2384F">
          <w:rPr>
            <w:rStyle w:val="Footnotehyperlink"/>
          </w:rPr>
          <w:t>)</w:t>
        </w:r>
      </w:hyperlink>
    </w:p>
  </w:footnote>
  <w:footnote w:id="178">
    <w:p w14:paraId="437D0B6C" w14:textId="77777777" w:rsidR="00035D76" w:rsidRDefault="00035D76" w:rsidP="00035D76">
      <w:pPr>
        <w:pStyle w:val="FootnoteText"/>
      </w:pPr>
      <w:r w:rsidRPr="77EF165D">
        <w:rPr>
          <w:rStyle w:val="FootnoteReference"/>
        </w:rPr>
        <w:footnoteRef/>
      </w:r>
      <w:r>
        <w:t xml:space="preserve"> IGA, cl 27 and 28. </w:t>
      </w:r>
    </w:p>
  </w:footnote>
  <w:footnote w:id="179">
    <w:p w14:paraId="2F1F0C9D" w14:textId="622FB0D9" w:rsidR="00035D76" w:rsidRDefault="00035D76" w:rsidP="00035D76">
      <w:pPr>
        <w:pStyle w:val="FootnoteText"/>
      </w:pPr>
      <w:r w:rsidRPr="55853897">
        <w:rPr>
          <w:rStyle w:val="FootnoteReference"/>
        </w:rPr>
        <w:footnoteRef/>
      </w:r>
      <w:r w:rsidR="6E2A98E2">
        <w:t xml:space="preserve"> Submission</w:t>
      </w:r>
      <w:r w:rsidR="003962B4">
        <w:t xml:space="preserve">, </w:t>
      </w:r>
      <w:r w:rsidR="6E2A98E2">
        <w:t>NDIS Participant</w:t>
      </w:r>
    </w:p>
  </w:footnote>
  <w:footnote w:id="180">
    <w:p w14:paraId="525BC24D" w14:textId="2056872A" w:rsidR="6E2A98E2" w:rsidRDefault="6E2A98E2" w:rsidP="00552B9E">
      <w:pPr>
        <w:pStyle w:val="FootnoteText"/>
      </w:pPr>
      <w:r w:rsidRPr="6E2A98E2">
        <w:rPr>
          <w:rStyle w:val="FootnoteReference"/>
        </w:rPr>
        <w:footnoteRef/>
      </w:r>
      <w:r>
        <w:t xml:space="preserve"> Submission, Parent</w:t>
      </w:r>
    </w:p>
  </w:footnote>
  <w:footnote w:id="181">
    <w:p w14:paraId="3D5DFFF0" w14:textId="184889AA" w:rsidR="00035D76" w:rsidRDefault="00035D76" w:rsidP="00035D76">
      <w:pPr>
        <w:pStyle w:val="FootnoteText"/>
      </w:pPr>
      <w:r w:rsidRPr="55853897">
        <w:rPr>
          <w:rStyle w:val="FootnoteReference"/>
        </w:rPr>
        <w:footnoteRef/>
      </w:r>
      <w:r>
        <w:t xml:space="preserve"> </w:t>
      </w:r>
      <w:r w:rsidR="000C2A37" w:rsidRPr="004054D1">
        <w:t>Meeting notes, Indigenous Health Service</w:t>
      </w:r>
    </w:p>
  </w:footnote>
  <w:footnote w:id="182">
    <w:p w14:paraId="5A3073A7" w14:textId="31D60172" w:rsidR="00035D76" w:rsidRDefault="00035D76" w:rsidP="00035D76">
      <w:pPr>
        <w:pStyle w:val="FootnoteText"/>
      </w:pPr>
      <w:r w:rsidRPr="55853897">
        <w:rPr>
          <w:rStyle w:val="FootnoteReference"/>
        </w:rPr>
        <w:footnoteRef/>
      </w:r>
      <w:r>
        <w:t xml:space="preserve"> </w:t>
      </w:r>
      <w:r w:rsidR="000C2A37" w:rsidRPr="004054D1">
        <w:t>Meeting notes, Indigenous Health Service</w:t>
      </w:r>
    </w:p>
  </w:footnote>
  <w:footnote w:id="183">
    <w:p w14:paraId="300005B6" w14:textId="7A023F36" w:rsidR="5EF16046" w:rsidRDefault="5EF16046" w:rsidP="00552B9E">
      <w:pPr>
        <w:pStyle w:val="FootnoteText"/>
      </w:pPr>
      <w:r w:rsidRPr="5EF16046">
        <w:rPr>
          <w:rStyle w:val="FootnoteReference"/>
        </w:rPr>
        <w:footnoteRef/>
      </w:r>
      <w:r>
        <w:t xml:space="preserve"> </w:t>
      </w:r>
      <w:r w:rsidR="000C2A37" w:rsidRPr="004054D1">
        <w:t>Meeting notes, Indigenous Health Service</w:t>
      </w:r>
    </w:p>
  </w:footnote>
  <w:footnote w:id="184">
    <w:p w14:paraId="0FD1A2DD" w14:textId="77777777" w:rsidR="00035D76" w:rsidRDefault="00035D76" w:rsidP="00035D76">
      <w:pPr>
        <w:pStyle w:val="FootnoteText"/>
      </w:pPr>
      <w:r w:rsidRPr="77EF165D">
        <w:rPr>
          <w:rStyle w:val="FootnoteReference"/>
        </w:rPr>
        <w:footnoteRef/>
      </w:r>
      <w:r>
        <w:t xml:space="preserve"> IGA, cl 76. </w:t>
      </w:r>
    </w:p>
  </w:footnote>
  <w:footnote w:id="185">
    <w:p w14:paraId="7861BFEA" w14:textId="77777777" w:rsidR="00035D76" w:rsidRDefault="00035D76" w:rsidP="00035D76">
      <w:pPr>
        <w:pStyle w:val="FootnoteText"/>
      </w:pPr>
      <w:r w:rsidRPr="77EF165D">
        <w:rPr>
          <w:rStyle w:val="FootnoteReference"/>
        </w:rPr>
        <w:footnoteRef/>
      </w:r>
      <w:r>
        <w:t xml:space="preserve"> IGA, cl 82.</w:t>
      </w:r>
    </w:p>
  </w:footnote>
  <w:footnote w:id="186">
    <w:p w14:paraId="590C66B9" w14:textId="77777777" w:rsidR="00035D76" w:rsidRDefault="00035D76" w:rsidP="00035D76">
      <w:pPr>
        <w:pStyle w:val="FootnoteText"/>
      </w:pPr>
      <w:r w:rsidRPr="77EF165D">
        <w:rPr>
          <w:rStyle w:val="FootnoteReference"/>
        </w:rPr>
        <w:footnoteRef/>
      </w:r>
      <w:r>
        <w:t xml:space="preserve"> IGA, cl 85.</w:t>
      </w:r>
    </w:p>
  </w:footnote>
  <w:footnote w:id="187">
    <w:p w14:paraId="555370C4" w14:textId="208627BB" w:rsidR="00035D76" w:rsidRDefault="00035D76" w:rsidP="6E2A98E2">
      <w:pPr>
        <w:pStyle w:val="FootnoteText"/>
        <w:rPr>
          <w:rStyle w:val="FootnoteReference"/>
        </w:rPr>
      </w:pPr>
      <w:r w:rsidRPr="77EF165D">
        <w:rPr>
          <w:rStyle w:val="FootnoteReference"/>
        </w:rPr>
        <w:footnoteRef/>
      </w:r>
      <w:r w:rsidR="6E2A98E2">
        <w:t xml:space="preserve"> Submission, NDIS Provider</w:t>
      </w:r>
    </w:p>
  </w:footnote>
  <w:footnote w:id="188">
    <w:p w14:paraId="41BF045D" w14:textId="0DA11B9F" w:rsidR="0045450D" w:rsidRDefault="0045450D">
      <w:pPr>
        <w:pStyle w:val="FootnoteText"/>
      </w:pPr>
      <w:r>
        <w:rPr>
          <w:rStyle w:val="FootnoteReference"/>
        </w:rPr>
        <w:footnoteRef/>
      </w:r>
      <w:r>
        <w:t xml:space="preserve"> </w:t>
      </w:r>
      <w:r w:rsidR="0045177A">
        <w:t xml:space="preserve">The Disability Royal Commission Final Report also </w:t>
      </w:r>
      <w:r w:rsidR="00EF5494">
        <w:t xml:space="preserve">made </w:t>
      </w:r>
      <w:r w:rsidR="00BE09DB">
        <w:t>recommendations</w:t>
      </w:r>
      <w:r w:rsidR="00EF5494">
        <w:t xml:space="preserve"> to improve </w:t>
      </w:r>
      <w:r w:rsidR="008927CD">
        <w:t xml:space="preserve">worker screening </w:t>
      </w:r>
      <w:r w:rsidR="00D22908">
        <w:t xml:space="preserve">processes including </w:t>
      </w:r>
      <w:r w:rsidR="00DF25E7">
        <w:t xml:space="preserve">information sharing arrangements </w:t>
      </w:r>
      <w:r w:rsidR="00CA569A">
        <w:t xml:space="preserve">(recommendation 10.33) and </w:t>
      </w:r>
      <w:r w:rsidR="00BC77D2">
        <w:t>operational guide</w:t>
      </w:r>
      <w:r w:rsidR="00F76CAF">
        <w:t xml:space="preserve">lines to </w:t>
      </w:r>
      <w:r w:rsidR="005A6BD4">
        <w:t>promote greater consistency</w:t>
      </w:r>
      <w:r w:rsidR="007D67A1">
        <w:t xml:space="preserve"> (recommendation 10.32), Volume 10, p.</w:t>
      </w:r>
      <w:r w:rsidR="00007D44">
        <w:t>417</w:t>
      </w:r>
      <w:r w:rsidR="00DB1AE2">
        <w:t>-427.</w:t>
      </w:r>
    </w:p>
  </w:footnote>
  <w:footnote w:id="189">
    <w:p w14:paraId="02760DFA" w14:textId="77777777" w:rsidR="005A2CC2" w:rsidRPr="0014250F" w:rsidRDefault="005A2CC2" w:rsidP="005A2CC2">
      <w:pPr>
        <w:pStyle w:val="FootnoteText"/>
      </w:pPr>
      <w:r>
        <w:rPr>
          <w:rStyle w:val="FootnoteReference"/>
        </w:rPr>
        <w:footnoteRef/>
      </w:r>
      <w:r>
        <w:t xml:space="preserve"> Submission, Family member of NDIS Participant</w:t>
      </w:r>
    </w:p>
  </w:footnote>
  <w:footnote w:id="190">
    <w:p w14:paraId="4505177E" w14:textId="14808B6C" w:rsidR="6E2A98E2" w:rsidRDefault="6E2A98E2" w:rsidP="00552B9E">
      <w:pPr>
        <w:pStyle w:val="FootnoteText"/>
      </w:pPr>
      <w:r w:rsidRPr="6E2A98E2">
        <w:rPr>
          <w:rStyle w:val="FootnoteReference"/>
        </w:rPr>
        <w:footnoteRef/>
      </w:r>
      <w:r>
        <w:t xml:space="preserve"> Submission, Advocacy Organisation</w:t>
      </w:r>
    </w:p>
  </w:footnote>
  <w:footnote w:id="191">
    <w:p w14:paraId="6235CA91" w14:textId="77777777" w:rsidR="00035D76" w:rsidRPr="0014250F" w:rsidRDefault="00035D76" w:rsidP="00035D76">
      <w:pPr>
        <w:pStyle w:val="FootnoteText"/>
      </w:pPr>
      <w:r>
        <w:rPr>
          <w:rStyle w:val="FootnoteReference"/>
        </w:rPr>
        <w:footnoteRef/>
      </w:r>
      <w:r>
        <w:t xml:space="preserve"> Disability Royal Commission Final Report, vol 10, p.261</w:t>
      </w:r>
    </w:p>
  </w:footnote>
  <w:footnote w:id="192">
    <w:p w14:paraId="19A08847" w14:textId="37064A4B" w:rsidR="1F30DF7E" w:rsidRDefault="1F30DF7E" w:rsidP="1F30DF7E">
      <w:pPr>
        <w:pStyle w:val="FootnoteText"/>
      </w:pPr>
      <w:r w:rsidRPr="1F30DF7E">
        <w:rPr>
          <w:rStyle w:val="FootnoteReference"/>
        </w:rPr>
        <w:footnoteRef/>
      </w:r>
      <w:r>
        <w:t xml:space="preserve"> </w:t>
      </w:r>
      <w:r w:rsidR="005A2CC2">
        <w:t>Meeting notes</w:t>
      </w:r>
      <w:r w:rsidR="00E56156">
        <w:t xml:space="preserve"> - Participant</w:t>
      </w:r>
    </w:p>
  </w:footnote>
  <w:footnote w:id="193">
    <w:p w14:paraId="275A59E8" w14:textId="54DDEF2E" w:rsidR="124A3476" w:rsidRDefault="124A3476" w:rsidP="00552B9E">
      <w:pPr>
        <w:pStyle w:val="FootnoteText"/>
      </w:pPr>
      <w:r w:rsidRPr="124A3476">
        <w:rPr>
          <w:rStyle w:val="FootnoteReference"/>
        </w:rPr>
        <w:footnoteRef/>
      </w:r>
      <w:r>
        <w:t xml:space="preserve"> Submission, Support Coordinator</w:t>
      </w:r>
    </w:p>
  </w:footnote>
  <w:footnote w:id="194">
    <w:p w14:paraId="7AF7D93B" w14:textId="65DB4325" w:rsidR="00035D76" w:rsidRPr="005A0384" w:rsidRDefault="00035D76" w:rsidP="001D5DC8">
      <w:pPr>
        <w:widowControl w:val="0"/>
        <w:spacing w:after="0" w:line="240" w:lineRule="auto"/>
      </w:pPr>
      <w:r>
        <w:rPr>
          <w:rStyle w:val="FootnoteReference"/>
        </w:rPr>
        <w:footnoteRef/>
      </w:r>
      <w:r>
        <w:t xml:space="preserve"> </w:t>
      </w:r>
      <w:r>
        <w:rPr>
          <w:sz w:val="20"/>
          <w:szCs w:val="20"/>
        </w:rPr>
        <w:t xml:space="preserve">Concerns regarding the accessibility and inclusivity of the complaints process </w:t>
      </w:r>
      <w:r w:rsidR="0071785B">
        <w:rPr>
          <w:sz w:val="20"/>
          <w:szCs w:val="20"/>
        </w:rPr>
        <w:t>were</w:t>
      </w:r>
      <w:r>
        <w:rPr>
          <w:sz w:val="20"/>
          <w:szCs w:val="20"/>
        </w:rPr>
        <w:t xml:space="preserve"> shared by the</w:t>
      </w:r>
      <w:r w:rsidRPr="00BD1594">
        <w:rPr>
          <w:sz w:val="20"/>
          <w:szCs w:val="20"/>
        </w:rPr>
        <w:t xml:space="preserve"> Disability Royal Commission Final Report</w:t>
      </w:r>
      <w:r w:rsidR="003D7B11">
        <w:rPr>
          <w:sz w:val="20"/>
          <w:szCs w:val="20"/>
        </w:rPr>
        <w:t xml:space="preserve">, </w:t>
      </w:r>
      <w:r w:rsidR="003D7B11" w:rsidRPr="005A2F46">
        <w:rPr>
          <w:sz w:val="20"/>
          <w:szCs w:val="20"/>
          <w:lang w:val="en-US" w:eastAsia="ja-JP"/>
        </w:rPr>
        <w:t>Recommendation 10.20, Volume 10, p.308</w:t>
      </w:r>
      <w:r w:rsidR="003D7B11">
        <w:rPr>
          <w:sz w:val="20"/>
          <w:szCs w:val="20"/>
          <w:lang w:val="en-US" w:eastAsia="ja-JP"/>
        </w:rPr>
        <w:t>.</w:t>
      </w:r>
      <w:r w:rsidR="62448A57" w:rsidRPr="005A2F46">
        <w:rPr>
          <w:sz w:val="20"/>
          <w:szCs w:val="20"/>
          <w:lang w:val="en-US" w:eastAsia="ja-JP"/>
        </w:rPr>
        <w:t>.</w:t>
      </w:r>
    </w:p>
  </w:footnote>
  <w:footnote w:id="195">
    <w:p w14:paraId="27DAEEE6" w14:textId="083D0DB6" w:rsidR="00035D76" w:rsidRPr="0014250F" w:rsidRDefault="00035D76" w:rsidP="001D5DC8">
      <w:pPr>
        <w:pStyle w:val="FootnoteText"/>
      </w:pPr>
      <w:r>
        <w:rPr>
          <w:rStyle w:val="FootnoteReference"/>
        </w:rPr>
        <w:footnoteRef/>
      </w:r>
      <w:r>
        <w:t xml:space="preserve"> The Disability Royal Commission also heard concerns regarding the timeliness of complaint handling processes by the NDIS Commission</w:t>
      </w:r>
      <w:r w:rsidR="00EF3F0A">
        <w:t>, Recommendation 10.18, Volume 10, p.302</w:t>
      </w:r>
    </w:p>
  </w:footnote>
  <w:footnote w:id="196">
    <w:p w14:paraId="150BB138" w14:textId="186A4C05" w:rsidR="00035D76" w:rsidRDefault="00035D76" w:rsidP="00035D76">
      <w:pPr>
        <w:pStyle w:val="FootnoteText"/>
      </w:pPr>
      <w:r w:rsidRPr="2969862D">
        <w:rPr>
          <w:rStyle w:val="FootnoteReference"/>
        </w:rPr>
        <w:footnoteRef/>
      </w:r>
      <w:r>
        <w:t xml:space="preserve"> Disability Royal Commission Final Report, Vol. 10. p.293, noted that the NDIS Commission has developed a four step process for managing complaints. Step 2 involves assessing risk, triaging and allocation to a stream. Ms Mackey also gave evidence in public hearing 26 of the Disability Royal Commission refenced in Final Report Volume 10, p.310 </w:t>
      </w:r>
      <w:r w:rsidR="004A6435">
        <w:t>that ‘</w:t>
      </w:r>
      <w:r>
        <w:t>the NDIS Commission is maturing its processes around intake and triaging of complaints</w:t>
      </w:r>
      <w:r w:rsidR="00AE18BE">
        <w:t>’</w:t>
      </w:r>
      <w:r>
        <w:t xml:space="preserve">. </w:t>
      </w:r>
    </w:p>
  </w:footnote>
  <w:footnote w:id="197">
    <w:p w14:paraId="7C9A65A4" w14:textId="2ECD0FCF" w:rsidR="00035D76" w:rsidRDefault="00035D76" w:rsidP="00035D76">
      <w:pPr>
        <w:pStyle w:val="FootnoteText"/>
      </w:pPr>
      <w:r w:rsidRPr="64C15461">
        <w:rPr>
          <w:rStyle w:val="FootnoteReference"/>
        </w:rPr>
        <w:footnoteRef/>
      </w:r>
      <w:r>
        <w:t xml:space="preserve"> </w:t>
      </w:r>
      <w:hyperlink r:id="rId35" w:history="1">
        <w:r w:rsidR="0071785B" w:rsidRPr="0018219A">
          <w:rPr>
            <w:rStyle w:val="Footnotehyperlink"/>
          </w:rPr>
          <w:t>How to make a complaint | NDIS Quality and Safeguards Commission</w:t>
        </w:r>
      </w:hyperlink>
    </w:p>
  </w:footnote>
  <w:footnote w:id="198">
    <w:p w14:paraId="4A3A3C8A" w14:textId="77777777" w:rsidR="00035D76" w:rsidRPr="0014250F" w:rsidRDefault="00035D76" w:rsidP="00035D76">
      <w:pPr>
        <w:pStyle w:val="FootnoteText"/>
      </w:pPr>
      <w:r>
        <w:rPr>
          <w:rStyle w:val="FootnoteReference"/>
        </w:rPr>
        <w:footnoteRef/>
      </w:r>
      <w:r>
        <w:t xml:space="preserve"> Disability Royal Commission Final Report vol 10, p.308</w:t>
      </w:r>
    </w:p>
  </w:footnote>
  <w:footnote w:id="199">
    <w:p w14:paraId="37314CA1" w14:textId="77777777" w:rsidR="00035D76" w:rsidRPr="0014250F" w:rsidRDefault="00035D76" w:rsidP="00035D76">
      <w:pPr>
        <w:pStyle w:val="FootnoteText"/>
      </w:pPr>
      <w:r>
        <w:rPr>
          <w:rStyle w:val="FootnoteReference"/>
        </w:rPr>
        <w:footnoteRef/>
      </w:r>
      <w:r>
        <w:t xml:space="preserve"> Disability Royal Commission Final Report vol 10, p.302</w:t>
      </w:r>
    </w:p>
  </w:footnote>
  <w:footnote w:id="200">
    <w:p w14:paraId="795595CD" w14:textId="77777777" w:rsidR="00035D76" w:rsidRPr="0014250F" w:rsidRDefault="00035D76" w:rsidP="00035D76">
      <w:pPr>
        <w:pStyle w:val="FootnoteText"/>
      </w:pPr>
      <w:r>
        <w:rPr>
          <w:rStyle w:val="FootnoteReference"/>
        </w:rPr>
        <w:footnoteRef/>
      </w:r>
      <w:r>
        <w:t xml:space="preserve"> Disability Royal Commission Final Report vol 10, p.274</w:t>
      </w:r>
    </w:p>
  </w:footnote>
  <w:footnote w:id="201">
    <w:p w14:paraId="6360C717" w14:textId="77777777" w:rsidR="00035D76" w:rsidRPr="0014250F" w:rsidRDefault="00035D76" w:rsidP="00035D76">
      <w:pPr>
        <w:pStyle w:val="FootnoteText"/>
      </w:pPr>
      <w:r>
        <w:rPr>
          <w:rStyle w:val="FootnoteReference"/>
        </w:rPr>
        <w:footnoteRef/>
      </w:r>
      <w:r>
        <w:t xml:space="preserve"> Disability Royal Commission Final Report vol 10, p.396</w:t>
      </w:r>
    </w:p>
  </w:footnote>
  <w:footnote w:id="202">
    <w:p w14:paraId="12C2B3AC" w14:textId="77777777" w:rsidR="00035D76" w:rsidRPr="0014250F" w:rsidRDefault="00035D76" w:rsidP="00035D76">
      <w:pPr>
        <w:pStyle w:val="FootnoteText"/>
      </w:pPr>
      <w:r>
        <w:rPr>
          <w:rStyle w:val="FootnoteReference"/>
        </w:rPr>
        <w:footnoteRef/>
      </w:r>
      <w:r>
        <w:t xml:space="preserve"> Disability Royal Commission Final Report vol 10, p.272</w:t>
      </w:r>
    </w:p>
  </w:footnote>
  <w:footnote w:id="203">
    <w:p w14:paraId="33105B96" w14:textId="77777777" w:rsidR="00035D76" w:rsidRDefault="00035D76" w:rsidP="00035D76">
      <w:pPr>
        <w:pStyle w:val="FootnoteText"/>
      </w:pPr>
      <w:r w:rsidRPr="6C5FC667">
        <w:rPr>
          <w:rStyle w:val="FootnoteReference"/>
        </w:rPr>
        <w:footnoteRef/>
      </w:r>
      <w:r>
        <w:t xml:space="preserve"> Section 73Z(4) of the NDIS Act states that reportable incidents means:  a) the death of a person with disability; or b) serious injury of a person with disability; or c) abuse or neglect of a person with disability; or d) unlawful sexual or physical contact with, or assault of, a person with disability; or e) sexual misconduct committed against, or in the presence of, a person with disability, including grooming of the person for sexual activity; or f) the use of a restrictive practice in relation to a person with disability, other than where the use is in accordance with an authorisation (however described) of a State or Territory in relation to the person</w:t>
      </w:r>
    </w:p>
  </w:footnote>
  <w:footnote w:id="204">
    <w:p w14:paraId="15964CA1" w14:textId="77777777" w:rsidR="00035D76" w:rsidRDefault="00035D76" w:rsidP="00035D76">
      <w:pPr>
        <w:pStyle w:val="FootnoteText"/>
      </w:pPr>
      <w:r w:rsidRPr="6C5FC667">
        <w:rPr>
          <w:rStyle w:val="FootnoteReference"/>
        </w:rPr>
        <w:footnoteRef/>
      </w:r>
      <w:r>
        <w:t xml:space="preserve"> </w:t>
      </w:r>
      <w:r w:rsidRPr="6C5FC667">
        <w:t xml:space="preserve">NDIS Commission, ‘Reportable Incidents: Detailed Guidance for Registered NDIS Providers 2019’, p.15 ; </w:t>
      </w:r>
      <w:hyperlink r:id="rId36" w:history="1">
        <w:r w:rsidRPr="00032050">
          <w:rPr>
            <w:rStyle w:val="Footnotehyperlink"/>
          </w:rPr>
          <w:t>detailed-guidance-reportable-incidents-detailed-guidance-registered_0.pdf (ndiscommission.gov.au)</w:t>
        </w:r>
      </w:hyperlink>
    </w:p>
  </w:footnote>
  <w:footnote w:id="205">
    <w:p w14:paraId="42068CBD" w14:textId="77777777" w:rsidR="00035D76" w:rsidRDefault="00035D76" w:rsidP="00035D76">
      <w:pPr>
        <w:pStyle w:val="FootnoteText"/>
      </w:pPr>
      <w:r w:rsidRPr="6C5FC667">
        <w:rPr>
          <w:rStyle w:val="FootnoteReference"/>
        </w:rPr>
        <w:footnoteRef/>
      </w:r>
      <w:r>
        <w:t xml:space="preserve"> NDIS (Incident Management and Reportable Incidents) Rules 2018</w:t>
      </w:r>
    </w:p>
  </w:footnote>
  <w:footnote w:id="206">
    <w:p w14:paraId="3373A6D3" w14:textId="5CF03D4C" w:rsidR="00035D76" w:rsidRDefault="00035D76" w:rsidP="007A1733">
      <w:pPr>
        <w:pStyle w:val="acthead5"/>
        <w:spacing w:before="0" w:beforeAutospacing="0" w:after="0" w:afterAutospacing="0"/>
      </w:pPr>
      <w:r w:rsidRPr="003237D3">
        <w:rPr>
          <w:rStyle w:val="FootnoteReference"/>
          <w:rFonts w:asciiTheme="minorHAnsi" w:hAnsiTheme="minorHAnsi" w:cstheme="minorHAnsi"/>
          <w:sz w:val="20"/>
          <w:szCs w:val="20"/>
        </w:rPr>
        <w:footnoteRef/>
      </w:r>
      <w:r w:rsidRPr="003237D3">
        <w:rPr>
          <w:rFonts w:asciiTheme="minorHAnsi" w:hAnsiTheme="minorHAnsi" w:cstheme="minorHAnsi"/>
          <w:sz w:val="20"/>
          <w:szCs w:val="20"/>
        </w:rPr>
        <w:t xml:space="preserve"> </w:t>
      </w:r>
      <w:r w:rsidRPr="007A1733">
        <w:rPr>
          <w:rFonts w:asciiTheme="minorHAnsi" w:eastAsiaTheme="minorEastAsia" w:hAnsiTheme="minorHAnsi" w:cstheme="minorHAnsi"/>
          <w:sz w:val="20"/>
          <w:szCs w:val="20"/>
          <w:lang w:val="en-US" w:eastAsia="ja-JP"/>
        </w:rPr>
        <w:t>73</w:t>
      </w:r>
      <w:r w:rsidR="004A6435" w:rsidRPr="007A1733">
        <w:rPr>
          <w:rFonts w:asciiTheme="minorHAnsi" w:eastAsiaTheme="minorEastAsia" w:hAnsiTheme="minorHAnsi" w:cstheme="minorHAnsi"/>
          <w:sz w:val="20"/>
          <w:szCs w:val="20"/>
          <w:lang w:val="en-US" w:eastAsia="ja-JP"/>
        </w:rPr>
        <w:t>Z (</w:t>
      </w:r>
      <w:r w:rsidRPr="007A1733">
        <w:rPr>
          <w:rFonts w:asciiTheme="minorHAnsi" w:eastAsiaTheme="minorEastAsia" w:hAnsiTheme="minorHAnsi" w:cstheme="minorHAnsi"/>
          <w:sz w:val="20"/>
          <w:szCs w:val="20"/>
          <w:lang w:val="en-US" w:eastAsia="ja-JP"/>
        </w:rPr>
        <w:t>1)</w:t>
      </w:r>
      <w:r w:rsidRPr="0014250F">
        <w:rPr>
          <w:rFonts w:asciiTheme="minorHAnsi" w:eastAsiaTheme="minorEastAsia" w:hAnsiTheme="minorHAnsi" w:cstheme="minorBidi"/>
          <w:sz w:val="20"/>
          <w:szCs w:val="20"/>
          <w:lang w:val="en-US" w:eastAsia="ja-JP"/>
        </w:rPr>
        <w:t> of the NDIS Act 2018 notes: The National Disability Insurance Scheme rules must prescribe</w:t>
      </w:r>
      <w:r w:rsidR="007A1733">
        <w:rPr>
          <w:rFonts w:asciiTheme="minorHAnsi" w:eastAsiaTheme="minorEastAsia" w:hAnsiTheme="minorHAnsi" w:cstheme="minorBidi"/>
          <w:sz w:val="20"/>
          <w:szCs w:val="20"/>
          <w:lang w:val="en-US" w:eastAsia="ja-JP"/>
        </w:rPr>
        <w:t xml:space="preserve"> </w:t>
      </w:r>
      <w:r w:rsidRPr="0014250F">
        <w:rPr>
          <w:rFonts w:asciiTheme="minorHAnsi" w:eastAsiaTheme="minorEastAsia" w:hAnsiTheme="minorHAnsi" w:cstheme="minorBidi"/>
          <w:sz w:val="20"/>
          <w:szCs w:val="20"/>
          <w:lang w:val="en-US" w:eastAsia="ja-JP"/>
        </w:rPr>
        <w:t>arrangements relating to registered NDIS providers notifying and managing reportable incidents that occur, or are alleged to have occurred, in connection with the provision of supports or services by registered NDIS providers or in other circumstances prescribed by the National Disability Insurance Scheme rules.</w:t>
      </w:r>
    </w:p>
  </w:footnote>
  <w:footnote w:id="207">
    <w:p w14:paraId="76D3B149" w14:textId="59123F2A" w:rsidR="00035D76" w:rsidRDefault="00035D76" w:rsidP="00035D76">
      <w:pPr>
        <w:pStyle w:val="FootnoteText"/>
      </w:pPr>
      <w:r w:rsidRPr="6C5FC667">
        <w:rPr>
          <w:rStyle w:val="FootnoteReference"/>
        </w:rPr>
        <w:footnoteRef/>
      </w:r>
      <w:r w:rsidR="1A630E1F">
        <w:t xml:space="preserve"> Submission, NDIS Participant</w:t>
      </w:r>
    </w:p>
  </w:footnote>
  <w:footnote w:id="208">
    <w:p w14:paraId="21D15CD3" w14:textId="77777777" w:rsidR="00035D76" w:rsidRPr="00BD009B" w:rsidRDefault="00035D76" w:rsidP="007A1733">
      <w:pPr>
        <w:spacing w:after="0" w:line="240" w:lineRule="auto"/>
        <w:rPr>
          <w:sz w:val="20"/>
          <w:szCs w:val="20"/>
        </w:rPr>
      </w:pPr>
      <w:r w:rsidRPr="007D214D">
        <w:rPr>
          <w:rStyle w:val="FootnoteReference"/>
          <w:sz w:val="20"/>
          <w:szCs w:val="20"/>
        </w:rPr>
        <w:footnoteRef/>
      </w:r>
      <w:r w:rsidRPr="007D214D">
        <w:rPr>
          <w:sz w:val="20"/>
          <w:szCs w:val="20"/>
        </w:rPr>
        <w:t xml:space="preserve"> </w:t>
      </w:r>
      <w:r w:rsidRPr="0014250F">
        <w:rPr>
          <w:rFonts w:asciiTheme="minorHAnsi" w:hAnsiTheme="minorHAnsi" w:cstheme="minorBidi"/>
          <w:i/>
          <w:iCs/>
          <w:sz w:val="20"/>
          <w:szCs w:val="20"/>
        </w:rPr>
        <w:t>National Disability Insurance Scheme Act 2013</w:t>
      </w:r>
      <w:r w:rsidRPr="0014250F">
        <w:rPr>
          <w:rFonts w:asciiTheme="minorHAnsi" w:hAnsiTheme="minorHAnsi" w:cstheme="minorBidi"/>
          <w:sz w:val="20"/>
          <w:szCs w:val="20"/>
        </w:rPr>
        <w:t xml:space="preserve"> section 67E. </w:t>
      </w:r>
      <w:r w:rsidRPr="00071AF2">
        <w:rPr>
          <w:sz w:val="20"/>
          <w:szCs w:val="20"/>
        </w:rPr>
        <w:t xml:space="preserve">Further details on information disclosure by the NDIS Commission is outlined in </w:t>
      </w:r>
      <w:r>
        <w:rPr>
          <w:sz w:val="20"/>
          <w:szCs w:val="20"/>
        </w:rPr>
        <w:t>NDIS</w:t>
      </w:r>
      <w:r w:rsidRPr="00071AF2">
        <w:rPr>
          <w:sz w:val="20"/>
          <w:szCs w:val="20"/>
        </w:rPr>
        <w:t xml:space="preserve"> Rules</w:t>
      </w:r>
      <w:r>
        <w:rPr>
          <w:sz w:val="20"/>
          <w:szCs w:val="20"/>
        </w:rPr>
        <w:t>:</w:t>
      </w:r>
      <w:r w:rsidRPr="00071AF2">
        <w:rPr>
          <w:sz w:val="20"/>
          <w:szCs w:val="20"/>
        </w:rPr>
        <w:t xml:space="preserve">  </w:t>
      </w:r>
      <w:hyperlink r:id="rId37" w:history="1">
        <w:r w:rsidRPr="00BD009B">
          <w:rPr>
            <w:color w:val="auto"/>
            <w:sz w:val="20"/>
            <w:szCs w:val="20"/>
          </w:rPr>
          <w:t>Federal Register of Legislation - National Disability Insurance Scheme (Protection and Disclosure of Information—Commissioner) Rules 2018</w:t>
        </w:r>
      </w:hyperlink>
      <w:r w:rsidRPr="00BD009B">
        <w:rPr>
          <w:sz w:val="20"/>
          <w:szCs w:val="20"/>
        </w:rPr>
        <w:t>.</w:t>
      </w:r>
    </w:p>
  </w:footnote>
  <w:footnote w:id="209">
    <w:p w14:paraId="514E6207" w14:textId="340B8280" w:rsidR="00035D76" w:rsidRPr="0014250F" w:rsidRDefault="00035D76" w:rsidP="00035D76">
      <w:pPr>
        <w:pStyle w:val="FootnoteText"/>
      </w:pPr>
      <w:r>
        <w:rPr>
          <w:rStyle w:val="FootnoteReference"/>
        </w:rPr>
        <w:footnoteRef/>
      </w:r>
      <w:r>
        <w:t xml:space="preserve"> Information sharing between prescribed bodies, Volume 10, Disability Royal Commission Final Report</w:t>
      </w:r>
      <w:r w:rsidR="007A1733">
        <w:t xml:space="preserve"> Recommendation 10.28</w:t>
      </w:r>
      <w:r>
        <w:t>.</w:t>
      </w:r>
    </w:p>
  </w:footnote>
  <w:footnote w:id="210">
    <w:p w14:paraId="55F11614" w14:textId="3544CC9E" w:rsidR="00035D76" w:rsidRPr="00083F56" w:rsidRDefault="00035D76" w:rsidP="00035D76">
      <w:pPr>
        <w:pStyle w:val="FootnoteText"/>
        <w:rPr>
          <w:rFonts w:cstheme="minorHAnsi"/>
        </w:rPr>
      </w:pPr>
      <w:r w:rsidRPr="00083F56">
        <w:rPr>
          <w:rStyle w:val="FootnoteReference"/>
          <w:rFonts w:cstheme="minorHAnsi"/>
        </w:rPr>
        <w:footnoteRef/>
      </w:r>
      <w:r w:rsidRPr="00083F56">
        <w:rPr>
          <w:rFonts w:cstheme="minorHAnsi"/>
        </w:rPr>
        <w:t xml:space="preserve"> </w:t>
      </w:r>
      <w:r w:rsidRPr="00083F56">
        <w:rPr>
          <w:rFonts w:cstheme="minorHAnsi"/>
          <w:i/>
          <w:iCs/>
        </w:rPr>
        <w:t xml:space="preserve">National Disability Insurance Scheme 2013 </w:t>
      </w:r>
      <w:r w:rsidRPr="00083F56">
        <w:rPr>
          <w:rFonts w:cstheme="minorHAnsi"/>
        </w:rPr>
        <w:t>(Cth), s 73</w:t>
      </w:r>
      <w:r w:rsidR="004A6435" w:rsidRPr="00083F56">
        <w:rPr>
          <w:rFonts w:cstheme="minorHAnsi"/>
        </w:rPr>
        <w:t>T (</w:t>
      </w:r>
      <w:r w:rsidRPr="00083F56">
        <w:rPr>
          <w:rFonts w:cstheme="minorHAnsi"/>
        </w:rPr>
        <w:t xml:space="preserve">3). </w:t>
      </w:r>
    </w:p>
  </w:footnote>
  <w:footnote w:id="211">
    <w:p w14:paraId="1CE8DB4E" w14:textId="77777777" w:rsidR="00035D76" w:rsidRPr="001D5DC8" w:rsidRDefault="00035D76" w:rsidP="00035D76">
      <w:pPr>
        <w:pStyle w:val="FootnoteText"/>
        <w:rPr>
          <w:rFonts w:eastAsia="Aptos" w:cstheme="minorHAnsi"/>
          <w:color w:val="000000" w:themeColor="text1"/>
        </w:rPr>
      </w:pPr>
      <w:r w:rsidRPr="00083F56">
        <w:rPr>
          <w:rStyle w:val="FootnoteReference"/>
          <w:rFonts w:cstheme="minorHAnsi"/>
        </w:rPr>
        <w:footnoteRef/>
      </w:r>
      <w:r w:rsidRPr="00083F56">
        <w:rPr>
          <w:rFonts w:cstheme="minorHAnsi"/>
        </w:rPr>
        <w:t xml:space="preserve"> </w:t>
      </w:r>
      <w:r w:rsidRPr="001D5DC8">
        <w:rPr>
          <w:rFonts w:eastAsia="Aptos" w:cstheme="minorHAnsi"/>
          <w:i/>
          <w:iCs/>
          <w:color w:val="000000" w:themeColor="text1"/>
        </w:rPr>
        <w:t xml:space="preserve">NDIS (Provider Registration and Practice Standards) Rules 2018, Preamble. </w:t>
      </w:r>
    </w:p>
  </w:footnote>
  <w:footnote w:id="212">
    <w:p w14:paraId="2C31F13D" w14:textId="40CBFE1B" w:rsidR="00035D76" w:rsidRPr="00083F56" w:rsidRDefault="00035D76" w:rsidP="00035D76">
      <w:pPr>
        <w:pStyle w:val="FootnoteText"/>
        <w:rPr>
          <w:rFonts w:cstheme="minorHAnsi"/>
        </w:rPr>
      </w:pPr>
      <w:r w:rsidRPr="00083F56">
        <w:rPr>
          <w:rStyle w:val="FootnoteReference"/>
          <w:rFonts w:cstheme="minorHAnsi"/>
        </w:rPr>
        <w:footnoteRef/>
      </w:r>
      <w:r w:rsidRPr="00083F56">
        <w:rPr>
          <w:rFonts w:cstheme="minorHAnsi"/>
        </w:rPr>
        <w:t xml:space="preserve"> </w:t>
      </w:r>
      <w:hyperlink r:id="rId38" w:history="1">
        <w:r w:rsidRPr="00DF158C">
          <w:rPr>
            <w:rStyle w:val="Footnotehyperlink"/>
          </w:rPr>
          <w:t>https://www.ndiscommission.gov.au/providers/registered-ndis-providers/provider-obligations-and-requirements/ndis-practice-standards</w:t>
        </w:r>
      </w:hyperlink>
    </w:p>
  </w:footnote>
  <w:footnote w:id="213">
    <w:p w14:paraId="130089F4" w14:textId="77777777" w:rsidR="00035D76" w:rsidRPr="001D5DC8" w:rsidRDefault="00035D76" w:rsidP="00035D76">
      <w:pPr>
        <w:pStyle w:val="FootnoteText"/>
        <w:rPr>
          <w:rFonts w:eastAsia="Aptos" w:cstheme="minorHAnsi"/>
          <w:color w:val="000000" w:themeColor="text1"/>
        </w:rPr>
      </w:pPr>
      <w:r w:rsidRPr="00083F56">
        <w:rPr>
          <w:rStyle w:val="FootnoteReference"/>
          <w:rFonts w:cstheme="minorHAnsi"/>
        </w:rPr>
        <w:footnoteRef/>
      </w:r>
      <w:r w:rsidRPr="00083F56">
        <w:rPr>
          <w:rFonts w:cstheme="minorHAnsi"/>
        </w:rPr>
        <w:t xml:space="preserve"> </w:t>
      </w:r>
      <w:r w:rsidRPr="001D5DC8">
        <w:rPr>
          <w:rFonts w:eastAsia="Aptos" w:cstheme="minorHAnsi"/>
          <w:i/>
          <w:iCs/>
          <w:color w:val="000000" w:themeColor="text1"/>
        </w:rPr>
        <w:t xml:space="preserve">NDIS (Provider Registration and Practice Standards) Rules 2018, </w:t>
      </w:r>
      <w:r w:rsidRPr="001D5DC8">
        <w:rPr>
          <w:rFonts w:eastAsia="Aptos" w:cstheme="minorHAnsi"/>
          <w:color w:val="000000" w:themeColor="text1"/>
        </w:rPr>
        <w:t>Schedule 1.</w:t>
      </w:r>
    </w:p>
  </w:footnote>
  <w:footnote w:id="214">
    <w:p w14:paraId="16B9127C" w14:textId="77777777" w:rsidR="00035D76" w:rsidRPr="001D5DC8" w:rsidRDefault="00035D76" w:rsidP="00035D76">
      <w:pPr>
        <w:pStyle w:val="FootnoteText"/>
        <w:rPr>
          <w:rFonts w:eastAsia="Aptos" w:cstheme="minorHAnsi"/>
          <w:color w:val="000000" w:themeColor="text1"/>
        </w:rPr>
      </w:pPr>
      <w:r w:rsidRPr="00083F56">
        <w:rPr>
          <w:rStyle w:val="FootnoteReference"/>
          <w:rFonts w:cstheme="minorHAnsi"/>
        </w:rPr>
        <w:footnoteRef/>
      </w:r>
      <w:r w:rsidRPr="00083F56">
        <w:rPr>
          <w:rFonts w:cstheme="minorHAnsi"/>
        </w:rPr>
        <w:t xml:space="preserve"> </w:t>
      </w:r>
      <w:r w:rsidRPr="001D5DC8">
        <w:rPr>
          <w:rFonts w:eastAsia="Aptos" w:cstheme="minorHAnsi"/>
          <w:i/>
          <w:iCs/>
          <w:color w:val="000000" w:themeColor="text1"/>
        </w:rPr>
        <w:t xml:space="preserve">NDIS (Provider Registration and Practice Standards) Rules 2018,, </w:t>
      </w:r>
      <w:r w:rsidRPr="001D5DC8">
        <w:rPr>
          <w:rFonts w:eastAsia="Aptos" w:cstheme="minorHAnsi"/>
          <w:color w:val="000000" w:themeColor="text1"/>
        </w:rPr>
        <w:t xml:space="preserve">Schedule 2. </w:t>
      </w:r>
    </w:p>
  </w:footnote>
  <w:footnote w:id="215">
    <w:p w14:paraId="5506E567" w14:textId="2267BF5C" w:rsidR="00035D76" w:rsidRDefault="00035D76" w:rsidP="00035D76">
      <w:pPr>
        <w:pStyle w:val="FootnoteText"/>
      </w:pPr>
      <w:r w:rsidRPr="00083F56">
        <w:rPr>
          <w:rStyle w:val="FootnoteReference"/>
          <w:rFonts w:cstheme="minorHAnsi"/>
        </w:rPr>
        <w:footnoteRef/>
      </w:r>
      <w:r w:rsidRPr="00083F56">
        <w:rPr>
          <w:rFonts w:cstheme="minorHAnsi"/>
        </w:rPr>
        <w:t xml:space="preserve"> </w:t>
      </w:r>
      <w:hyperlink r:id="rId39" w:history="1">
        <w:r w:rsidRPr="007B4C22">
          <w:rPr>
            <w:rStyle w:val="Footnotehyperlink"/>
          </w:rPr>
          <w:t>https://www.ndiscommission.gov.au/providers/registered-ndis-providers/provider-obligations-and-requirements/ndis-practice-standards</w:t>
        </w:r>
      </w:hyperlink>
    </w:p>
  </w:footnote>
  <w:footnote w:id="216">
    <w:p w14:paraId="049B8FC4" w14:textId="77777777" w:rsidR="00035D76" w:rsidRPr="00083F56" w:rsidRDefault="00035D76" w:rsidP="00035D76">
      <w:pPr>
        <w:pStyle w:val="FootnoteText"/>
        <w:rPr>
          <w:rFonts w:cstheme="minorHAnsi"/>
        </w:rPr>
      </w:pPr>
      <w:r w:rsidRPr="00083F56">
        <w:rPr>
          <w:rStyle w:val="FootnoteReference"/>
          <w:rFonts w:cstheme="minorHAnsi"/>
        </w:rPr>
        <w:footnoteRef/>
      </w:r>
      <w:r w:rsidRPr="00083F56">
        <w:rPr>
          <w:rFonts w:cstheme="minorHAnsi"/>
        </w:rPr>
        <w:t xml:space="preserve"> </w:t>
      </w:r>
      <w:r w:rsidRPr="00083F56">
        <w:rPr>
          <w:rFonts w:eastAsia="Aptos" w:cstheme="minorHAnsi"/>
          <w:i/>
          <w:iCs/>
          <w:color w:val="000000" w:themeColor="text1"/>
        </w:rPr>
        <w:t>NDIS (Provider Registration and Practice Standards) Rules 2018,</w:t>
      </w:r>
      <w:r w:rsidRPr="00083F56">
        <w:rPr>
          <w:rFonts w:cstheme="minorHAnsi"/>
        </w:rPr>
        <w:t xml:space="preserve"> Schedule 2; NDIS Practice Standards and Quality Indicators (November 2021), version 4.</w:t>
      </w:r>
    </w:p>
  </w:footnote>
  <w:footnote w:id="217">
    <w:p w14:paraId="5EE70288" w14:textId="77777777" w:rsidR="00035D76" w:rsidRDefault="00035D76" w:rsidP="00035D76">
      <w:pPr>
        <w:pStyle w:val="FootnoteText"/>
        <w:rPr>
          <w:i/>
          <w:iCs/>
        </w:rPr>
      </w:pPr>
      <w:r w:rsidRPr="00083F56">
        <w:rPr>
          <w:rStyle w:val="FootnoteReference"/>
          <w:rFonts w:cstheme="minorHAnsi"/>
        </w:rPr>
        <w:footnoteRef/>
      </w:r>
      <w:r w:rsidRPr="00083F56">
        <w:rPr>
          <w:rFonts w:cstheme="minorHAnsi"/>
        </w:rPr>
        <w:t xml:space="preserve"> </w:t>
      </w:r>
      <w:r w:rsidRPr="00083F56">
        <w:rPr>
          <w:rFonts w:cstheme="minorHAnsi"/>
          <w:i/>
          <w:iCs/>
        </w:rPr>
        <w:t xml:space="preserve">National Disability Insurance Scheme (Provider Registration and Practice Standards) Amendment (2021 Measures No. 1) Rules 2021 </w:t>
      </w:r>
      <w:r w:rsidRPr="00083F56">
        <w:rPr>
          <w:rFonts w:cstheme="minorHAnsi"/>
        </w:rPr>
        <w:t xml:space="preserve">and </w:t>
      </w:r>
      <w:r w:rsidRPr="00083F56">
        <w:rPr>
          <w:rFonts w:cstheme="minorHAnsi"/>
          <w:i/>
          <w:iCs/>
        </w:rPr>
        <w:t>National Disability Insurance Scheme Legislation Amendment (Quality Indicators) Guidelines 2021.</w:t>
      </w:r>
      <w:r w:rsidRPr="6C5FC667">
        <w:rPr>
          <w:i/>
          <w:iCs/>
        </w:rPr>
        <w:t xml:space="preserve"> </w:t>
      </w:r>
    </w:p>
  </w:footnote>
  <w:footnote w:id="218">
    <w:p w14:paraId="11CD4F43" w14:textId="7DB648B0" w:rsidR="000E525C" w:rsidRDefault="000E525C">
      <w:pPr>
        <w:pStyle w:val="FootnoteText"/>
      </w:pPr>
      <w:r>
        <w:rPr>
          <w:rStyle w:val="FootnoteReference"/>
        </w:rPr>
        <w:footnoteRef/>
      </w:r>
      <w:r>
        <w:t xml:space="preserve"> </w:t>
      </w:r>
      <w:hyperlink r:id="rId40" w:history="1">
        <w:r w:rsidRPr="00A91AEA">
          <w:rPr>
            <w:rStyle w:val="Footnotehyperlink"/>
          </w:rPr>
          <w:t>2019 Report: Scoping review of causes and contributors to deaths of people with disability in Australia.</w:t>
        </w:r>
      </w:hyperlink>
      <w:r w:rsidRPr="000E525C">
        <w:t xml:space="preserve"> </w:t>
      </w:r>
    </w:p>
  </w:footnote>
  <w:footnote w:id="219">
    <w:p w14:paraId="55D2CBDD" w14:textId="353D6116" w:rsidR="1407DC16" w:rsidRDefault="1407DC16" w:rsidP="1407DC16">
      <w:pPr>
        <w:pStyle w:val="FootnoteText"/>
      </w:pPr>
      <w:r w:rsidRPr="1407DC16">
        <w:rPr>
          <w:rStyle w:val="FootnoteReference"/>
        </w:rPr>
        <w:footnoteRef/>
      </w:r>
      <w:r>
        <w:t xml:space="preserve"> NDIS Review, </w:t>
      </w:r>
      <w:r w:rsidR="007A1733">
        <w:t>A</w:t>
      </w:r>
      <w:r w:rsidR="07AC28A8">
        <w:t>ction 12.3</w:t>
      </w:r>
      <w:r w:rsidR="00075570">
        <w:t>,</w:t>
      </w:r>
      <w:r w:rsidR="007A1733">
        <w:t xml:space="preserve"> </w:t>
      </w:r>
      <w:r w:rsidR="00075570">
        <w:t>p</w:t>
      </w:r>
      <w:r w:rsidR="00A428D0">
        <w:t>.177</w:t>
      </w:r>
    </w:p>
  </w:footnote>
  <w:footnote w:id="220">
    <w:p w14:paraId="64A748FF" w14:textId="28EB4FA4" w:rsidR="4106EA5E" w:rsidRDefault="4106EA5E" w:rsidP="004378E7">
      <w:pPr>
        <w:pStyle w:val="FootnoteText"/>
      </w:pPr>
      <w:r w:rsidRPr="4106EA5E">
        <w:rPr>
          <w:rStyle w:val="FootnoteReference"/>
        </w:rPr>
        <w:footnoteRef/>
      </w:r>
      <w:r>
        <w:t xml:space="preserve"> NDIS Review, p.177. </w:t>
      </w:r>
    </w:p>
  </w:footnote>
  <w:footnote w:id="221">
    <w:p w14:paraId="1E9732EF" w14:textId="31AC9AA0" w:rsidR="002B167C" w:rsidRDefault="002B167C" w:rsidP="002B167C">
      <w:pPr>
        <w:pStyle w:val="FootnoteText"/>
      </w:pPr>
      <w:r w:rsidRPr="04DAADE5">
        <w:rPr>
          <w:rStyle w:val="FootnoteReference"/>
        </w:rPr>
        <w:footnoteRef/>
      </w:r>
      <w:r>
        <w:t xml:space="preserve"> Submission, Advocacy Organisation</w:t>
      </w:r>
    </w:p>
  </w:footnote>
  <w:footnote w:id="222">
    <w:p w14:paraId="2260D31B" w14:textId="587865C4" w:rsidR="6FCB745E" w:rsidRDefault="6FCB745E" w:rsidP="004378E7">
      <w:pPr>
        <w:pStyle w:val="FootnoteText"/>
      </w:pPr>
      <w:r w:rsidRPr="6FCB745E">
        <w:rPr>
          <w:rStyle w:val="FootnoteReference"/>
        </w:rPr>
        <w:footnoteRef/>
      </w:r>
      <w:r w:rsidR="00A09695">
        <w:t xml:space="preserve"> </w:t>
      </w:r>
      <w:r w:rsidR="003F3F2C">
        <w:t>Meeting notes</w:t>
      </w:r>
      <w:r w:rsidR="00BA2856">
        <w:t xml:space="preserve">, </w:t>
      </w:r>
      <w:r w:rsidR="00B51950" w:rsidRPr="00B51950">
        <w:rPr>
          <w:lang w:val="en-GB"/>
        </w:rPr>
        <w:t>UK Care Quality Commission</w:t>
      </w:r>
    </w:p>
  </w:footnote>
  <w:footnote w:id="223">
    <w:p w14:paraId="52D96AC0" w14:textId="7385E78F" w:rsidR="00A09695" w:rsidRDefault="00A09695" w:rsidP="004378E7">
      <w:pPr>
        <w:pStyle w:val="FootnoteText"/>
      </w:pPr>
      <w:r w:rsidRPr="00A09695">
        <w:rPr>
          <w:rStyle w:val="FootnoteReference"/>
        </w:rPr>
        <w:footnoteRef/>
      </w:r>
      <w:r>
        <w:t xml:space="preserve"> </w:t>
      </w:r>
      <w:r w:rsidR="00063B11">
        <w:t>Meeting notes</w:t>
      </w:r>
      <w:r w:rsidR="00B51950">
        <w:t xml:space="preserve">, </w:t>
      </w:r>
      <w:r w:rsidR="00B51950" w:rsidRPr="00B51950">
        <w:rPr>
          <w:lang w:val="en-GB"/>
        </w:rPr>
        <w:t>UK Care Quality Commission</w:t>
      </w:r>
    </w:p>
  </w:footnote>
  <w:footnote w:id="224">
    <w:p w14:paraId="5F58FB50" w14:textId="77777777" w:rsidR="00035D76" w:rsidRPr="00302121" w:rsidRDefault="00035D76" w:rsidP="00035D76">
      <w:pPr>
        <w:spacing w:after="0" w:line="278" w:lineRule="auto"/>
        <w:rPr>
          <w:rFonts w:asciiTheme="minorHAnsi" w:hAnsiTheme="minorHAnsi" w:cstheme="minorHAnsi"/>
          <w:sz w:val="20"/>
          <w:szCs w:val="20"/>
        </w:rPr>
      </w:pPr>
      <w:r w:rsidRPr="00302121">
        <w:rPr>
          <w:rStyle w:val="FootnoteReference"/>
          <w:rFonts w:asciiTheme="minorHAnsi" w:hAnsiTheme="minorHAnsi" w:cstheme="minorHAnsi"/>
          <w:sz w:val="20"/>
          <w:szCs w:val="20"/>
        </w:rPr>
        <w:footnoteRef/>
      </w:r>
      <w:r w:rsidRPr="00302121">
        <w:rPr>
          <w:rFonts w:asciiTheme="minorHAnsi" w:hAnsiTheme="minorHAnsi" w:cstheme="minorHAnsi"/>
          <w:sz w:val="20"/>
          <w:szCs w:val="20"/>
        </w:rPr>
        <w:t xml:space="preserve"> </w:t>
      </w:r>
      <w:r w:rsidRPr="00302121">
        <w:rPr>
          <w:rFonts w:asciiTheme="minorHAnsi" w:eastAsia="Aptos" w:hAnsiTheme="minorHAnsi" w:cstheme="minorHAnsi"/>
          <w:i/>
          <w:sz w:val="20"/>
          <w:szCs w:val="20"/>
        </w:rPr>
        <w:t xml:space="preserve">NDIS (Provider Registration and Practice Standards) Rules 2018, Cl.9 </w:t>
      </w:r>
    </w:p>
  </w:footnote>
  <w:footnote w:id="225">
    <w:p w14:paraId="73AE1915" w14:textId="77777777" w:rsidR="00035D76" w:rsidRPr="00302121" w:rsidRDefault="00035D76" w:rsidP="00035D76">
      <w:pPr>
        <w:spacing w:after="0" w:line="278" w:lineRule="auto"/>
        <w:rPr>
          <w:rFonts w:asciiTheme="minorHAnsi" w:hAnsiTheme="minorHAnsi" w:cstheme="minorHAnsi"/>
          <w:sz w:val="20"/>
          <w:szCs w:val="20"/>
        </w:rPr>
      </w:pPr>
      <w:r w:rsidRPr="00302121">
        <w:rPr>
          <w:rStyle w:val="FootnoteReference"/>
          <w:rFonts w:asciiTheme="minorHAnsi" w:hAnsiTheme="minorHAnsi" w:cstheme="minorHAnsi"/>
          <w:sz w:val="20"/>
          <w:szCs w:val="20"/>
        </w:rPr>
        <w:footnoteRef/>
      </w:r>
      <w:r w:rsidRPr="00302121">
        <w:rPr>
          <w:rFonts w:asciiTheme="minorHAnsi" w:hAnsiTheme="minorHAnsi" w:cstheme="minorHAnsi"/>
          <w:sz w:val="20"/>
          <w:szCs w:val="20"/>
        </w:rPr>
        <w:t xml:space="preserve"> </w:t>
      </w:r>
      <w:r w:rsidRPr="00302121">
        <w:rPr>
          <w:rFonts w:asciiTheme="minorHAnsi" w:eastAsia="Aptos" w:hAnsiTheme="minorHAnsi" w:cstheme="minorHAnsi"/>
          <w:i/>
          <w:sz w:val="20"/>
          <w:szCs w:val="20"/>
        </w:rPr>
        <w:t>NDIS (Provider Registration and Practice Standards) Rules 2018, Cl.10</w:t>
      </w:r>
    </w:p>
  </w:footnote>
  <w:footnote w:id="226">
    <w:p w14:paraId="54959E41" w14:textId="686DE763" w:rsidR="00035D76" w:rsidRPr="00302121" w:rsidRDefault="00035D76" w:rsidP="007C1650">
      <w:pPr>
        <w:spacing w:after="0" w:line="278" w:lineRule="auto"/>
        <w:rPr>
          <w:rFonts w:asciiTheme="minorHAnsi" w:hAnsiTheme="minorHAnsi" w:cstheme="minorHAnsi"/>
          <w:sz w:val="20"/>
          <w:szCs w:val="20"/>
        </w:rPr>
      </w:pPr>
      <w:r w:rsidRPr="00302121">
        <w:rPr>
          <w:rStyle w:val="FootnoteReference"/>
          <w:rFonts w:asciiTheme="minorHAnsi" w:hAnsiTheme="minorHAnsi" w:cstheme="minorHAnsi"/>
          <w:sz w:val="20"/>
          <w:szCs w:val="20"/>
        </w:rPr>
        <w:footnoteRef/>
      </w:r>
      <w:r w:rsidRPr="00302121">
        <w:rPr>
          <w:rFonts w:asciiTheme="minorHAnsi" w:hAnsiTheme="minorHAnsi" w:cstheme="minorHAnsi"/>
          <w:sz w:val="20"/>
          <w:szCs w:val="20"/>
        </w:rPr>
        <w:t xml:space="preserve"> </w:t>
      </w:r>
      <w:hyperlink r:id="rId41" w:history="1">
        <w:r w:rsidRPr="00C70A3F">
          <w:rPr>
            <w:rStyle w:val="Footnotehyperlink"/>
          </w:rPr>
          <w:t>NDIS (Provider Registration and Practice Standards) Rules 2018, Cl.9 -11; and NDIS Commission ‘Application Pack – Suitability Assessment Guide’</w:t>
        </w:r>
      </w:hyperlink>
      <w:r w:rsidRPr="00302121">
        <w:rPr>
          <w:rFonts w:asciiTheme="minorHAnsi" w:eastAsia="Aptos" w:hAnsiTheme="minorHAnsi" w:cstheme="minorHAnsi"/>
          <w:sz w:val="20"/>
          <w:szCs w:val="20"/>
        </w:rPr>
        <w:t xml:space="preserve"> </w:t>
      </w:r>
      <w:r w:rsidR="00DD0BCE">
        <w:rPr>
          <w:rFonts w:asciiTheme="minorHAnsi" w:eastAsia="Aptos" w:hAnsiTheme="minorHAnsi" w:cstheme="minorHAnsi"/>
          <w:sz w:val="20"/>
          <w:szCs w:val="20"/>
        </w:rPr>
        <w:t xml:space="preserve">  </w:t>
      </w:r>
    </w:p>
  </w:footnote>
  <w:footnote w:id="227">
    <w:p w14:paraId="0AE50519" w14:textId="7B4B4246" w:rsidR="00035D76" w:rsidRDefault="00035D76" w:rsidP="00035D76">
      <w:pPr>
        <w:pStyle w:val="FootnoteText"/>
      </w:pPr>
      <w:r w:rsidRPr="00302121">
        <w:rPr>
          <w:rStyle w:val="FootnoteReference"/>
          <w:rFonts w:cstheme="minorHAnsi"/>
        </w:rPr>
        <w:footnoteRef/>
      </w:r>
      <w:r w:rsidRPr="00302121">
        <w:rPr>
          <w:rFonts w:cstheme="minorHAnsi"/>
        </w:rPr>
        <w:t xml:space="preserve"> Senate Estimates 3 June 2024, NDIA pp.96-99: </w:t>
      </w:r>
      <w:hyperlink r:id="rId42" w:anchor="search=%22committees/estimate/28105/0000%22" w:history="1">
        <w:r w:rsidRPr="00C70A3F">
          <w:rPr>
            <w:rStyle w:val="Footnotehyperlink"/>
          </w:rPr>
          <w:t>Community Affairs Legislation Committee_2024_06_03.pdf;fileType=application/pdf (aph.gov.au)</w:t>
        </w:r>
      </w:hyperlink>
      <w:r w:rsidRPr="00302121">
        <w:rPr>
          <w:rFonts w:cstheme="minorHAnsi"/>
        </w:rPr>
        <w:t xml:space="preserve">; </w:t>
      </w:r>
      <w:r w:rsidR="00BA2856" w:rsidRPr="00302121">
        <w:rPr>
          <w:rFonts w:cstheme="minorHAnsi"/>
        </w:rPr>
        <w:t>Meeting Notes, Fraud Fusion Taskforce</w:t>
      </w:r>
    </w:p>
  </w:footnote>
  <w:footnote w:id="228">
    <w:p w14:paraId="6D85AAF4" w14:textId="113A7649" w:rsidR="7026C880" w:rsidRDefault="7026C880" w:rsidP="004378E7">
      <w:pPr>
        <w:pStyle w:val="FootnoteText"/>
      </w:pPr>
      <w:r w:rsidRPr="7026C880">
        <w:rPr>
          <w:rStyle w:val="FootnoteReference"/>
        </w:rPr>
        <w:footnoteRef/>
      </w:r>
      <w:r w:rsidR="5807A6A8">
        <w:t xml:space="preserve"> </w:t>
      </w:r>
      <w:r w:rsidR="00642379">
        <w:t>Submission, Parent</w:t>
      </w:r>
    </w:p>
  </w:footnote>
  <w:footnote w:id="229">
    <w:p w14:paraId="0F014FA0" w14:textId="0AD895EE" w:rsidR="00035D76" w:rsidRDefault="00035D76" w:rsidP="00035D76">
      <w:pPr>
        <w:pStyle w:val="FootnoteText"/>
      </w:pPr>
      <w:r w:rsidRPr="6C5FC667">
        <w:rPr>
          <w:rStyle w:val="FootnoteReference"/>
        </w:rPr>
        <w:footnoteRef/>
      </w:r>
      <w:r>
        <w:t xml:space="preserve"> </w:t>
      </w:r>
      <w:r w:rsidR="00B673E9">
        <w:t>Meeting Notes, Fraud Fusion Taskforce</w:t>
      </w:r>
    </w:p>
  </w:footnote>
  <w:footnote w:id="230">
    <w:p w14:paraId="13309D2A" w14:textId="074A1F7F" w:rsidR="7F14469A" w:rsidRDefault="7F14469A" w:rsidP="00552B9E">
      <w:pPr>
        <w:pStyle w:val="FootnoteText"/>
      </w:pPr>
      <w:r w:rsidRPr="7F14469A">
        <w:rPr>
          <w:rStyle w:val="FootnoteReference"/>
        </w:rPr>
        <w:footnoteRef/>
      </w:r>
      <w:r w:rsidR="29D0CA49">
        <w:t xml:space="preserve"> Submission, Parent and </w:t>
      </w:r>
      <w:r w:rsidR="00F23482">
        <w:t>Registered Provider</w:t>
      </w:r>
    </w:p>
  </w:footnote>
  <w:footnote w:id="231">
    <w:p w14:paraId="19ACC38D" w14:textId="39A1C4AB" w:rsidR="00035D76" w:rsidRDefault="00035D76" w:rsidP="00035D76">
      <w:pPr>
        <w:pStyle w:val="FootnoteText"/>
      </w:pPr>
      <w:r w:rsidRPr="6C5FC667">
        <w:rPr>
          <w:rStyle w:val="FootnoteReference"/>
        </w:rPr>
        <w:footnoteRef/>
      </w:r>
      <w:r w:rsidR="00B95BAC">
        <w:t xml:space="preserve"> </w:t>
      </w:r>
      <w:r w:rsidR="7B39307D">
        <w:t>Submission</w:t>
      </w:r>
      <w:r w:rsidR="3F82093C">
        <w:t xml:space="preserve">, Registered </w:t>
      </w:r>
      <w:r w:rsidR="221DB2F5">
        <w:t>Provider</w:t>
      </w:r>
    </w:p>
  </w:footnote>
  <w:footnote w:id="232">
    <w:p w14:paraId="06E3451F" w14:textId="2678C960" w:rsidR="03FB15C7" w:rsidRDefault="03FB15C7" w:rsidP="00552B9E">
      <w:pPr>
        <w:pStyle w:val="FootnoteText"/>
      </w:pPr>
      <w:r w:rsidRPr="03FB15C7">
        <w:rPr>
          <w:rStyle w:val="FootnoteReference"/>
        </w:rPr>
        <w:footnoteRef/>
      </w:r>
      <w:r w:rsidR="14C8C238">
        <w:t xml:space="preserve"> Submission, </w:t>
      </w:r>
      <w:r w:rsidR="5657531E">
        <w:t xml:space="preserve">Registered </w:t>
      </w:r>
      <w:r w:rsidR="7F4E6D68">
        <w:t>Provider</w:t>
      </w:r>
    </w:p>
  </w:footnote>
  <w:footnote w:id="233">
    <w:p w14:paraId="2F1271DB" w14:textId="77777777" w:rsidR="00035D76" w:rsidRDefault="00035D76" w:rsidP="00035D76">
      <w:pPr>
        <w:pStyle w:val="FootnoteText"/>
      </w:pPr>
      <w:r w:rsidRPr="6C5FC667">
        <w:rPr>
          <w:rStyle w:val="FootnoteReference"/>
        </w:rPr>
        <w:footnoteRef/>
      </w:r>
      <w:r>
        <w:t xml:space="preserve"> ISO 9001 is a globally recognised standard for quality management </w:t>
      </w:r>
      <w:hyperlink r:id="rId43" w:history="1">
        <w:r w:rsidRPr="00C70A3F">
          <w:rPr>
            <w:rStyle w:val="Footnotehyperlink"/>
          </w:rPr>
          <w:t>ISO 9001:2015 - Quality management systems</w:t>
        </w:r>
      </w:hyperlink>
      <w:r>
        <w:t>.</w:t>
      </w:r>
    </w:p>
  </w:footnote>
  <w:footnote w:id="234">
    <w:p w14:paraId="5F3CFBDF" w14:textId="400802D2" w:rsidR="2319A92E" w:rsidRDefault="2319A92E" w:rsidP="2319A92E">
      <w:pPr>
        <w:pStyle w:val="FootnoteText"/>
      </w:pPr>
      <w:r w:rsidRPr="2319A92E">
        <w:rPr>
          <w:rStyle w:val="FootnoteReference"/>
        </w:rPr>
        <w:footnoteRef/>
      </w:r>
      <w:r>
        <w:t xml:space="preserve"> </w:t>
      </w:r>
      <w:r w:rsidR="002E011C" w:rsidRPr="70B1AF3A">
        <w:rPr>
          <w:rFonts w:ascii="Aptos" w:eastAsia="Aptos" w:hAnsi="Aptos" w:cs="Aptos"/>
        </w:rPr>
        <w:t>Disability Royal Commission, Final Report</w:t>
      </w:r>
      <w:r>
        <w:t>, Vol 10, p</w:t>
      </w:r>
      <w:r w:rsidR="004A64EC">
        <w:t>.</w:t>
      </w:r>
      <w:r>
        <w:t xml:space="preserve"> 322.</w:t>
      </w:r>
    </w:p>
  </w:footnote>
  <w:footnote w:id="235">
    <w:p w14:paraId="0EFA6ED0" w14:textId="283E9867" w:rsidR="00035D76" w:rsidRPr="0014250F" w:rsidRDefault="00035D76" w:rsidP="00035D76">
      <w:pPr>
        <w:pStyle w:val="FootnoteText"/>
      </w:pPr>
      <w:r>
        <w:rPr>
          <w:rStyle w:val="FootnoteReference"/>
        </w:rPr>
        <w:footnoteRef/>
      </w:r>
      <w:r>
        <w:t xml:space="preserve"> </w:t>
      </w:r>
      <w:r w:rsidR="07398E5B">
        <w:t xml:space="preserve">Submission, </w:t>
      </w:r>
      <w:r w:rsidR="5FDF33E4">
        <w:t>Auditor Trainer</w:t>
      </w:r>
    </w:p>
  </w:footnote>
  <w:footnote w:id="236">
    <w:p w14:paraId="53499EE9" w14:textId="2C6678E6" w:rsidR="574D99DA" w:rsidRDefault="574D99DA" w:rsidP="00552B9E">
      <w:pPr>
        <w:pStyle w:val="FootnoteText"/>
      </w:pPr>
      <w:r w:rsidRPr="574D99DA">
        <w:rPr>
          <w:rStyle w:val="FootnoteReference"/>
        </w:rPr>
        <w:footnoteRef/>
      </w:r>
      <w:r w:rsidR="07957A98">
        <w:t xml:space="preserve"> Submission, </w:t>
      </w:r>
      <w:r w:rsidR="00043941">
        <w:t>Unregistered</w:t>
      </w:r>
      <w:r w:rsidR="07957A98">
        <w:t xml:space="preserve"> Provider (currently undergoing registration</w:t>
      </w:r>
      <w:r w:rsidR="1F2F710C">
        <w:t>)</w:t>
      </w:r>
    </w:p>
  </w:footnote>
  <w:footnote w:id="237">
    <w:p w14:paraId="5516F490" w14:textId="58E4CDE3" w:rsidR="57B23FDD" w:rsidRDefault="57B23FDD" w:rsidP="00552B9E">
      <w:pPr>
        <w:pStyle w:val="FootnoteText"/>
      </w:pPr>
      <w:r w:rsidRPr="57B23FDD">
        <w:rPr>
          <w:rStyle w:val="FootnoteReference"/>
        </w:rPr>
        <w:footnoteRef/>
      </w:r>
      <w:r w:rsidR="5EC2710D">
        <w:t xml:space="preserve"> Submission</w:t>
      </w:r>
      <w:r w:rsidR="006C6F56">
        <w:t xml:space="preserve">, </w:t>
      </w:r>
      <w:r w:rsidR="00DD0BCE">
        <w:t>Community member</w:t>
      </w:r>
    </w:p>
  </w:footnote>
  <w:footnote w:id="238">
    <w:p w14:paraId="2B46FB06" w14:textId="6555626F" w:rsidR="001A647B" w:rsidRPr="001A647B" w:rsidRDefault="001A647B">
      <w:pPr>
        <w:pStyle w:val="FootnoteText"/>
      </w:pPr>
      <w:r>
        <w:rPr>
          <w:rStyle w:val="FootnoteReference"/>
        </w:rPr>
        <w:footnoteRef/>
      </w:r>
      <w:r>
        <w:t xml:space="preserve"> See, </w:t>
      </w:r>
      <w:r>
        <w:rPr>
          <w:i/>
          <w:iCs/>
        </w:rPr>
        <w:t xml:space="preserve">NDIS (Approved Quality Auditors Scheme) Guidelines 2018, </w:t>
      </w:r>
      <w:r>
        <w:t xml:space="preserve">s 17(5). </w:t>
      </w:r>
    </w:p>
  </w:footnote>
  <w:footnote w:id="239">
    <w:p w14:paraId="6C55D143" w14:textId="1C8A10D3" w:rsidR="00BD4DEA" w:rsidRPr="0014250F" w:rsidRDefault="00BD4DEA" w:rsidP="00BD4DEA">
      <w:pPr>
        <w:pStyle w:val="FootnoteText"/>
      </w:pPr>
      <w:r>
        <w:rPr>
          <w:rStyle w:val="FootnoteReference"/>
        </w:rPr>
        <w:footnoteRef/>
      </w:r>
      <w:r>
        <w:t xml:space="preserve"> Webinar participant</w:t>
      </w:r>
    </w:p>
  </w:footnote>
  <w:footnote w:id="240">
    <w:p w14:paraId="5D424F5F" w14:textId="03DA998A" w:rsidR="365F44D0" w:rsidRDefault="365F44D0" w:rsidP="00124CB5">
      <w:pPr>
        <w:pStyle w:val="FootnoteText"/>
      </w:pPr>
      <w:r w:rsidRPr="365F44D0">
        <w:rPr>
          <w:rStyle w:val="FootnoteReference"/>
        </w:rPr>
        <w:footnoteRef/>
      </w:r>
      <w:r w:rsidR="2B853967">
        <w:t xml:space="preserve"> NDIS Review Supporting Analysis, p. 910. </w:t>
      </w:r>
    </w:p>
  </w:footnote>
  <w:footnote w:id="241">
    <w:p w14:paraId="119910A6" w14:textId="1BEED0C8" w:rsidR="65475AB7" w:rsidRDefault="65475AB7" w:rsidP="00124CB5">
      <w:pPr>
        <w:pStyle w:val="FootnoteText"/>
      </w:pPr>
      <w:r w:rsidRPr="65475AB7">
        <w:rPr>
          <w:rStyle w:val="FootnoteReference"/>
        </w:rPr>
        <w:footnoteRef/>
      </w:r>
      <w:r>
        <w:t xml:space="preserve"> See also, NDIS Review Supporting Analysis, p. 925. </w:t>
      </w:r>
    </w:p>
  </w:footnote>
  <w:footnote w:id="242">
    <w:p w14:paraId="5E71F56C" w14:textId="2D44A2B4" w:rsidR="23B882B3" w:rsidRDefault="23B882B3" w:rsidP="00124CB5">
      <w:pPr>
        <w:pStyle w:val="FootnoteText"/>
      </w:pPr>
      <w:r w:rsidRPr="23B882B3">
        <w:rPr>
          <w:rStyle w:val="FootnoteReference"/>
        </w:rPr>
        <w:footnoteRef/>
      </w:r>
      <w:r w:rsidR="3550DEBA">
        <w:t xml:space="preserve"> NDIS Review Supporting Analysis, p. 937. </w:t>
      </w:r>
    </w:p>
  </w:footnote>
  <w:footnote w:id="243">
    <w:p w14:paraId="093AA81A" w14:textId="77777777" w:rsidR="00035D76" w:rsidRDefault="00035D76" w:rsidP="00035D76">
      <w:pPr>
        <w:pStyle w:val="FootnoteText"/>
        <w:rPr>
          <w:i/>
          <w:iCs/>
        </w:rPr>
      </w:pPr>
      <w:r w:rsidRPr="4C728EBC">
        <w:rPr>
          <w:rStyle w:val="FootnoteReference"/>
        </w:rPr>
        <w:footnoteRef/>
      </w:r>
      <w:r>
        <w:t xml:space="preserve"> </w:t>
      </w:r>
      <w:r w:rsidRPr="4C728EBC">
        <w:rPr>
          <w:i/>
          <w:iCs/>
        </w:rPr>
        <w:t xml:space="preserve">Regulatory Powers Act 2014 </w:t>
      </w:r>
      <w:r w:rsidRPr="4C728EBC">
        <w:t>(Cth), Part 3.</w:t>
      </w:r>
    </w:p>
  </w:footnote>
  <w:footnote w:id="244">
    <w:p w14:paraId="2A4FACB0" w14:textId="77777777" w:rsidR="00035D76" w:rsidRDefault="00035D76" w:rsidP="00035D76">
      <w:pPr>
        <w:pStyle w:val="FootnoteText"/>
        <w:rPr>
          <w:i/>
          <w:iCs/>
        </w:rPr>
      </w:pPr>
      <w:r w:rsidRPr="4C728EBC">
        <w:rPr>
          <w:rStyle w:val="FootnoteReference"/>
        </w:rPr>
        <w:footnoteRef/>
      </w:r>
      <w:r>
        <w:t xml:space="preserve"> </w:t>
      </w:r>
      <w:r w:rsidRPr="4C728EBC">
        <w:rPr>
          <w:i/>
          <w:iCs/>
        </w:rPr>
        <w:t xml:space="preserve">Regulatory Powers Act 2014 </w:t>
      </w:r>
      <w:r w:rsidRPr="4C728EBC">
        <w:t xml:space="preserve">(Cth), Part 3. </w:t>
      </w:r>
    </w:p>
  </w:footnote>
  <w:footnote w:id="245">
    <w:p w14:paraId="4DA09B1A" w14:textId="55790705" w:rsidR="00035D76" w:rsidRPr="0014250F" w:rsidRDefault="00035D76" w:rsidP="00035D76">
      <w:pPr>
        <w:pStyle w:val="FootnoteText"/>
      </w:pPr>
      <w:r>
        <w:rPr>
          <w:rStyle w:val="FootnoteReference"/>
        </w:rPr>
        <w:footnoteRef/>
      </w:r>
      <w:r w:rsidR="1BA77659">
        <w:t xml:space="preserve"> Submission</w:t>
      </w:r>
      <w:r w:rsidR="00D214BB">
        <w:t>s</w:t>
      </w:r>
      <w:r w:rsidR="1BA77659">
        <w:t xml:space="preserve">, </w:t>
      </w:r>
      <w:r w:rsidR="00D214BB">
        <w:t>Advocacy Organisations</w:t>
      </w:r>
    </w:p>
  </w:footnote>
  <w:footnote w:id="246">
    <w:p w14:paraId="17C4F00C" w14:textId="77777777" w:rsidR="00035D76" w:rsidRDefault="00035D76" w:rsidP="00035D76">
      <w:pPr>
        <w:pStyle w:val="FootnoteText"/>
        <w:rPr>
          <w:i/>
          <w:iCs/>
        </w:rPr>
      </w:pPr>
      <w:r w:rsidRPr="05F1C5CE">
        <w:rPr>
          <w:rStyle w:val="FootnoteReference"/>
        </w:rPr>
        <w:footnoteRef/>
      </w:r>
      <w:r>
        <w:t xml:space="preserve"> </w:t>
      </w:r>
      <w:r w:rsidRPr="05F1C5CE">
        <w:rPr>
          <w:i/>
          <w:iCs/>
        </w:rPr>
        <w:t xml:space="preserve">Aged Care Quality and Safety Commission Act 2018 </w:t>
      </w:r>
      <w:r w:rsidRPr="05F1C5CE">
        <w:t xml:space="preserve">(Cth), Part 8. </w:t>
      </w:r>
    </w:p>
  </w:footnote>
  <w:footnote w:id="247">
    <w:p w14:paraId="7939B84D" w14:textId="77777777" w:rsidR="00035D76" w:rsidRDefault="00035D76" w:rsidP="00035D76">
      <w:pPr>
        <w:pStyle w:val="FootnoteText"/>
        <w:rPr>
          <w:i/>
          <w:iCs/>
        </w:rPr>
      </w:pPr>
      <w:r w:rsidRPr="0BDE6B61">
        <w:rPr>
          <w:rStyle w:val="FootnoteReference"/>
        </w:rPr>
        <w:footnoteRef/>
      </w:r>
      <w:r>
        <w:t xml:space="preserve"> </w:t>
      </w:r>
      <w:r w:rsidRPr="0BDE6B61">
        <w:rPr>
          <w:i/>
          <w:iCs/>
        </w:rPr>
        <w:t xml:space="preserve">National Disability Insurance Scheme (Provider Registration and Practice Standards) Rules 2018, Sch 1, </w:t>
      </w:r>
      <w:r w:rsidRPr="0BDE6B61">
        <w:t xml:space="preserve">s 20. </w:t>
      </w:r>
    </w:p>
  </w:footnote>
  <w:footnote w:id="248">
    <w:p w14:paraId="366047CD" w14:textId="77777777" w:rsidR="00035D76" w:rsidRDefault="00035D76" w:rsidP="00035D76">
      <w:pPr>
        <w:pStyle w:val="FootnoteText"/>
        <w:rPr>
          <w:i/>
          <w:iCs/>
        </w:rPr>
      </w:pPr>
      <w:r w:rsidRPr="0BDE6B61">
        <w:rPr>
          <w:rStyle w:val="FootnoteReference"/>
        </w:rPr>
        <w:footnoteRef/>
      </w:r>
      <w:r>
        <w:t xml:space="preserve"> </w:t>
      </w:r>
      <w:r w:rsidRPr="0BDE6B61">
        <w:rPr>
          <w:i/>
          <w:iCs/>
        </w:rPr>
        <w:t xml:space="preserve">National Disability Insurance Scheme (Provider Registration and Practice Standards) Rules 2018, </w:t>
      </w:r>
      <w:r w:rsidRPr="0BDE6B61">
        <w:t>Sch 7, s 5.</w:t>
      </w:r>
    </w:p>
  </w:footnote>
  <w:footnote w:id="249">
    <w:p w14:paraId="26AF579E" w14:textId="6B57B69E" w:rsidR="00035D76" w:rsidRPr="0014250F" w:rsidRDefault="00035D76" w:rsidP="00035D76">
      <w:pPr>
        <w:pStyle w:val="FootnoteText"/>
      </w:pPr>
      <w:r>
        <w:rPr>
          <w:rStyle w:val="FootnoteReference"/>
        </w:rPr>
        <w:footnoteRef/>
      </w:r>
      <w:r w:rsidR="18CD6077">
        <w:t xml:space="preserve"> Submission, </w:t>
      </w:r>
      <w:r w:rsidR="00B76F0E">
        <w:t>Support Worker</w:t>
      </w:r>
    </w:p>
  </w:footnote>
  <w:footnote w:id="250">
    <w:p w14:paraId="2B9D8D4D" w14:textId="76E1B067" w:rsidR="001E3DE8" w:rsidRDefault="001E3DE8">
      <w:pPr>
        <w:pStyle w:val="FootnoteText"/>
      </w:pPr>
      <w:r>
        <w:rPr>
          <w:rStyle w:val="FootnoteReference"/>
        </w:rPr>
        <w:footnoteRef/>
      </w:r>
      <w:r>
        <w:t xml:space="preserve"> </w:t>
      </w:r>
      <w:r w:rsidRPr="001E3DE8">
        <w:rPr>
          <w:lang w:val="en-GB"/>
        </w:rPr>
        <w:t>D</w:t>
      </w:r>
      <w:r>
        <w:rPr>
          <w:lang w:val="en-GB"/>
        </w:rPr>
        <w:t>isability Royal Commission</w:t>
      </w:r>
      <w:r w:rsidR="00E075AB">
        <w:rPr>
          <w:lang w:val="en-GB"/>
        </w:rPr>
        <w:t xml:space="preserve"> Final Report</w:t>
      </w:r>
      <w:r>
        <w:rPr>
          <w:lang w:val="en-GB"/>
        </w:rPr>
        <w:t>,</w:t>
      </w:r>
      <w:r w:rsidRPr="001E3DE8">
        <w:rPr>
          <w:lang w:val="en-GB"/>
        </w:rPr>
        <w:t xml:space="preserve"> Recommendation 10.8</w:t>
      </w:r>
    </w:p>
  </w:footnote>
  <w:footnote w:id="251">
    <w:p w14:paraId="56E530D0" w14:textId="77777777" w:rsidR="00400F11" w:rsidRDefault="00400F11" w:rsidP="00400F11">
      <w:pPr>
        <w:pStyle w:val="FootnoteText"/>
      </w:pPr>
      <w:r w:rsidRPr="3814237B">
        <w:rPr>
          <w:rStyle w:val="FootnoteReference"/>
        </w:rPr>
        <w:footnoteRef/>
      </w:r>
      <w:r>
        <w:t xml:space="preserve"> Submission, Unregistered Provider</w:t>
      </w:r>
    </w:p>
  </w:footnote>
  <w:footnote w:id="252">
    <w:p w14:paraId="318E89C9" w14:textId="77777777" w:rsidR="00400F11" w:rsidRDefault="00400F11" w:rsidP="00400F11">
      <w:pPr>
        <w:pStyle w:val="FootnoteText"/>
      </w:pPr>
      <w:r w:rsidRPr="0D81A055">
        <w:rPr>
          <w:rStyle w:val="FootnoteReference"/>
        </w:rPr>
        <w:footnoteRef/>
      </w:r>
      <w:r>
        <w:t xml:space="preserve"> Submission, Unregistered Provider</w:t>
      </w:r>
    </w:p>
  </w:footnote>
  <w:footnote w:id="253">
    <w:p w14:paraId="421DF3BF" w14:textId="030A6162" w:rsidR="004A2CE4" w:rsidRDefault="004A2CE4">
      <w:pPr>
        <w:pStyle w:val="FootnoteText"/>
      </w:pPr>
      <w:r>
        <w:rPr>
          <w:rStyle w:val="FootnoteReference"/>
        </w:rPr>
        <w:footnoteRef/>
      </w:r>
      <w:r>
        <w:t xml:space="preserve"> </w:t>
      </w:r>
      <w:r w:rsidRPr="00163591">
        <w:t>April 2023 First Ministers agreed at National Cabinet see  </w:t>
      </w:r>
      <w:hyperlink r:id="rId44" w:history="1">
        <w:r w:rsidRPr="00163591">
          <w:rPr>
            <w:rStyle w:val="Hyperlink"/>
            <w:rFonts w:asciiTheme="minorHAnsi" w:hAnsiTheme="minorHAnsi"/>
          </w:rPr>
          <w:t>Meeting of the National Cabinet - A Better Future for the Federation | Prime Minister of Australia (pm.gov.au)</w:t>
        </w:r>
      </w:hyperlink>
    </w:p>
  </w:footnote>
  <w:footnote w:id="254">
    <w:p w14:paraId="7884EDB0" w14:textId="77777777" w:rsidR="00224B01" w:rsidRDefault="00224B01" w:rsidP="00224B01">
      <w:pPr>
        <w:pStyle w:val="FootnoteText"/>
      </w:pPr>
      <w:r w:rsidRPr="5C4F77F8">
        <w:rPr>
          <w:rStyle w:val="FootnoteReference"/>
        </w:rPr>
        <w:footnoteRef/>
      </w:r>
      <w:r>
        <w:t xml:space="preserve"> </w:t>
      </w:r>
      <w:r w:rsidRPr="5C4F77F8">
        <w:rPr>
          <w:i/>
          <w:iCs/>
        </w:rPr>
        <w:t xml:space="preserve">National Disability Insurance Scheme Act 2013 </w:t>
      </w:r>
      <w:r w:rsidRPr="5C4F77F8">
        <w:t>(Cth), s 181F.</w:t>
      </w:r>
    </w:p>
  </w:footnote>
  <w:footnote w:id="255">
    <w:p w14:paraId="74CFF959" w14:textId="77777777" w:rsidR="00280C36" w:rsidRDefault="00280C36" w:rsidP="00280C36">
      <w:pPr>
        <w:pStyle w:val="FootnoteText"/>
      </w:pPr>
      <w:r w:rsidRPr="45EC3863">
        <w:rPr>
          <w:rStyle w:val="FootnoteReference"/>
        </w:rPr>
        <w:footnoteRef/>
      </w:r>
      <w:r>
        <w:t xml:space="preserve"> </w:t>
      </w:r>
      <w:r w:rsidRPr="45EC3863">
        <w:rPr>
          <w:i/>
          <w:iCs/>
        </w:rPr>
        <w:t xml:space="preserve">National Disability Insurance Scheme Act 2013 </w:t>
      </w:r>
      <w:r w:rsidRPr="45EC3863">
        <w:t>(Cth), s 3(1).</w:t>
      </w:r>
    </w:p>
  </w:footnote>
  <w:footnote w:id="256">
    <w:p w14:paraId="1B51C3D1" w14:textId="77777777" w:rsidR="00224B01" w:rsidRDefault="00224B01" w:rsidP="00224B01">
      <w:pPr>
        <w:pStyle w:val="FootnoteText"/>
      </w:pPr>
      <w:r w:rsidRPr="45EC3863">
        <w:rPr>
          <w:rStyle w:val="FootnoteReference"/>
        </w:rPr>
        <w:footnoteRef/>
      </w:r>
      <w:r>
        <w:t xml:space="preserve"> </w:t>
      </w:r>
      <w:r w:rsidRPr="45EC3863">
        <w:rPr>
          <w:i/>
          <w:iCs/>
        </w:rPr>
        <w:t xml:space="preserve">National Disability Insurance Scheme (Provider Registration and Practice Standards) Rules 2018 </w:t>
      </w:r>
      <w:r w:rsidRPr="45EC3863">
        <w:t xml:space="preserve">(Cth), Preamble. </w:t>
      </w:r>
    </w:p>
  </w:footnote>
  <w:footnote w:id="257">
    <w:p w14:paraId="2AD1E279" w14:textId="77777777" w:rsidR="00224B01" w:rsidRDefault="00224B01" w:rsidP="00224B01">
      <w:pPr>
        <w:pStyle w:val="FootnoteText"/>
      </w:pPr>
      <w:r w:rsidRPr="116E5648">
        <w:rPr>
          <w:rStyle w:val="FootnoteReference"/>
        </w:rPr>
        <w:footnoteRef/>
      </w:r>
      <w:r>
        <w:t xml:space="preserve"> </w:t>
      </w:r>
      <w:r w:rsidRPr="116E5648">
        <w:rPr>
          <w:i/>
          <w:iCs/>
        </w:rPr>
        <w:t xml:space="preserve">National Disability Insurance Scheme (Complaints Management and Resolution) Rules 2018, </w:t>
      </w:r>
      <w:r w:rsidRPr="116E5648">
        <w:t>ss 15-19.</w:t>
      </w:r>
    </w:p>
  </w:footnote>
  <w:footnote w:id="258">
    <w:p w14:paraId="50EA029D" w14:textId="77777777" w:rsidR="00224B01" w:rsidRDefault="00224B01" w:rsidP="00224B01">
      <w:pPr>
        <w:pStyle w:val="FootnoteText"/>
      </w:pPr>
      <w:r w:rsidRPr="116E5648">
        <w:rPr>
          <w:rStyle w:val="FootnoteReference"/>
        </w:rPr>
        <w:footnoteRef/>
      </w:r>
      <w:r>
        <w:t xml:space="preserve"> </w:t>
      </w:r>
      <w:r w:rsidRPr="116E5648">
        <w:rPr>
          <w:i/>
          <w:iCs/>
        </w:rPr>
        <w:t xml:space="preserve">National Disability Insurance Scheme (Complaints Management and Resolution) Rules 2018, </w:t>
      </w:r>
      <w:r w:rsidRPr="116E5648">
        <w:t>ss 20 –25.</w:t>
      </w:r>
    </w:p>
  </w:footnote>
  <w:footnote w:id="259">
    <w:p w14:paraId="3C7325E4" w14:textId="77777777" w:rsidR="00224B01" w:rsidRDefault="00224B01" w:rsidP="00224B01">
      <w:pPr>
        <w:pStyle w:val="FootnoteText"/>
      </w:pPr>
      <w:r w:rsidRPr="116E5648">
        <w:rPr>
          <w:rStyle w:val="FootnoteReference"/>
        </w:rPr>
        <w:footnoteRef/>
      </w:r>
      <w:r>
        <w:t xml:space="preserve"> </w:t>
      </w:r>
      <w:r w:rsidRPr="116E5648">
        <w:rPr>
          <w:i/>
          <w:iCs/>
        </w:rPr>
        <w:t xml:space="preserve">National Disability Insurance Scheme (Complaints Management and Resolution) Rules 2018, </w:t>
      </w:r>
      <w:r w:rsidRPr="116E5648">
        <w:t xml:space="preserve">ss 26 – 28. </w:t>
      </w:r>
    </w:p>
  </w:footnote>
  <w:footnote w:id="260">
    <w:p w14:paraId="2881620A" w14:textId="77777777" w:rsidR="00224B01" w:rsidRDefault="00224B01" w:rsidP="00224B01">
      <w:pPr>
        <w:pStyle w:val="FootnoteText"/>
        <w:rPr>
          <w:i/>
          <w:iCs/>
        </w:rPr>
      </w:pPr>
      <w:r w:rsidRPr="116E5648">
        <w:rPr>
          <w:rStyle w:val="FootnoteReference"/>
        </w:rPr>
        <w:footnoteRef/>
      </w:r>
      <w:r>
        <w:t xml:space="preserve"> </w:t>
      </w:r>
      <w:r w:rsidRPr="116E5648">
        <w:rPr>
          <w:i/>
          <w:iCs/>
        </w:rPr>
        <w:t xml:space="preserve">National Disability Insurance Scheme (Complaints Management and Resolution) Rules 2018 </w:t>
      </w:r>
      <w:r w:rsidRPr="116E5648">
        <w:t>(Cth), s 16.</w:t>
      </w:r>
    </w:p>
  </w:footnote>
  <w:footnote w:id="261">
    <w:p w14:paraId="069AD4AE" w14:textId="77777777" w:rsidR="00224B01" w:rsidRDefault="00224B01" w:rsidP="00224B01">
      <w:pPr>
        <w:pStyle w:val="FootnoteText"/>
      </w:pPr>
      <w:r w:rsidRPr="116E5648">
        <w:rPr>
          <w:rStyle w:val="FootnoteReference"/>
        </w:rPr>
        <w:footnoteRef/>
      </w:r>
      <w:r>
        <w:t xml:space="preserve"> </w:t>
      </w:r>
      <w:r w:rsidRPr="116E5648">
        <w:rPr>
          <w:i/>
          <w:iCs/>
        </w:rPr>
        <w:t xml:space="preserve">National Disability Insurance Scheme (Complaints Management and Resolution) Rules 2018, </w:t>
      </w:r>
      <w:r w:rsidRPr="116E5648">
        <w:t>s 29(3).</w:t>
      </w:r>
    </w:p>
  </w:footnote>
  <w:footnote w:id="262">
    <w:p w14:paraId="7CDDCFC7" w14:textId="77777777" w:rsidR="00224B01" w:rsidRDefault="00224B01" w:rsidP="00224B01">
      <w:pPr>
        <w:pStyle w:val="FootnoteText"/>
      </w:pPr>
      <w:r w:rsidRPr="116E5648">
        <w:rPr>
          <w:rStyle w:val="FootnoteReference"/>
        </w:rPr>
        <w:footnoteRef/>
      </w:r>
      <w:r>
        <w:t xml:space="preserve"> </w:t>
      </w:r>
      <w:r w:rsidRPr="116E5648">
        <w:rPr>
          <w:i/>
          <w:iCs/>
        </w:rPr>
        <w:t xml:space="preserve">National Disability Insurance Scheme (Complaints Management and Resolution) Rules 2018, </w:t>
      </w:r>
      <w:r w:rsidRPr="116E5648">
        <w:t>s 29(4).</w:t>
      </w:r>
    </w:p>
  </w:footnote>
  <w:footnote w:id="263">
    <w:p w14:paraId="64790AD0" w14:textId="77777777" w:rsidR="00224B01" w:rsidRDefault="00224B01" w:rsidP="00224B01">
      <w:pPr>
        <w:pStyle w:val="FootnoteText"/>
      </w:pPr>
      <w:r w:rsidRPr="116E5648">
        <w:rPr>
          <w:rStyle w:val="FootnoteReference"/>
        </w:rPr>
        <w:footnoteRef/>
      </w:r>
      <w:r>
        <w:t xml:space="preserve"> </w:t>
      </w:r>
      <w:r w:rsidRPr="116E5648">
        <w:rPr>
          <w:i/>
          <w:iCs/>
        </w:rPr>
        <w:t xml:space="preserve">National Disability Insurance Scheme (Complaints Management and Resolution) Rules 2018, </w:t>
      </w:r>
      <w:r w:rsidRPr="116E5648">
        <w:t>s 29(5).</w:t>
      </w:r>
    </w:p>
  </w:footnote>
  <w:footnote w:id="264">
    <w:p w14:paraId="12A0C1A1" w14:textId="77777777" w:rsidR="00224B01" w:rsidRDefault="00224B01" w:rsidP="00224B01">
      <w:pPr>
        <w:pStyle w:val="FootnoteText"/>
      </w:pPr>
      <w:r w:rsidRPr="116E5648">
        <w:rPr>
          <w:rStyle w:val="FootnoteReference"/>
        </w:rPr>
        <w:footnoteRef/>
      </w:r>
      <w:r>
        <w:t xml:space="preserve"> </w:t>
      </w:r>
      <w:r w:rsidRPr="116E5648">
        <w:rPr>
          <w:i/>
          <w:iCs/>
        </w:rPr>
        <w:t xml:space="preserve">National Disability Insurance Scheme (Complaints Management and Resolution) Rules 2018, </w:t>
      </w:r>
      <w:r w:rsidRPr="116E5648">
        <w:t xml:space="preserve">s 29(6). </w:t>
      </w:r>
    </w:p>
  </w:footnote>
  <w:footnote w:id="265">
    <w:p w14:paraId="4DE78F5E" w14:textId="01018015" w:rsidR="00A010B3" w:rsidRDefault="00A010B3" w:rsidP="00A010B3">
      <w:pPr>
        <w:pStyle w:val="FootnoteText"/>
      </w:pPr>
      <w:r w:rsidRPr="34B3CE19">
        <w:rPr>
          <w:rStyle w:val="FootnoteReference"/>
        </w:rPr>
        <w:footnoteRef/>
      </w:r>
      <w:r>
        <w:t xml:space="preserve"> Submission, </w:t>
      </w:r>
      <w:r w:rsidR="00E97C7C">
        <w:t>Advocacy Organisation</w:t>
      </w:r>
    </w:p>
  </w:footnote>
  <w:footnote w:id="266">
    <w:p w14:paraId="4773EAB4" w14:textId="0B00DE8F" w:rsidR="00A010B3" w:rsidRDefault="00A010B3" w:rsidP="00A010B3">
      <w:pPr>
        <w:pStyle w:val="FootnoteText"/>
      </w:pPr>
      <w:r w:rsidRPr="3231C20B">
        <w:rPr>
          <w:rStyle w:val="FootnoteReference"/>
        </w:rPr>
        <w:footnoteRef/>
      </w:r>
      <w:r>
        <w:t xml:space="preserve"> Submission, </w:t>
      </w:r>
      <w:r w:rsidR="00A15C12">
        <w:t>Peak Body</w:t>
      </w:r>
    </w:p>
  </w:footnote>
  <w:footnote w:id="267">
    <w:p w14:paraId="05FE15EC" w14:textId="77777777" w:rsidR="00D464C7" w:rsidRPr="007D1AFB" w:rsidRDefault="00D464C7" w:rsidP="00D464C7">
      <w:pPr>
        <w:pStyle w:val="FootnoteText"/>
      </w:pPr>
      <w:r>
        <w:rPr>
          <w:rStyle w:val="FootnoteReference"/>
        </w:rPr>
        <w:footnoteRef/>
      </w:r>
      <w:r>
        <w:t xml:space="preserve"> Disability Royal Commission Final Report, vol. 11, p. 7</w:t>
      </w:r>
    </w:p>
  </w:footnote>
  <w:footnote w:id="268">
    <w:p w14:paraId="7F9BBCB2" w14:textId="77777777" w:rsidR="00D464C7" w:rsidRPr="007D1AFB" w:rsidRDefault="00D464C7" w:rsidP="00D464C7">
      <w:pPr>
        <w:pStyle w:val="FootnoteText"/>
      </w:pPr>
      <w:r>
        <w:rPr>
          <w:rStyle w:val="FootnoteReference"/>
        </w:rPr>
        <w:footnoteRef/>
      </w:r>
      <w:r>
        <w:t xml:space="preserve"> Disability Royal Commission, Final Report, vol. 11, p.7</w:t>
      </w:r>
    </w:p>
  </w:footnote>
  <w:footnote w:id="269">
    <w:p w14:paraId="14A30130" w14:textId="0CC5A40F" w:rsidR="00D464C7" w:rsidRPr="007D1AFB" w:rsidRDefault="00D464C7" w:rsidP="00D464C7">
      <w:pPr>
        <w:pStyle w:val="FootnoteText"/>
      </w:pPr>
      <w:r>
        <w:rPr>
          <w:rStyle w:val="FootnoteReference"/>
        </w:rPr>
        <w:footnoteRef/>
      </w:r>
      <w:r>
        <w:t xml:space="preserve"> </w:t>
      </w:r>
      <w:r w:rsidRPr="003E20F5">
        <w:rPr>
          <w:rFonts w:cstheme="minorHAnsi"/>
        </w:rPr>
        <w:t xml:space="preserve">The four reviews referenced in the Disability Royal Commission Final Report as valuing the CVS and their role as a quality and safeguarding mechanism were: WestwoodSpice Review, </w:t>
      </w:r>
      <w:hyperlink r:id="rId45" w:history="1">
        <w:r w:rsidRPr="003E20F5">
          <w:rPr>
            <w:rStyle w:val="Hyperlink"/>
            <w:rFonts w:asciiTheme="minorHAnsi" w:hAnsiTheme="minorHAnsi" w:cstheme="minorHAnsi"/>
          </w:rPr>
          <w:t>pdf-version-community-visitors-review_0.pdf (dss.gov.au)</w:t>
        </w:r>
      </w:hyperlink>
      <w:r w:rsidRPr="003E20F5">
        <w:rPr>
          <w:rFonts w:cstheme="minorHAnsi"/>
        </w:rPr>
        <w:t xml:space="preserve">; </w:t>
      </w:r>
      <w:hyperlink r:id="rId46" w:history="1">
        <w:r w:rsidRPr="003E20F5">
          <w:rPr>
            <w:rStyle w:val="Hyperlink"/>
            <w:rFonts w:asciiTheme="minorHAnsi" w:hAnsiTheme="minorHAnsi" w:cstheme="minorHAnsi"/>
          </w:rPr>
          <w:t>Robertson Review</w:t>
        </w:r>
      </w:hyperlink>
      <w:r w:rsidRPr="003E20F5">
        <w:rPr>
          <w:rFonts w:cstheme="minorHAnsi"/>
        </w:rPr>
        <w:t xml:space="preserve">; The Joint Standing Committee on the NDIS, </w:t>
      </w:r>
      <w:hyperlink r:id="rId47" w:history="1">
        <w:r w:rsidRPr="003E20F5">
          <w:rPr>
            <w:rStyle w:val="Hyperlink"/>
            <w:rFonts w:asciiTheme="minorHAnsi" w:hAnsiTheme="minorHAnsi" w:cstheme="minorHAnsi"/>
          </w:rPr>
          <w:t>Joint Standing Committee on the National Disability Insurance Scheme – Parliament of Australia (aph.gov.au)</w:t>
        </w:r>
      </w:hyperlink>
      <w:r w:rsidRPr="003E20F5">
        <w:rPr>
          <w:rFonts w:cstheme="minorHAnsi"/>
        </w:rPr>
        <w:t xml:space="preserve">;  and </w:t>
      </w:r>
      <w:hyperlink r:id="rId48" w:history="1">
        <w:r w:rsidRPr="003E20F5">
          <w:rPr>
            <w:rStyle w:val="Hyperlink"/>
            <w:rFonts w:asciiTheme="minorHAnsi" w:hAnsiTheme="minorHAnsi" w:cstheme="minorHAnsi"/>
          </w:rPr>
          <w:t>Report of the South Australian Safeguarding Task Force,</w:t>
        </w:r>
      </w:hyperlink>
      <w:r w:rsidRPr="003E20F5">
        <w:rPr>
          <w:rFonts w:cstheme="minorHAnsi"/>
        </w:rPr>
        <w:t xml:space="preserve"> </w:t>
      </w:r>
    </w:p>
  </w:footnote>
  <w:footnote w:id="270">
    <w:p w14:paraId="4C71401D" w14:textId="77777777" w:rsidR="00D464C7" w:rsidRPr="007D1AFB" w:rsidRDefault="00D464C7" w:rsidP="00D464C7">
      <w:pPr>
        <w:pStyle w:val="FootnoteText"/>
      </w:pPr>
      <w:r>
        <w:rPr>
          <w:rStyle w:val="FootnoteReference"/>
        </w:rPr>
        <w:footnoteRef/>
      </w:r>
      <w:r>
        <w:t xml:space="preserve"> Disability Royal Commission Final report, vol.11, p.128.</w:t>
      </w:r>
    </w:p>
  </w:footnote>
  <w:footnote w:id="271">
    <w:p w14:paraId="2FB582C9" w14:textId="77777777" w:rsidR="00D464C7" w:rsidRPr="007D1AFB" w:rsidRDefault="00D464C7" w:rsidP="00D464C7">
      <w:pPr>
        <w:pStyle w:val="FootnoteText"/>
      </w:pPr>
      <w:r>
        <w:rPr>
          <w:rStyle w:val="FootnoteReference"/>
        </w:rPr>
        <w:footnoteRef/>
      </w:r>
      <w:r>
        <w:t xml:space="preserve"> Recommendation 11.12, Disability Royal Commission Final Report, vol. 11, p.146.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1E95" w14:textId="7488219E" w:rsidR="00B90F03" w:rsidRDefault="00B90F03">
    <w:pPr>
      <w:pStyle w:val="Header"/>
    </w:pPr>
    <w:r>
      <w:rPr>
        <w:noProof/>
      </w:rPr>
      <mc:AlternateContent>
        <mc:Choice Requires="wps">
          <w:drawing>
            <wp:anchor distT="0" distB="0" distL="0" distR="0" simplePos="0" relativeHeight="251693062" behindDoc="0" locked="0" layoutInCell="1" allowOverlap="1" wp14:anchorId="257E9519" wp14:editId="66C7B998">
              <wp:simplePos x="635" y="635"/>
              <wp:positionH relativeFrom="page">
                <wp:align>center</wp:align>
              </wp:positionH>
              <wp:positionV relativeFrom="page">
                <wp:align>top</wp:align>
              </wp:positionV>
              <wp:extent cx="622300" cy="393700"/>
              <wp:effectExtent l="0" t="0" r="6350" b="6350"/>
              <wp:wrapNone/>
              <wp:docPr id="5223205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3700"/>
                      </a:xfrm>
                      <a:prstGeom prst="rect">
                        <a:avLst/>
                      </a:prstGeom>
                      <a:noFill/>
                      <a:ln>
                        <a:noFill/>
                      </a:ln>
                    </wps:spPr>
                    <wps:txbx>
                      <w:txbxContent>
                        <w:p w14:paraId="294EF66A" w14:textId="55501999" w:rsidR="00B90F03" w:rsidRPr="00B90F03" w:rsidRDefault="00B90F03" w:rsidP="00B90F03">
                          <w:pPr>
                            <w:spacing w:after="0"/>
                            <w:rPr>
                              <w:rFonts w:eastAsia="Aptos" w:cs="Aptos"/>
                              <w:noProof/>
                              <w:color w:val="FF0000"/>
                            </w:rPr>
                          </w:pPr>
                          <w:r w:rsidRPr="00B90F03">
                            <w:rPr>
                              <w:rFont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7E9519" id="_x0000_t202" coordsize="21600,21600" o:spt="202" path="m,l,21600r21600,l21600,xe">
              <v:stroke joinstyle="miter"/>
              <v:path gradientshapeok="t" o:connecttype="rect"/>
            </v:shapetype>
            <v:shape id="Text Box 2" o:spid="_x0000_s1026" type="#_x0000_t202" alt="OFFICIAL" style="position:absolute;margin-left:0;margin-top:0;width:49pt;height:31pt;z-index:2516930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" filled="f" stroked="f">
              <v:textbox style="mso-fit-shape-to-text:t" inset="0,15pt,0,0">
                <w:txbxContent>
                  <w:p w14:paraId="294EF66A" w14:textId="55501999" w:rsidR="00B90F03" w:rsidRPr="00B90F03" w:rsidRDefault="00B90F03" w:rsidP="00B90F03">
                    <w:pPr>
                      <w:spacing w:after="0"/>
                      <w:rPr>
                        <w:rFonts w:eastAsia="Aptos" w:cs="Aptos"/>
                        <w:noProof/>
                        <w:color w:val="FF0000"/>
                      </w:rPr>
                    </w:pPr>
                    <w:r w:rsidRPr="00B90F03">
                      <w:rPr>
                        <w:rFonts w:eastAsia="Aptos" w:cs="Aptos"/>
                        <w:noProof/>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E863" w14:textId="2B492E1D" w:rsidR="1F683786" w:rsidRPr="000D7574" w:rsidRDefault="000D7574" w:rsidP="000D7574">
    <w:r>
      <w:rPr>
        <w:noProof/>
      </w:rPr>
      <w:drawing>
        <wp:anchor distT="0" distB="0" distL="114300" distR="114300" simplePos="0" relativeHeight="251680774" behindDoc="1" locked="1" layoutInCell="1" allowOverlap="0" wp14:anchorId="645378FC" wp14:editId="317ADFC2">
          <wp:simplePos x="0" y="0"/>
          <wp:positionH relativeFrom="column">
            <wp:posOffset>5140960</wp:posOffset>
          </wp:positionH>
          <wp:positionV relativeFrom="page">
            <wp:posOffset>13970</wp:posOffset>
          </wp:positionV>
          <wp:extent cx="1500505" cy="1219200"/>
          <wp:effectExtent l="0" t="0" r="0" b="0"/>
          <wp:wrapNone/>
          <wp:docPr id="5547480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3169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0505" cy="121920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9373" w14:textId="46F0C163" w:rsidR="1F683786" w:rsidRPr="000D7574" w:rsidRDefault="000D7574" w:rsidP="000D7574">
    <w:pPr>
      <w:rPr>
        <w:lang w:val="en-GB"/>
      </w:rPr>
    </w:pPr>
    <w:r>
      <w:rPr>
        <w:noProof/>
      </w:rPr>
      <w:drawing>
        <wp:anchor distT="0" distB="0" distL="114300" distR="114300" simplePos="0" relativeHeight="251678726" behindDoc="1" locked="1" layoutInCell="1" allowOverlap="0" wp14:anchorId="3464B7FA" wp14:editId="1D37DF77">
          <wp:simplePos x="0" y="0"/>
          <wp:positionH relativeFrom="column">
            <wp:posOffset>5253355</wp:posOffset>
          </wp:positionH>
          <wp:positionV relativeFrom="page">
            <wp:posOffset>-17145</wp:posOffset>
          </wp:positionV>
          <wp:extent cx="1500505" cy="1219200"/>
          <wp:effectExtent l="0" t="0" r="0" b="0"/>
          <wp:wrapNone/>
          <wp:docPr id="11560080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3169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0505" cy="121920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0989" w14:textId="462D4B2A" w:rsidR="1F683786" w:rsidRPr="005A106F" w:rsidRDefault="005A106F" w:rsidP="005A106F">
    <w:r>
      <w:rPr>
        <w:noProof/>
      </w:rPr>
      <w:drawing>
        <wp:anchor distT="0" distB="0" distL="114300" distR="114300" simplePos="0" relativeHeight="251684870" behindDoc="1" locked="1" layoutInCell="1" allowOverlap="0" wp14:anchorId="74C4696E" wp14:editId="52A9649F">
          <wp:simplePos x="0" y="0"/>
          <wp:positionH relativeFrom="column">
            <wp:posOffset>5140960</wp:posOffset>
          </wp:positionH>
          <wp:positionV relativeFrom="page">
            <wp:posOffset>-17145</wp:posOffset>
          </wp:positionV>
          <wp:extent cx="1500505" cy="1219200"/>
          <wp:effectExtent l="0" t="0" r="0" b="0"/>
          <wp:wrapNone/>
          <wp:docPr id="14546766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3169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0505" cy="121920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AE25" w14:textId="05F32520" w:rsidR="1F683786" w:rsidRPr="005A106F" w:rsidRDefault="005A106F" w:rsidP="005A106F">
    <w:r>
      <w:rPr>
        <w:noProof/>
      </w:rPr>
      <w:drawing>
        <wp:anchor distT="0" distB="0" distL="114300" distR="114300" simplePos="0" relativeHeight="251682822" behindDoc="1" locked="1" layoutInCell="1" allowOverlap="0" wp14:anchorId="3B12114E" wp14:editId="5BE3F019">
          <wp:simplePos x="0" y="0"/>
          <wp:positionH relativeFrom="column">
            <wp:posOffset>5149215</wp:posOffset>
          </wp:positionH>
          <wp:positionV relativeFrom="page">
            <wp:posOffset>-17145</wp:posOffset>
          </wp:positionV>
          <wp:extent cx="1500505" cy="1219200"/>
          <wp:effectExtent l="0" t="0" r="0" b="0"/>
          <wp:wrapNone/>
          <wp:docPr id="10500703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3169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0505" cy="121920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8C0B" w14:textId="71BAE589" w:rsidR="1F683786" w:rsidRDefault="00943FF0" w:rsidP="00943FF0">
    <w:r>
      <w:rPr>
        <w:noProof/>
      </w:rPr>
      <w:drawing>
        <wp:anchor distT="0" distB="0" distL="114300" distR="114300" simplePos="0" relativeHeight="251688966" behindDoc="1" locked="1" layoutInCell="1" allowOverlap="0" wp14:anchorId="5CEA5D30" wp14:editId="2A04B4C7">
          <wp:simplePos x="0" y="0"/>
          <wp:positionH relativeFrom="column">
            <wp:posOffset>5140960</wp:posOffset>
          </wp:positionH>
          <wp:positionV relativeFrom="page">
            <wp:posOffset>-9525</wp:posOffset>
          </wp:positionV>
          <wp:extent cx="1500505" cy="1219200"/>
          <wp:effectExtent l="0" t="0" r="0" b="0"/>
          <wp:wrapNone/>
          <wp:docPr id="114140097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3169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0505" cy="121920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CAA7" w14:textId="52A33C1B" w:rsidR="1F683786" w:rsidRPr="00943FF0" w:rsidRDefault="00943FF0" w:rsidP="00C01024">
    <w:r w:rsidRPr="00943FF0">
      <w:rPr>
        <w:noProof/>
      </w:rPr>
      <w:drawing>
        <wp:anchor distT="0" distB="0" distL="114300" distR="114300" simplePos="0" relativeHeight="251686918" behindDoc="1" locked="1" layoutInCell="1" allowOverlap="0" wp14:anchorId="48C97A45" wp14:editId="5B45C9EC">
          <wp:simplePos x="0" y="0"/>
          <wp:positionH relativeFrom="column">
            <wp:posOffset>5197475</wp:posOffset>
          </wp:positionH>
          <wp:positionV relativeFrom="page">
            <wp:posOffset>-9525</wp:posOffset>
          </wp:positionV>
          <wp:extent cx="1500505" cy="1219200"/>
          <wp:effectExtent l="0" t="0" r="0" b="0"/>
          <wp:wrapNone/>
          <wp:docPr id="10982965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3169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0505" cy="121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F536" w14:textId="705CB753" w:rsidR="00EE6796" w:rsidRDefault="00B90F03" w:rsidP="00B210AC">
    <w:r>
      <w:rPr>
        <w:noProof/>
      </w:rPr>
      <mc:AlternateContent>
        <mc:Choice Requires="wps">
          <w:drawing>
            <wp:anchor distT="0" distB="0" distL="0" distR="0" simplePos="0" relativeHeight="251694086" behindDoc="0" locked="0" layoutInCell="1" allowOverlap="1" wp14:anchorId="2FF1CD89" wp14:editId="3040C7C4">
              <wp:simplePos x="635" y="635"/>
              <wp:positionH relativeFrom="page">
                <wp:align>center</wp:align>
              </wp:positionH>
              <wp:positionV relativeFrom="page">
                <wp:align>top</wp:align>
              </wp:positionV>
              <wp:extent cx="622300" cy="393700"/>
              <wp:effectExtent l="0" t="0" r="6350" b="6350"/>
              <wp:wrapNone/>
              <wp:docPr id="8118462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3700"/>
                      </a:xfrm>
                      <a:prstGeom prst="rect">
                        <a:avLst/>
                      </a:prstGeom>
                      <a:noFill/>
                      <a:ln>
                        <a:noFill/>
                      </a:ln>
                    </wps:spPr>
                    <wps:txbx>
                      <w:txbxContent>
                        <w:p w14:paraId="5368A591" w14:textId="70A48C55" w:rsidR="00B90F03" w:rsidRPr="00B90F03" w:rsidRDefault="00B90F03" w:rsidP="00B90F03">
                          <w:pPr>
                            <w:spacing w:after="0"/>
                            <w:rPr>
                              <w:rFonts w:eastAsia="Aptos" w:cs="Aptos"/>
                              <w:noProof/>
                              <w:color w:val="FF0000"/>
                            </w:rPr>
                          </w:pPr>
                          <w:r w:rsidRPr="00B90F03">
                            <w:rPr>
                              <w:rFont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F1CD89" id="_x0000_t202" coordsize="21600,21600" o:spt="202" path="m,l,21600r21600,l21600,xe">
              <v:stroke joinstyle="miter"/>
              <v:path gradientshapeok="t" o:connecttype="rect"/>
            </v:shapetype>
            <v:shape id="Text Box 3" o:spid="_x0000_s1027" type="#_x0000_t202" alt="OFFICIAL" style="position:absolute;margin-left:0;margin-top:0;width:49pt;height:31pt;z-index:2516940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" filled="f" stroked="f">
              <v:textbox style="mso-fit-shape-to-text:t" inset="0,15pt,0,0">
                <w:txbxContent>
                  <w:p w14:paraId="5368A591" w14:textId="70A48C55" w:rsidR="00B90F03" w:rsidRPr="00B90F03" w:rsidRDefault="00B90F03" w:rsidP="00B90F03">
                    <w:pPr>
                      <w:spacing w:after="0"/>
                      <w:rPr>
                        <w:rFonts w:eastAsia="Aptos" w:cs="Aptos"/>
                        <w:noProof/>
                        <w:color w:val="FF0000"/>
                      </w:rPr>
                    </w:pPr>
                    <w:r w:rsidRPr="00B90F03">
                      <w:rPr>
                        <w:rFonts w:eastAsia="Aptos" w:cs="Aptos"/>
                        <w:noProof/>
                        <w:color w:val="FF0000"/>
                      </w:rPr>
                      <w:t>OFFICIAL</w:t>
                    </w:r>
                  </w:p>
                </w:txbxContent>
              </v:textbox>
              <w10:wrap anchorx="page" anchory="page"/>
            </v:shape>
          </w:pict>
        </mc:Fallback>
      </mc:AlternateContent>
    </w:r>
    <w:r w:rsidR="00EE6796">
      <w:rPr>
        <w:noProof/>
      </w:rPr>
      <w:drawing>
        <wp:anchor distT="0" distB="0" distL="114300" distR="114300" simplePos="0" relativeHeight="251691014" behindDoc="1" locked="1" layoutInCell="1" allowOverlap="0" wp14:anchorId="6CCF75FD" wp14:editId="6DEE6245">
          <wp:simplePos x="0" y="0"/>
          <wp:positionH relativeFrom="column">
            <wp:posOffset>4737735</wp:posOffset>
          </wp:positionH>
          <wp:positionV relativeFrom="page">
            <wp:posOffset>0</wp:posOffset>
          </wp:positionV>
          <wp:extent cx="1891665" cy="1536700"/>
          <wp:effectExtent l="0" t="0" r="635" b="0"/>
          <wp:wrapNone/>
          <wp:docPr id="976404817" name="Picture 1" descr="A purple and grey rect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04817" name="Picture 1" descr="A purple and grey rectangles"/>
                  <pic:cNvPicPr/>
                </pic:nvPicPr>
                <pic:blipFill>
                  <a:blip r:embed="rId1">
                    <a:extLst>
                      <a:ext uri="{28A0092B-C50C-407E-A947-70E740481C1C}">
                        <a14:useLocalDpi xmlns:a14="http://schemas.microsoft.com/office/drawing/2010/main" val="0"/>
                      </a:ext>
                    </a:extLst>
                  </a:blip>
                  <a:stretch>
                    <a:fillRect/>
                  </a:stretch>
                </pic:blipFill>
                <pic:spPr>
                  <a:xfrm>
                    <a:off x="0" y="0"/>
                    <a:ext cx="1891665" cy="15367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A353" w14:textId="2655AFA9" w:rsidR="00B90F03" w:rsidRDefault="00B90F03">
    <w:pPr>
      <w:pStyle w:val="Header"/>
    </w:pPr>
    <w:r>
      <w:rPr>
        <w:noProof/>
      </w:rPr>
      <mc:AlternateContent>
        <mc:Choice Requires="wps">
          <w:drawing>
            <wp:anchor distT="0" distB="0" distL="0" distR="0" simplePos="0" relativeHeight="251692038" behindDoc="0" locked="0" layoutInCell="1" allowOverlap="1" wp14:anchorId="4040B3B9" wp14:editId="11127150">
              <wp:simplePos x="635" y="635"/>
              <wp:positionH relativeFrom="page">
                <wp:align>center</wp:align>
              </wp:positionH>
              <wp:positionV relativeFrom="page">
                <wp:align>top</wp:align>
              </wp:positionV>
              <wp:extent cx="622300" cy="393700"/>
              <wp:effectExtent l="0" t="0" r="6350" b="6350"/>
              <wp:wrapNone/>
              <wp:docPr id="1752634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3700"/>
                      </a:xfrm>
                      <a:prstGeom prst="rect">
                        <a:avLst/>
                      </a:prstGeom>
                      <a:noFill/>
                      <a:ln>
                        <a:noFill/>
                      </a:ln>
                    </wps:spPr>
                    <wps:txbx>
                      <w:txbxContent>
                        <w:p w14:paraId="484B8AE9" w14:textId="151CE510" w:rsidR="00B90F03" w:rsidRPr="00B90F03" w:rsidRDefault="00B90F03" w:rsidP="00B90F03">
                          <w:pPr>
                            <w:spacing w:after="0"/>
                            <w:rPr>
                              <w:rFonts w:eastAsia="Aptos" w:cs="Aptos"/>
                              <w:noProof/>
                              <w:color w:val="FF0000"/>
                            </w:rPr>
                          </w:pPr>
                          <w:r w:rsidRPr="00B90F03">
                            <w:rPr>
                              <w:rFont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0B3B9" id="_x0000_t202" coordsize="21600,21600" o:spt="202" path="m,l,21600r21600,l21600,xe">
              <v:stroke joinstyle="miter"/>
              <v:path gradientshapeok="t" o:connecttype="rect"/>
            </v:shapetype>
            <v:shape id="Text Box 1" o:spid="_x0000_s1029" type="#_x0000_t202" alt="OFFICIAL" style="position:absolute;margin-left:0;margin-top:0;width:49pt;height:31pt;z-index:2516920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" filled="f" stroked="f">
              <v:textbox style="mso-fit-shape-to-text:t" inset="0,15pt,0,0">
                <w:txbxContent>
                  <w:p w14:paraId="484B8AE9" w14:textId="151CE510" w:rsidR="00B90F03" w:rsidRPr="00B90F03" w:rsidRDefault="00B90F03" w:rsidP="00B90F03">
                    <w:pPr>
                      <w:spacing w:after="0"/>
                      <w:rPr>
                        <w:rFonts w:eastAsia="Aptos" w:cs="Aptos"/>
                        <w:noProof/>
                        <w:color w:val="FF0000"/>
                      </w:rPr>
                    </w:pPr>
                    <w:r w:rsidRPr="00B90F03">
                      <w:rPr>
                        <w:rFonts w:eastAsia="Aptos" w:cs="Aptos"/>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DCF2" w14:textId="0D7AE1B4" w:rsidR="1F683786" w:rsidRPr="00270FBB" w:rsidRDefault="00270FBB" w:rsidP="00270FBB">
    <w:pPr>
      <w:rPr>
        <w:b/>
        <w:bCs/>
        <w:lang w:val="en-GB"/>
      </w:rPr>
    </w:pPr>
    <w:r>
      <w:rPr>
        <w:noProof/>
      </w:rPr>
      <w:drawing>
        <wp:anchor distT="0" distB="0" distL="114300" distR="114300" simplePos="0" relativeHeight="251674630" behindDoc="1" locked="1" layoutInCell="1" allowOverlap="0" wp14:anchorId="0BCD6F05" wp14:editId="3E3171BC">
          <wp:simplePos x="0" y="0"/>
          <wp:positionH relativeFrom="column">
            <wp:posOffset>5157470</wp:posOffset>
          </wp:positionH>
          <wp:positionV relativeFrom="page">
            <wp:posOffset>-17145</wp:posOffset>
          </wp:positionV>
          <wp:extent cx="1500505" cy="1219200"/>
          <wp:effectExtent l="0" t="0" r="0" b="0"/>
          <wp:wrapNone/>
          <wp:docPr id="4879451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3169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0505" cy="12192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1CC3" w14:textId="07B001D4" w:rsidR="1F683786" w:rsidRDefault="00270FBB" w:rsidP="00D123D2">
    <w:pPr>
      <w:ind w:right="360"/>
    </w:pPr>
    <w:r>
      <w:rPr>
        <w:noProof/>
      </w:rPr>
      <w:drawing>
        <wp:anchor distT="0" distB="0" distL="114300" distR="114300" simplePos="0" relativeHeight="251676678" behindDoc="1" locked="1" layoutInCell="1" allowOverlap="0" wp14:anchorId="3EFC0569" wp14:editId="0642E29C">
          <wp:simplePos x="0" y="0"/>
          <wp:positionH relativeFrom="column">
            <wp:posOffset>5170170</wp:posOffset>
          </wp:positionH>
          <wp:positionV relativeFrom="page">
            <wp:posOffset>0</wp:posOffset>
          </wp:positionV>
          <wp:extent cx="1500505" cy="1219200"/>
          <wp:effectExtent l="0" t="0" r="0" b="0"/>
          <wp:wrapNone/>
          <wp:docPr id="16349509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6039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0505" cy="12192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0905" w14:textId="2975EA8A" w:rsidR="1F683786" w:rsidRPr="00FD10A9" w:rsidRDefault="00270FBB" w:rsidP="1F683786">
    <w:pPr>
      <w:pStyle w:val="Header"/>
      <w:rPr>
        <w:lang w:val="en-GB"/>
      </w:rPr>
    </w:pPr>
    <w:r>
      <w:rPr>
        <w:noProof/>
      </w:rPr>
      <w:drawing>
        <wp:anchor distT="0" distB="0" distL="114300" distR="114300" simplePos="0" relativeHeight="251670534" behindDoc="1" locked="1" layoutInCell="1" allowOverlap="0" wp14:anchorId="6758C870" wp14:editId="2BB3881A">
          <wp:simplePos x="0" y="0"/>
          <wp:positionH relativeFrom="column">
            <wp:posOffset>5140960</wp:posOffset>
          </wp:positionH>
          <wp:positionV relativeFrom="page">
            <wp:posOffset>13970</wp:posOffset>
          </wp:positionV>
          <wp:extent cx="1500505" cy="1219200"/>
          <wp:effectExtent l="0" t="0" r="0" b="0"/>
          <wp:wrapNone/>
          <wp:docPr id="20103126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3169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0505" cy="121920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EAAA" w14:textId="7A1A2B69" w:rsidR="1F683786" w:rsidRDefault="00270FBB" w:rsidP="000D7574">
    <w:r>
      <w:rPr>
        <w:noProof/>
      </w:rPr>
      <w:drawing>
        <wp:anchor distT="0" distB="0" distL="114300" distR="114300" simplePos="0" relativeHeight="251672582" behindDoc="1" locked="1" layoutInCell="1" allowOverlap="0" wp14:anchorId="2F167E78" wp14:editId="590053B4">
          <wp:simplePos x="0" y="0"/>
          <wp:positionH relativeFrom="column">
            <wp:posOffset>5173345</wp:posOffset>
          </wp:positionH>
          <wp:positionV relativeFrom="page">
            <wp:posOffset>-1270</wp:posOffset>
          </wp:positionV>
          <wp:extent cx="1500505" cy="1219200"/>
          <wp:effectExtent l="0" t="0" r="0" b="0"/>
          <wp:wrapNone/>
          <wp:docPr id="16669938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3169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0505" cy="121920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8B93" w14:textId="603952A0" w:rsidR="1F683786" w:rsidRDefault="00270FBB" w:rsidP="1F683786">
    <w:pPr>
      <w:pStyle w:val="Header"/>
    </w:pPr>
    <w:r>
      <w:rPr>
        <w:noProof/>
      </w:rPr>
      <w:drawing>
        <wp:anchor distT="0" distB="0" distL="114300" distR="114300" simplePos="0" relativeHeight="251666438" behindDoc="1" locked="1" layoutInCell="1" allowOverlap="0" wp14:anchorId="44CC42EF" wp14:editId="12239AF8">
          <wp:simplePos x="0" y="0"/>
          <wp:positionH relativeFrom="column">
            <wp:posOffset>5154930</wp:posOffset>
          </wp:positionH>
          <wp:positionV relativeFrom="page">
            <wp:posOffset>-23495</wp:posOffset>
          </wp:positionV>
          <wp:extent cx="1500505" cy="1219200"/>
          <wp:effectExtent l="0" t="0" r="0" b="0"/>
          <wp:wrapNone/>
          <wp:docPr id="16101985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3169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0505" cy="121920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2715" w14:textId="0640A066" w:rsidR="1F683786" w:rsidRDefault="00270FBB" w:rsidP="1F683786">
    <w:pPr>
      <w:pStyle w:val="Header"/>
    </w:pPr>
    <w:r>
      <w:rPr>
        <w:noProof/>
      </w:rPr>
      <w:drawing>
        <wp:anchor distT="0" distB="0" distL="114300" distR="114300" simplePos="0" relativeHeight="251668486" behindDoc="1" locked="1" layoutInCell="1" allowOverlap="0" wp14:anchorId="4F459ED5" wp14:editId="785619C1">
          <wp:simplePos x="0" y="0"/>
          <wp:positionH relativeFrom="column">
            <wp:posOffset>5197475</wp:posOffset>
          </wp:positionH>
          <wp:positionV relativeFrom="page">
            <wp:posOffset>-25400</wp:posOffset>
          </wp:positionV>
          <wp:extent cx="1500505" cy="1219200"/>
          <wp:effectExtent l="0" t="0" r="0" b="0"/>
          <wp:wrapNone/>
          <wp:docPr id="5751016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3169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0505" cy="12192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jdJV4UKhjax9IK" int2:id="4nSH4hZr">
      <int2:state int2:value="Rejected" int2:type="AugLoop_Text_Critique"/>
    </int2:textHash>
    <int2:textHash int2:hashCode="3LKmwW4BUxtthb" int2:id="B9yV6RvV">
      <int2:state int2:value="Rejected" int2:type="AugLoop_Text_Critique"/>
    </int2:textHash>
    <int2:textHash int2:hashCode="bLNw5K/RtBTj6A" int2:id="OAMWIlqi">
      <int2:state int2:value="Rejected" int2:type="AugLoop_Text_Critique"/>
    </int2:textHash>
    <int2:textHash int2:hashCode="K9X7Xd4L2h5wl4" int2:id="SqbKLt86">
      <int2:state int2:value="Rejected" int2:type="AugLoop_Text_Critique"/>
    </int2:textHash>
    <int2:textHash int2:hashCode="1It5biwSGhTTcT" int2:id="W6ujtnk5">
      <int2:state int2:value="Rejected" int2:type="AugLoop_Text_Critique"/>
    </int2:textHash>
    <int2:bookmark int2:bookmarkName="_Int_E9odUmF6" int2:invalidationBookmarkName="" int2:hashCode="tH82PitDDAZH8U" int2:id="BpEauWd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E1E12E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6646D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A317B"/>
    <w:multiLevelType w:val="hybridMultilevel"/>
    <w:tmpl w:val="8DD81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7A659F"/>
    <w:multiLevelType w:val="hybridMultilevel"/>
    <w:tmpl w:val="B536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C750C"/>
    <w:multiLevelType w:val="multilevel"/>
    <w:tmpl w:val="A35EE4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TSDAltHeading4"/>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2D7A6E"/>
    <w:multiLevelType w:val="hybridMultilevel"/>
    <w:tmpl w:val="B2E4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3914BE"/>
    <w:multiLevelType w:val="multilevel"/>
    <w:tmpl w:val="BC7A0F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721F52"/>
    <w:multiLevelType w:val="hybridMultilevel"/>
    <w:tmpl w:val="9C588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0116DE"/>
    <w:multiLevelType w:val="hybridMultilevel"/>
    <w:tmpl w:val="77C2C144"/>
    <w:lvl w:ilvl="0" w:tplc="765410A2">
      <w:start w:val="1"/>
      <w:numFmt w:val="decimal"/>
      <w:lvlText w:val="%1."/>
      <w:lvlJc w:val="left"/>
      <w:pPr>
        <w:ind w:left="720" w:hanging="360"/>
      </w:pPr>
      <w:rPr>
        <w:color w:val="auto"/>
      </w:rPr>
    </w:lvl>
    <w:lvl w:ilvl="1" w:tplc="0540C414">
      <w:start w:val="1"/>
      <w:numFmt w:val="lowerLetter"/>
      <w:lvlText w:val="%2."/>
      <w:lvlJc w:val="left"/>
      <w:pPr>
        <w:ind w:left="1440" w:hanging="360"/>
      </w:pPr>
      <w:rPr>
        <w:b w:val="0"/>
        <w:bCs/>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3912B61C">
      <w:start w:val="1"/>
      <w:numFmt w:val="lowerLetter"/>
      <w:lvlText w:val="%5."/>
      <w:lvlJc w:val="left"/>
      <w:pPr>
        <w:ind w:left="3600" w:hanging="360"/>
      </w:pPr>
    </w:lvl>
    <w:lvl w:ilvl="5" w:tplc="BD284232">
      <w:start w:val="1"/>
      <w:numFmt w:val="lowerRoman"/>
      <w:lvlText w:val="%6."/>
      <w:lvlJc w:val="right"/>
      <w:pPr>
        <w:ind w:left="4320" w:hanging="180"/>
      </w:pPr>
    </w:lvl>
    <w:lvl w:ilvl="6" w:tplc="DCF2B6A4">
      <w:start w:val="1"/>
      <w:numFmt w:val="decimal"/>
      <w:lvlText w:val="%7."/>
      <w:lvlJc w:val="left"/>
      <w:pPr>
        <w:ind w:left="5040" w:hanging="360"/>
      </w:pPr>
    </w:lvl>
    <w:lvl w:ilvl="7" w:tplc="3C3AE810">
      <w:start w:val="1"/>
      <w:numFmt w:val="lowerLetter"/>
      <w:lvlText w:val="%8."/>
      <w:lvlJc w:val="left"/>
      <w:pPr>
        <w:ind w:left="5760" w:hanging="360"/>
      </w:pPr>
    </w:lvl>
    <w:lvl w:ilvl="8" w:tplc="53484D2C">
      <w:start w:val="1"/>
      <w:numFmt w:val="lowerRoman"/>
      <w:lvlText w:val="%9."/>
      <w:lvlJc w:val="right"/>
      <w:pPr>
        <w:ind w:left="6480" w:hanging="180"/>
      </w:pPr>
    </w:lvl>
  </w:abstractNum>
  <w:abstractNum w:abstractNumId="9" w15:restartNumberingAfterBreak="0">
    <w:nsid w:val="175B2699"/>
    <w:multiLevelType w:val="multilevel"/>
    <w:tmpl w:val="BC7A0F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9977F1"/>
    <w:multiLevelType w:val="multilevel"/>
    <w:tmpl w:val="996AEA10"/>
    <w:lvl w:ilvl="0">
      <w:start w:val="1"/>
      <w:numFmt w:val="bullet"/>
      <w:lvlText w:val=""/>
      <w:lvlJc w:val="left"/>
      <w:pPr>
        <w:ind w:left="72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A2E7CE4"/>
    <w:multiLevelType w:val="hybridMultilevel"/>
    <w:tmpl w:val="0B7A92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AB07C4D"/>
    <w:multiLevelType w:val="hybridMultilevel"/>
    <w:tmpl w:val="1D583D20"/>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019ACC"/>
    <w:multiLevelType w:val="hybridMultilevel"/>
    <w:tmpl w:val="63CCEAE2"/>
    <w:lvl w:ilvl="0" w:tplc="7AD23CA8">
      <w:start w:val="1"/>
      <w:numFmt w:val="bullet"/>
      <w:lvlText w:val="-"/>
      <w:lvlJc w:val="left"/>
      <w:pPr>
        <w:ind w:left="360" w:hanging="360"/>
      </w:pPr>
      <w:rPr>
        <w:rFonts w:ascii="Aptos" w:hAnsi="Aptos" w:hint="default"/>
      </w:rPr>
    </w:lvl>
    <w:lvl w:ilvl="1" w:tplc="58703870">
      <w:start w:val="1"/>
      <w:numFmt w:val="bullet"/>
      <w:lvlText w:val="o"/>
      <w:lvlJc w:val="left"/>
      <w:pPr>
        <w:ind w:left="1080" w:hanging="360"/>
      </w:pPr>
      <w:rPr>
        <w:rFonts w:ascii="Courier New" w:hAnsi="Courier New" w:hint="default"/>
      </w:rPr>
    </w:lvl>
    <w:lvl w:ilvl="2" w:tplc="9DA8A422">
      <w:start w:val="1"/>
      <w:numFmt w:val="bullet"/>
      <w:lvlText w:val=""/>
      <w:lvlJc w:val="left"/>
      <w:pPr>
        <w:ind w:left="1800" w:hanging="360"/>
      </w:pPr>
      <w:rPr>
        <w:rFonts w:ascii="Wingdings" w:hAnsi="Wingdings" w:hint="default"/>
      </w:rPr>
    </w:lvl>
    <w:lvl w:ilvl="3" w:tplc="1A0A4890">
      <w:start w:val="1"/>
      <w:numFmt w:val="bullet"/>
      <w:lvlText w:val=""/>
      <w:lvlJc w:val="left"/>
      <w:pPr>
        <w:ind w:left="2520" w:hanging="360"/>
      </w:pPr>
      <w:rPr>
        <w:rFonts w:ascii="Symbol" w:hAnsi="Symbol" w:hint="default"/>
      </w:rPr>
    </w:lvl>
    <w:lvl w:ilvl="4" w:tplc="4266C096">
      <w:start w:val="1"/>
      <w:numFmt w:val="bullet"/>
      <w:lvlText w:val="o"/>
      <w:lvlJc w:val="left"/>
      <w:pPr>
        <w:ind w:left="3240" w:hanging="360"/>
      </w:pPr>
      <w:rPr>
        <w:rFonts w:ascii="Courier New" w:hAnsi="Courier New" w:hint="default"/>
      </w:rPr>
    </w:lvl>
    <w:lvl w:ilvl="5" w:tplc="EE781B3A">
      <w:start w:val="1"/>
      <w:numFmt w:val="bullet"/>
      <w:lvlText w:val=""/>
      <w:lvlJc w:val="left"/>
      <w:pPr>
        <w:ind w:left="3960" w:hanging="360"/>
      </w:pPr>
      <w:rPr>
        <w:rFonts w:ascii="Wingdings" w:hAnsi="Wingdings" w:hint="default"/>
      </w:rPr>
    </w:lvl>
    <w:lvl w:ilvl="6" w:tplc="FB64C42E">
      <w:start w:val="1"/>
      <w:numFmt w:val="bullet"/>
      <w:lvlText w:val=""/>
      <w:lvlJc w:val="left"/>
      <w:pPr>
        <w:ind w:left="4680" w:hanging="360"/>
      </w:pPr>
      <w:rPr>
        <w:rFonts w:ascii="Symbol" w:hAnsi="Symbol" w:hint="default"/>
      </w:rPr>
    </w:lvl>
    <w:lvl w:ilvl="7" w:tplc="8DF0B200">
      <w:start w:val="1"/>
      <w:numFmt w:val="bullet"/>
      <w:lvlText w:val="o"/>
      <w:lvlJc w:val="left"/>
      <w:pPr>
        <w:ind w:left="5400" w:hanging="360"/>
      </w:pPr>
      <w:rPr>
        <w:rFonts w:ascii="Courier New" w:hAnsi="Courier New" w:hint="default"/>
      </w:rPr>
    </w:lvl>
    <w:lvl w:ilvl="8" w:tplc="490241EC">
      <w:start w:val="1"/>
      <w:numFmt w:val="bullet"/>
      <w:lvlText w:val=""/>
      <w:lvlJc w:val="left"/>
      <w:pPr>
        <w:ind w:left="6120" w:hanging="360"/>
      </w:pPr>
      <w:rPr>
        <w:rFonts w:ascii="Wingdings" w:hAnsi="Wingdings" w:hint="default"/>
      </w:rPr>
    </w:lvl>
  </w:abstractNum>
  <w:abstractNum w:abstractNumId="14" w15:restartNumberingAfterBreak="0">
    <w:nsid w:val="1DC25610"/>
    <w:multiLevelType w:val="hybridMultilevel"/>
    <w:tmpl w:val="11204EF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DCF4C9C"/>
    <w:multiLevelType w:val="multilevel"/>
    <w:tmpl w:val="D478BBAA"/>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1E887903"/>
    <w:multiLevelType w:val="hybridMultilevel"/>
    <w:tmpl w:val="64324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AD11F2"/>
    <w:multiLevelType w:val="hybridMultilevel"/>
    <w:tmpl w:val="3CE2009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06A1E"/>
    <w:multiLevelType w:val="hybridMultilevel"/>
    <w:tmpl w:val="933870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2926332"/>
    <w:multiLevelType w:val="hybridMultilevel"/>
    <w:tmpl w:val="9F82E076"/>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40F1822"/>
    <w:multiLevelType w:val="multilevel"/>
    <w:tmpl w:val="E4DEA6E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61C4CCD"/>
    <w:multiLevelType w:val="hybridMultilevel"/>
    <w:tmpl w:val="54B2AD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BC25D88"/>
    <w:multiLevelType w:val="hybridMultilevel"/>
    <w:tmpl w:val="EF96EA6E"/>
    <w:lvl w:ilvl="0" w:tplc="05BA0E2E">
      <w:start w:val="1"/>
      <w:numFmt w:val="bullet"/>
      <w:lvlText w:val=""/>
      <w:lvlJc w:val="left"/>
      <w:pPr>
        <w:ind w:left="1080" w:hanging="360"/>
      </w:pPr>
      <w:rPr>
        <w:rFonts w:ascii="Symbol" w:hAnsi="Symbol" w:hint="default"/>
      </w:rPr>
    </w:lvl>
    <w:lvl w:ilvl="1" w:tplc="5978C720">
      <w:start w:val="1"/>
      <w:numFmt w:val="bullet"/>
      <w:lvlText w:val="o"/>
      <w:lvlJc w:val="left"/>
      <w:pPr>
        <w:ind w:left="1800" w:hanging="360"/>
      </w:pPr>
      <w:rPr>
        <w:rFonts w:ascii="Courier New" w:hAnsi="Courier New" w:hint="default"/>
      </w:rPr>
    </w:lvl>
    <w:lvl w:ilvl="2" w:tplc="B058D120" w:tentative="1">
      <w:start w:val="1"/>
      <w:numFmt w:val="bullet"/>
      <w:lvlText w:val=""/>
      <w:lvlJc w:val="left"/>
      <w:pPr>
        <w:ind w:left="2520" w:hanging="360"/>
      </w:pPr>
      <w:rPr>
        <w:rFonts w:ascii="Wingdings" w:hAnsi="Wingdings" w:hint="default"/>
      </w:rPr>
    </w:lvl>
    <w:lvl w:ilvl="3" w:tplc="6AACCEEE" w:tentative="1">
      <w:start w:val="1"/>
      <w:numFmt w:val="bullet"/>
      <w:lvlText w:val=""/>
      <w:lvlJc w:val="left"/>
      <w:pPr>
        <w:ind w:left="3240" w:hanging="360"/>
      </w:pPr>
      <w:rPr>
        <w:rFonts w:ascii="Symbol" w:hAnsi="Symbol" w:hint="default"/>
      </w:rPr>
    </w:lvl>
    <w:lvl w:ilvl="4" w:tplc="212E276E" w:tentative="1">
      <w:start w:val="1"/>
      <w:numFmt w:val="bullet"/>
      <w:lvlText w:val="o"/>
      <w:lvlJc w:val="left"/>
      <w:pPr>
        <w:ind w:left="3960" w:hanging="360"/>
      </w:pPr>
      <w:rPr>
        <w:rFonts w:ascii="Courier New" w:hAnsi="Courier New" w:hint="default"/>
      </w:rPr>
    </w:lvl>
    <w:lvl w:ilvl="5" w:tplc="1E88B712" w:tentative="1">
      <w:start w:val="1"/>
      <w:numFmt w:val="bullet"/>
      <w:lvlText w:val=""/>
      <w:lvlJc w:val="left"/>
      <w:pPr>
        <w:ind w:left="4680" w:hanging="360"/>
      </w:pPr>
      <w:rPr>
        <w:rFonts w:ascii="Wingdings" w:hAnsi="Wingdings" w:hint="default"/>
      </w:rPr>
    </w:lvl>
    <w:lvl w:ilvl="6" w:tplc="D4F4420E" w:tentative="1">
      <w:start w:val="1"/>
      <w:numFmt w:val="bullet"/>
      <w:lvlText w:val=""/>
      <w:lvlJc w:val="left"/>
      <w:pPr>
        <w:ind w:left="5400" w:hanging="360"/>
      </w:pPr>
      <w:rPr>
        <w:rFonts w:ascii="Symbol" w:hAnsi="Symbol" w:hint="default"/>
      </w:rPr>
    </w:lvl>
    <w:lvl w:ilvl="7" w:tplc="89D663C4" w:tentative="1">
      <w:start w:val="1"/>
      <w:numFmt w:val="bullet"/>
      <w:lvlText w:val="o"/>
      <w:lvlJc w:val="left"/>
      <w:pPr>
        <w:ind w:left="6120" w:hanging="360"/>
      </w:pPr>
      <w:rPr>
        <w:rFonts w:ascii="Courier New" w:hAnsi="Courier New" w:hint="default"/>
      </w:rPr>
    </w:lvl>
    <w:lvl w:ilvl="8" w:tplc="B6348832" w:tentative="1">
      <w:start w:val="1"/>
      <w:numFmt w:val="bullet"/>
      <w:lvlText w:val=""/>
      <w:lvlJc w:val="left"/>
      <w:pPr>
        <w:ind w:left="6840" w:hanging="360"/>
      </w:pPr>
      <w:rPr>
        <w:rFonts w:ascii="Wingdings" w:hAnsi="Wingdings" w:hint="default"/>
      </w:rPr>
    </w:lvl>
  </w:abstractNum>
  <w:abstractNum w:abstractNumId="23" w15:restartNumberingAfterBreak="0">
    <w:nsid w:val="2C9A4B91"/>
    <w:multiLevelType w:val="multilevel"/>
    <w:tmpl w:val="E4DEA6E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2D8A37D1"/>
    <w:multiLevelType w:val="hybridMultilevel"/>
    <w:tmpl w:val="0BDA12F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2DD17902"/>
    <w:multiLevelType w:val="multilevel"/>
    <w:tmpl w:val="D756B9F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2DD2188B"/>
    <w:multiLevelType w:val="multilevel"/>
    <w:tmpl w:val="89D2B93E"/>
    <w:lvl w:ilvl="0">
      <w:start w:val="1"/>
      <w:numFmt w:val="decimal"/>
      <w:pStyle w:val="Heading1"/>
      <w:lvlText w:val="%1."/>
      <w:lvlJc w:val="left"/>
      <w:pPr>
        <w:tabs>
          <w:tab w:val="num" w:pos="1134"/>
        </w:tabs>
        <w:ind w:left="1134" w:hanging="1134"/>
      </w:pPr>
      <w:rPr>
        <w:rFonts w:asciiTheme="majorHAnsi" w:hAnsiTheme="majorHAnsi" w:hint="default"/>
        <w:color w:val="156082" w:themeColor="accent1"/>
      </w:rPr>
    </w:lvl>
    <w:lvl w:ilvl="1">
      <w:start w:val="1"/>
      <w:numFmt w:val="decimal"/>
      <w:pStyle w:val="TSDAltHeading2"/>
      <w:lvlText w:val="%1.%2"/>
      <w:lvlJc w:val="left"/>
      <w:pPr>
        <w:tabs>
          <w:tab w:val="num" w:pos="1134"/>
        </w:tabs>
        <w:ind w:left="1134" w:hanging="1134"/>
      </w:pPr>
      <w:rPr>
        <w:rFonts w:asciiTheme="majorHAnsi" w:hAnsiTheme="majorHAnsi" w:hint="default"/>
        <w:color w:val="E97132" w:themeColor="accent2"/>
      </w:rPr>
    </w:lvl>
    <w:lvl w:ilvl="2">
      <w:start w:val="1"/>
      <w:numFmt w:val="decimal"/>
      <w:pStyle w:val="TSDAltHeading3"/>
      <w:lvlText w:val="%1.%2.%3"/>
      <w:lvlJc w:val="left"/>
      <w:pPr>
        <w:tabs>
          <w:tab w:val="num" w:pos="1134"/>
        </w:tabs>
        <w:ind w:left="1134" w:hanging="1134"/>
      </w:pPr>
      <w:rPr>
        <w:rFonts w:asciiTheme="majorHAnsi" w:hAnsiTheme="majorHAnsi" w:hint="default"/>
        <w:color w:val="156082" w:themeColor="accent1"/>
      </w:rPr>
    </w:lvl>
    <w:lvl w:ilvl="3">
      <w:start w:val="1"/>
      <w:numFmt w:val="decimal"/>
      <w:lvlText w:val="%1.%2.%3.%4"/>
      <w:lvlJc w:val="left"/>
      <w:pPr>
        <w:tabs>
          <w:tab w:val="num" w:pos="1134"/>
        </w:tabs>
        <w:ind w:left="1134" w:hanging="1134"/>
      </w:pPr>
      <w:rPr>
        <w:rFonts w:asciiTheme="majorHAnsi" w:hAnsiTheme="majorHAnsi" w:hint="default"/>
        <w:color w:val="E97132" w:themeColor="accent2"/>
        <w:sz w:val="24"/>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7" w15:restartNumberingAfterBreak="0">
    <w:nsid w:val="30FE399A"/>
    <w:multiLevelType w:val="multilevel"/>
    <w:tmpl w:val="BC7A0F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27E3F9B"/>
    <w:multiLevelType w:val="multilevel"/>
    <w:tmpl w:val="AC6C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2B2550"/>
    <w:multiLevelType w:val="hybridMultilevel"/>
    <w:tmpl w:val="0B7A92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36D36F2F"/>
    <w:multiLevelType w:val="multilevel"/>
    <w:tmpl w:val="FC5C004E"/>
    <w:lvl w:ilvl="0">
      <w:start w:val="1"/>
      <w:numFmt w:val="bullet"/>
      <w:lvlText w:val=""/>
      <w:lvlJc w:val="left"/>
      <w:pPr>
        <w:ind w:left="72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38B543E8"/>
    <w:multiLevelType w:val="multilevel"/>
    <w:tmpl w:val="BC7A0F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BF0F8E"/>
    <w:multiLevelType w:val="multilevel"/>
    <w:tmpl w:val="BC7A0F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A102856"/>
    <w:multiLevelType w:val="hybridMultilevel"/>
    <w:tmpl w:val="238AADC0"/>
    <w:lvl w:ilvl="0" w:tplc="08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A337107"/>
    <w:multiLevelType w:val="hybridMultilevel"/>
    <w:tmpl w:val="C1C2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37467A"/>
    <w:multiLevelType w:val="multilevel"/>
    <w:tmpl w:val="ECDA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953479"/>
    <w:multiLevelType w:val="multilevel"/>
    <w:tmpl w:val="E77AEA92"/>
    <w:lvl w:ilvl="0">
      <w:start w:val="1"/>
      <w:numFmt w:val="decimal"/>
      <w:lvlText w:val="%1."/>
      <w:lvlJc w:val="left"/>
      <w:pPr>
        <w:ind w:left="1440" w:hanging="360"/>
      </w:pPr>
      <w:rPr>
        <w:rFonts w:hint="default"/>
        <w:b w:val="0"/>
        <w:bCs w:val="0"/>
        <w:i w:val="0"/>
        <w:iCs w:val="0"/>
        <w:color w:val="5D5E60"/>
        <w:spacing w:val="0"/>
        <w:w w:val="99"/>
        <w:sz w:val="28"/>
        <w:szCs w:val="2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3E4C27C1"/>
    <w:multiLevelType w:val="hybridMultilevel"/>
    <w:tmpl w:val="7F00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A6374F"/>
    <w:multiLevelType w:val="multilevel"/>
    <w:tmpl w:val="05D295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3F0307F3"/>
    <w:multiLevelType w:val="hybridMultilevel"/>
    <w:tmpl w:val="6194DF70"/>
    <w:lvl w:ilvl="0" w:tplc="58703870">
      <w:start w:val="1"/>
      <w:numFmt w:val="bullet"/>
      <w:lvlText w:val="o"/>
      <w:lvlJc w:val="left"/>
      <w:pPr>
        <w:ind w:left="1800" w:hanging="360"/>
      </w:pPr>
      <w:rPr>
        <w:rFonts w:ascii="Courier New" w:hAnsi="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40844F6F"/>
    <w:multiLevelType w:val="multilevel"/>
    <w:tmpl w:val="1456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244BB9"/>
    <w:multiLevelType w:val="hybridMultilevel"/>
    <w:tmpl w:val="7AB268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3C512B"/>
    <w:multiLevelType w:val="hybridMultilevel"/>
    <w:tmpl w:val="16202A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3276344"/>
    <w:multiLevelType w:val="multilevel"/>
    <w:tmpl w:val="BC7A0F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1C37C7"/>
    <w:multiLevelType w:val="multilevel"/>
    <w:tmpl w:val="996AEA10"/>
    <w:lvl w:ilvl="0">
      <w:start w:val="1"/>
      <w:numFmt w:val="bullet"/>
      <w:lvlText w:val=""/>
      <w:lvlJc w:val="left"/>
      <w:pPr>
        <w:ind w:left="72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451909C5"/>
    <w:multiLevelType w:val="hybridMultilevel"/>
    <w:tmpl w:val="16261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67F2D14"/>
    <w:multiLevelType w:val="hybridMultilevel"/>
    <w:tmpl w:val="B45CD14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48274539"/>
    <w:multiLevelType w:val="multilevel"/>
    <w:tmpl w:val="2376E1D8"/>
    <w:lvl w:ilvl="0">
      <w:start w:val="1"/>
      <w:numFmt w:val="bullet"/>
      <w:lvlText w:val=""/>
      <w:lvlJc w:val="left"/>
      <w:pPr>
        <w:ind w:left="72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48C87461"/>
    <w:multiLevelType w:val="hybridMultilevel"/>
    <w:tmpl w:val="4A1438C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4A086AB4"/>
    <w:multiLevelType w:val="hybridMultilevel"/>
    <w:tmpl w:val="3F6EF27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4EAD02B5"/>
    <w:multiLevelType w:val="multilevel"/>
    <w:tmpl w:val="22F21FF0"/>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15:restartNumberingAfterBreak="0">
    <w:nsid w:val="4EE9145F"/>
    <w:multiLevelType w:val="multilevel"/>
    <w:tmpl w:val="F4D2C088"/>
    <w:styleLink w:val="Heading2NumberedList"/>
    <w:lvl w:ilvl="0">
      <w:start w:val="1"/>
      <w:numFmt w:val="decimal"/>
      <w:lvlText w:val="%1."/>
      <w:lvlJc w:val="left"/>
      <w:pPr>
        <w:ind w:left="720" w:hanging="360"/>
      </w:pPr>
      <w:rPr>
        <w:rFonts w:hint="default"/>
      </w:rPr>
    </w:lvl>
    <w:lvl w:ilvl="1">
      <w:start w:val="1"/>
      <w:numFmt w:val="lowerLetter"/>
      <w:lvlText w:val="%2."/>
      <w:lvlJc w:val="left"/>
      <w:pPr>
        <w:ind w:left="1353"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F5D595B"/>
    <w:multiLevelType w:val="hybridMultilevel"/>
    <w:tmpl w:val="CBFAE7E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0EA7019"/>
    <w:multiLevelType w:val="multilevel"/>
    <w:tmpl w:val="E4DEA6E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15:restartNumberingAfterBreak="0">
    <w:nsid w:val="51331643"/>
    <w:multiLevelType w:val="hybridMultilevel"/>
    <w:tmpl w:val="6EC4F4A2"/>
    <w:lvl w:ilvl="0" w:tplc="7B722744">
      <w:start w:val="1"/>
      <w:numFmt w:val="bullet"/>
      <w:lvlText w:val=""/>
      <w:lvlJc w:val="left"/>
      <w:pPr>
        <w:ind w:left="720" w:hanging="360"/>
      </w:pPr>
      <w:rPr>
        <w:rFonts w:ascii="Symbol" w:hAnsi="Symbol" w:hint="default"/>
      </w:rPr>
    </w:lvl>
    <w:lvl w:ilvl="1" w:tplc="B0B21918">
      <w:start w:val="1"/>
      <w:numFmt w:val="bullet"/>
      <w:lvlText w:val="o"/>
      <w:lvlJc w:val="left"/>
      <w:pPr>
        <w:ind w:left="1440" w:hanging="360"/>
      </w:pPr>
      <w:rPr>
        <w:rFonts w:ascii="Courier New" w:hAnsi="Courier New" w:hint="default"/>
      </w:rPr>
    </w:lvl>
    <w:lvl w:ilvl="2" w:tplc="0F92AE1A">
      <w:start w:val="1"/>
      <w:numFmt w:val="bullet"/>
      <w:lvlText w:val=""/>
      <w:lvlJc w:val="left"/>
      <w:pPr>
        <w:ind w:left="2160" w:hanging="360"/>
      </w:pPr>
      <w:rPr>
        <w:rFonts w:ascii="Wingdings" w:hAnsi="Wingdings" w:hint="default"/>
      </w:rPr>
    </w:lvl>
    <w:lvl w:ilvl="3" w:tplc="A65216B8">
      <w:start w:val="1"/>
      <w:numFmt w:val="bullet"/>
      <w:lvlText w:val=""/>
      <w:lvlJc w:val="left"/>
      <w:pPr>
        <w:ind w:left="2880" w:hanging="360"/>
      </w:pPr>
      <w:rPr>
        <w:rFonts w:ascii="Symbol" w:hAnsi="Symbol" w:hint="default"/>
      </w:rPr>
    </w:lvl>
    <w:lvl w:ilvl="4" w:tplc="0630A5CA">
      <w:start w:val="1"/>
      <w:numFmt w:val="bullet"/>
      <w:lvlText w:val="o"/>
      <w:lvlJc w:val="left"/>
      <w:pPr>
        <w:ind w:left="3600" w:hanging="360"/>
      </w:pPr>
      <w:rPr>
        <w:rFonts w:ascii="Courier New" w:hAnsi="Courier New" w:hint="default"/>
      </w:rPr>
    </w:lvl>
    <w:lvl w:ilvl="5" w:tplc="A16E7062">
      <w:start w:val="1"/>
      <w:numFmt w:val="bullet"/>
      <w:lvlText w:val=""/>
      <w:lvlJc w:val="left"/>
      <w:pPr>
        <w:ind w:left="4320" w:hanging="360"/>
      </w:pPr>
      <w:rPr>
        <w:rFonts w:ascii="Wingdings" w:hAnsi="Wingdings" w:hint="default"/>
      </w:rPr>
    </w:lvl>
    <w:lvl w:ilvl="6" w:tplc="F88226CA">
      <w:start w:val="1"/>
      <w:numFmt w:val="bullet"/>
      <w:lvlText w:val=""/>
      <w:lvlJc w:val="left"/>
      <w:pPr>
        <w:ind w:left="5040" w:hanging="360"/>
      </w:pPr>
      <w:rPr>
        <w:rFonts w:ascii="Symbol" w:hAnsi="Symbol" w:hint="default"/>
      </w:rPr>
    </w:lvl>
    <w:lvl w:ilvl="7" w:tplc="8A820880">
      <w:start w:val="1"/>
      <w:numFmt w:val="bullet"/>
      <w:lvlText w:val="o"/>
      <w:lvlJc w:val="left"/>
      <w:pPr>
        <w:ind w:left="5760" w:hanging="360"/>
      </w:pPr>
      <w:rPr>
        <w:rFonts w:ascii="Courier New" w:hAnsi="Courier New" w:hint="default"/>
      </w:rPr>
    </w:lvl>
    <w:lvl w:ilvl="8" w:tplc="82E4CC36">
      <w:start w:val="1"/>
      <w:numFmt w:val="bullet"/>
      <w:lvlText w:val=""/>
      <w:lvlJc w:val="left"/>
      <w:pPr>
        <w:ind w:left="6480" w:hanging="360"/>
      </w:pPr>
      <w:rPr>
        <w:rFonts w:ascii="Wingdings" w:hAnsi="Wingdings" w:hint="default"/>
      </w:rPr>
    </w:lvl>
  </w:abstractNum>
  <w:abstractNum w:abstractNumId="55" w15:restartNumberingAfterBreak="0">
    <w:nsid w:val="51EB5983"/>
    <w:multiLevelType w:val="hybridMultilevel"/>
    <w:tmpl w:val="3554491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2D46386"/>
    <w:multiLevelType w:val="hybridMultilevel"/>
    <w:tmpl w:val="C2247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5B71749"/>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86A243A"/>
    <w:multiLevelType w:val="hybridMultilevel"/>
    <w:tmpl w:val="0B7A92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5AB81B0E"/>
    <w:multiLevelType w:val="hybridMultilevel"/>
    <w:tmpl w:val="0B7A92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5BB20C4A"/>
    <w:multiLevelType w:val="hybridMultilevel"/>
    <w:tmpl w:val="5A78215C"/>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D440A0"/>
    <w:multiLevelType w:val="hybridMultilevel"/>
    <w:tmpl w:val="DDE08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F648DA4"/>
    <w:multiLevelType w:val="hybridMultilevel"/>
    <w:tmpl w:val="9A7C154C"/>
    <w:lvl w:ilvl="0" w:tplc="62746712">
      <w:start w:val="1"/>
      <w:numFmt w:val="bullet"/>
      <w:lvlText w:val=""/>
      <w:lvlJc w:val="left"/>
      <w:pPr>
        <w:ind w:left="720" w:hanging="360"/>
      </w:pPr>
      <w:rPr>
        <w:rFonts w:ascii="Symbol" w:hAnsi="Symbol" w:hint="default"/>
      </w:rPr>
    </w:lvl>
    <w:lvl w:ilvl="1" w:tplc="8FF415DC">
      <w:start w:val="1"/>
      <w:numFmt w:val="bullet"/>
      <w:lvlText w:val="o"/>
      <w:lvlJc w:val="left"/>
      <w:pPr>
        <w:ind w:left="1440" w:hanging="360"/>
      </w:pPr>
      <w:rPr>
        <w:rFonts w:ascii="Courier New" w:hAnsi="Courier New" w:hint="default"/>
      </w:rPr>
    </w:lvl>
    <w:lvl w:ilvl="2" w:tplc="D736BC8E">
      <w:start w:val="1"/>
      <w:numFmt w:val="bullet"/>
      <w:lvlText w:val=""/>
      <w:lvlJc w:val="left"/>
      <w:pPr>
        <w:ind w:left="2160" w:hanging="360"/>
      </w:pPr>
      <w:rPr>
        <w:rFonts w:ascii="Wingdings" w:hAnsi="Wingdings" w:hint="default"/>
      </w:rPr>
    </w:lvl>
    <w:lvl w:ilvl="3" w:tplc="0D7ED53A">
      <w:start w:val="1"/>
      <w:numFmt w:val="bullet"/>
      <w:lvlText w:val=""/>
      <w:lvlJc w:val="left"/>
      <w:pPr>
        <w:ind w:left="2880" w:hanging="360"/>
      </w:pPr>
      <w:rPr>
        <w:rFonts w:ascii="Symbol" w:hAnsi="Symbol" w:hint="default"/>
      </w:rPr>
    </w:lvl>
    <w:lvl w:ilvl="4" w:tplc="AFDAD630">
      <w:start w:val="1"/>
      <w:numFmt w:val="bullet"/>
      <w:lvlText w:val="o"/>
      <w:lvlJc w:val="left"/>
      <w:pPr>
        <w:ind w:left="3600" w:hanging="360"/>
      </w:pPr>
      <w:rPr>
        <w:rFonts w:ascii="Courier New" w:hAnsi="Courier New" w:hint="default"/>
      </w:rPr>
    </w:lvl>
    <w:lvl w:ilvl="5" w:tplc="83A83F1E">
      <w:start w:val="1"/>
      <w:numFmt w:val="bullet"/>
      <w:lvlText w:val=""/>
      <w:lvlJc w:val="left"/>
      <w:pPr>
        <w:ind w:left="4320" w:hanging="360"/>
      </w:pPr>
      <w:rPr>
        <w:rFonts w:ascii="Wingdings" w:hAnsi="Wingdings" w:hint="default"/>
      </w:rPr>
    </w:lvl>
    <w:lvl w:ilvl="6" w:tplc="F78EB926">
      <w:start w:val="1"/>
      <w:numFmt w:val="bullet"/>
      <w:lvlText w:val=""/>
      <w:lvlJc w:val="left"/>
      <w:pPr>
        <w:ind w:left="5040" w:hanging="360"/>
      </w:pPr>
      <w:rPr>
        <w:rFonts w:ascii="Symbol" w:hAnsi="Symbol" w:hint="default"/>
      </w:rPr>
    </w:lvl>
    <w:lvl w:ilvl="7" w:tplc="8C16B042">
      <w:start w:val="1"/>
      <w:numFmt w:val="bullet"/>
      <w:lvlText w:val="o"/>
      <w:lvlJc w:val="left"/>
      <w:pPr>
        <w:ind w:left="5760" w:hanging="360"/>
      </w:pPr>
      <w:rPr>
        <w:rFonts w:ascii="Courier New" w:hAnsi="Courier New" w:hint="default"/>
      </w:rPr>
    </w:lvl>
    <w:lvl w:ilvl="8" w:tplc="60645F68">
      <w:start w:val="1"/>
      <w:numFmt w:val="bullet"/>
      <w:lvlText w:val=""/>
      <w:lvlJc w:val="left"/>
      <w:pPr>
        <w:ind w:left="6480" w:hanging="360"/>
      </w:pPr>
      <w:rPr>
        <w:rFonts w:ascii="Wingdings" w:hAnsi="Wingdings" w:hint="default"/>
      </w:rPr>
    </w:lvl>
  </w:abstractNum>
  <w:abstractNum w:abstractNumId="63" w15:restartNumberingAfterBreak="0">
    <w:nsid w:val="5FF22021"/>
    <w:multiLevelType w:val="multilevel"/>
    <w:tmpl w:val="A6B2A4AA"/>
    <w:lvl w:ilvl="0">
      <w:start w:val="1"/>
      <w:numFmt w:val="bullet"/>
      <w:lvlText w:val="o"/>
      <w:lvlJc w:val="left"/>
      <w:pPr>
        <w:ind w:left="1440" w:hanging="360"/>
      </w:pPr>
      <w:rPr>
        <w:rFonts w:ascii="Courier New" w:hAnsi="Courier New"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15:restartNumberingAfterBreak="0">
    <w:nsid w:val="666A4FB7"/>
    <w:multiLevelType w:val="hybridMultilevel"/>
    <w:tmpl w:val="CBFAE7EA"/>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EB7414"/>
    <w:multiLevelType w:val="hybridMultilevel"/>
    <w:tmpl w:val="FC76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85721D1"/>
    <w:multiLevelType w:val="hybridMultilevel"/>
    <w:tmpl w:val="8222B60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A4D6AFA"/>
    <w:multiLevelType w:val="multilevel"/>
    <w:tmpl w:val="543C1C66"/>
    <w:lvl w:ilvl="0">
      <w:start w:val="1"/>
      <w:numFmt w:val="bullet"/>
      <w:lvlText w:val="o"/>
      <w:lvlJc w:val="left"/>
      <w:pPr>
        <w:ind w:left="1440" w:hanging="360"/>
      </w:pPr>
      <w:rPr>
        <w:rFonts w:ascii="Courier New" w:hAnsi="Courier New"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8" w15:restartNumberingAfterBreak="0">
    <w:nsid w:val="6A674685"/>
    <w:multiLevelType w:val="multilevel"/>
    <w:tmpl w:val="3F868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C2F05A1"/>
    <w:multiLevelType w:val="hybridMultilevel"/>
    <w:tmpl w:val="3B2ED380"/>
    <w:lvl w:ilvl="0" w:tplc="92E0432A">
      <w:start w:val="1"/>
      <w:numFmt w:val="lowerLetter"/>
      <w:lvlText w:val="%1."/>
      <w:lvlJc w:val="left"/>
      <w:pPr>
        <w:ind w:left="1495"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FE0283E"/>
    <w:multiLevelType w:val="multilevel"/>
    <w:tmpl w:val="22F21FF0"/>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1" w15:restartNumberingAfterBreak="0">
    <w:nsid w:val="72352360"/>
    <w:multiLevelType w:val="multilevel"/>
    <w:tmpl w:val="BC7A0F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2B267E3"/>
    <w:multiLevelType w:val="multilevel"/>
    <w:tmpl w:val="726C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CF52D3"/>
    <w:multiLevelType w:val="hybridMultilevel"/>
    <w:tmpl w:val="60C6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2EF7E07"/>
    <w:multiLevelType w:val="multilevel"/>
    <w:tmpl w:val="FB987CDC"/>
    <w:lvl w:ilvl="0">
      <w:start w:val="1"/>
      <w:numFmt w:val="lowerLetter"/>
      <w:lvlText w:val="%1)"/>
      <w:lvlJc w:val="left"/>
      <w:pPr>
        <w:ind w:left="360" w:firstLine="0"/>
      </w:pPr>
    </w:lvl>
    <w:lvl w:ilvl="1">
      <w:start w:val="1"/>
      <w:numFmt w:val="lowerRoman"/>
      <w:lvlText w:val="%2."/>
      <w:lvlJc w:val="left"/>
      <w:pPr>
        <w:ind w:left="1080" w:firstLine="0"/>
      </w:pPr>
      <w:rPr>
        <w:rFonts w:asciiTheme="minorHAnsi" w:hAnsiTheme="minorHAnsi" w:hint="default"/>
        <w:b w:val="0"/>
        <w:i w:val="0"/>
        <w:caps w:val="0"/>
        <w:strike w:val="0"/>
        <w:dstrike w:val="0"/>
        <w:vanish w:val="0"/>
        <w:color w:val="000000" w:themeColor="text1"/>
        <w:sz w:val="24"/>
        <w:u w:val="none"/>
        <w:vertAlign w:val="baseline"/>
      </w:rPr>
    </w:lvl>
    <w:lvl w:ilvl="2">
      <w:start w:val="1"/>
      <w:numFmt w:val="decimal"/>
      <w:lvlText w:val="%3."/>
      <w:lvlJc w:val="left"/>
      <w:pPr>
        <w:ind w:left="1800" w:firstLine="0"/>
      </w:pPr>
      <w:rPr>
        <w:rFonts w:hint="default"/>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pStyle w:val="Heading6"/>
      <w:lvlText w:val="(%6)"/>
      <w:lvlJc w:val="left"/>
      <w:pPr>
        <w:ind w:left="3960" w:firstLine="0"/>
      </w:pPr>
      <w:rPr>
        <w:rFonts w:hint="default"/>
      </w:rPr>
    </w:lvl>
    <w:lvl w:ilvl="6">
      <w:start w:val="1"/>
      <w:numFmt w:val="lowerRoman"/>
      <w:pStyle w:val="Heading7"/>
      <w:lvlText w:val="(%7)"/>
      <w:lvlJc w:val="left"/>
      <w:pPr>
        <w:ind w:left="4680" w:firstLine="0"/>
      </w:pPr>
      <w:rPr>
        <w:rFonts w:hint="default"/>
      </w:rPr>
    </w:lvl>
    <w:lvl w:ilvl="7">
      <w:start w:val="1"/>
      <w:numFmt w:val="lowerLetter"/>
      <w:pStyle w:val="Heading8"/>
      <w:lvlText w:val="(%8)"/>
      <w:lvlJc w:val="left"/>
      <w:pPr>
        <w:ind w:left="5400" w:firstLine="0"/>
      </w:pPr>
      <w:rPr>
        <w:rFonts w:hint="default"/>
      </w:rPr>
    </w:lvl>
    <w:lvl w:ilvl="8">
      <w:start w:val="1"/>
      <w:numFmt w:val="lowerRoman"/>
      <w:pStyle w:val="Heading9"/>
      <w:lvlText w:val="(%9)"/>
      <w:lvlJc w:val="left"/>
      <w:pPr>
        <w:ind w:left="6120" w:firstLine="0"/>
      </w:pPr>
      <w:rPr>
        <w:rFonts w:hint="default"/>
      </w:rPr>
    </w:lvl>
  </w:abstractNum>
  <w:abstractNum w:abstractNumId="75" w15:restartNumberingAfterBreak="0">
    <w:nsid w:val="73F84343"/>
    <w:multiLevelType w:val="multilevel"/>
    <w:tmpl w:val="5BB2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4C46182"/>
    <w:multiLevelType w:val="hybridMultilevel"/>
    <w:tmpl w:val="2C783F60"/>
    <w:lvl w:ilvl="0" w:tplc="6044650A">
      <w:start w:val="1"/>
      <w:numFmt w:val="decimal"/>
      <w:lvlText w:val="%1."/>
      <w:lvlJc w:val="left"/>
      <w:pPr>
        <w:ind w:left="720" w:hanging="360"/>
      </w:pPr>
    </w:lvl>
    <w:lvl w:ilvl="1" w:tplc="C08E822C">
      <w:start w:val="1"/>
      <w:numFmt w:val="lowerLetter"/>
      <w:lvlText w:val="%2."/>
      <w:lvlJc w:val="left"/>
      <w:pPr>
        <w:ind w:left="1440" w:hanging="360"/>
      </w:pPr>
      <w:rPr>
        <w:b w:val="0"/>
        <w:bCs/>
      </w:rPr>
    </w:lvl>
    <w:lvl w:ilvl="2" w:tplc="34642F9A">
      <w:start w:val="1"/>
      <w:numFmt w:val="lowerRoman"/>
      <w:lvlText w:val="%3."/>
      <w:lvlJc w:val="right"/>
      <w:pPr>
        <w:ind w:left="2160" w:hanging="180"/>
      </w:pPr>
    </w:lvl>
    <w:lvl w:ilvl="3" w:tplc="97BA3E38">
      <w:start w:val="1"/>
      <w:numFmt w:val="decimal"/>
      <w:lvlText w:val="%4."/>
      <w:lvlJc w:val="left"/>
      <w:pPr>
        <w:ind w:left="2880" w:hanging="360"/>
      </w:pPr>
    </w:lvl>
    <w:lvl w:ilvl="4" w:tplc="66D6766E">
      <w:start w:val="1"/>
      <w:numFmt w:val="lowerLetter"/>
      <w:lvlText w:val="%5."/>
      <w:lvlJc w:val="left"/>
      <w:pPr>
        <w:ind w:left="3600" w:hanging="360"/>
      </w:pPr>
    </w:lvl>
    <w:lvl w:ilvl="5" w:tplc="FC609246">
      <w:start w:val="1"/>
      <w:numFmt w:val="lowerRoman"/>
      <w:lvlText w:val="%6."/>
      <w:lvlJc w:val="right"/>
      <w:pPr>
        <w:ind w:left="4320" w:hanging="180"/>
      </w:pPr>
    </w:lvl>
    <w:lvl w:ilvl="6" w:tplc="2D28B80A">
      <w:start w:val="1"/>
      <w:numFmt w:val="decimal"/>
      <w:lvlText w:val="%7."/>
      <w:lvlJc w:val="left"/>
      <w:pPr>
        <w:ind w:left="5040" w:hanging="360"/>
      </w:pPr>
    </w:lvl>
    <w:lvl w:ilvl="7" w:tplc="0B60CE5A">
      <w:start w:val="1"/>
      <w:numFmt w:val="lowerLetter"/>
      <w:lvlText w:val="%8."/>
      <w:lvlJc w:val="left"/>
      <w:pPr>
        <w:ind w:left="5760" w:hanging="360"/>
      </w:pPr>
    </w:lvl>
    <w:lvl w:ilvl="8" w:tplc="09E84B5A">
      <w:start w:val="1"/>
      <w:numFmt w:val="lowerRoman"/>
      <w:lvlText w:val="%9."/>
      <w:lvlJc w:val="right"/>
      <w:pPr>
        <w:ind w:left="6480" w:hanging="180"/>
      </w:pPr>
    </w:lvl>
  </w:abstractNum>
  <w:abstractNum w:abstractNumId="77" w15:restartNumberingAfterBreak="0">
    <w:nsid w:val="785D6373"/>
    <w:multiLevelType w:val="multilevel"/>
    <w:tmpl w:val="22F21FF0"/>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8" w15:restartNumberingAfterBreak="0">
    <w:nsid w:val="79A4502B"/>
    <w:multiLevelType w:val="hybridMultilevel"/>
    <w:tmpl w:val="221A8AA8"/>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79DA68CC"/>
    <w:multiLevelType w:val="hybridMultilevel"/>
    <w:tmpl w:val="56068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B1A5F99"/>
    <w:multiLevelType w:val="hybridMultilevel"/>
    <w:tmpl w:val="83584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BEF5231"/>
    <w:multiLevelType w:val="multilevel"/>
    <w:tmpl w:val="E5AC79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2" w15:restartNumberingAfterBreak="0">
    <w:nsid w:val="7F1C25EA"/>
    <w:multiLevelType w:val="multilevel"/>
    <w:tmpl w:val="22F21FF0"/>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305092900">
    <w:abstractNumId w:val="76"/>
  </w:num>
  <w:num w:numId="2" w16cid:durableId="1205948110">
    <w:abstractNumId w:val="51"/>
  </w:num>
  <w:num w:numId="3" w16cid:durableId="1000766737">
    <w:abstractNumId w:val="57"/>
  </w:num>
  <w:num w:numId="4" w16cid:durableId="1569340152">
    <w:abstractNumId w:val="13"/>
  </w:num>
  <w:num w:numId="5" w16cid:durableId="1274631157">
    <w:abstractNumId w:val="81"/>
  </w:num>
  <w:num w:numId="6" w16cid:durableId="116923143">
    <w:abstractNumId w:val="2"/>
  </w:num>
  <w:num w:numId="7" w16cid:durableId="1221868345">
    <w:abstractNumId w:val="22"/>
  </w:num>
  <w:num w:numId="8" w16cid:durableId="186871947">
    <w:abstractNumId w:val="54"/>
  </w:num>
  <w:num w:numId="9" w16cid:durableId="2005812516">
    <w:abstractNumId w:val="28"/>
  </w:num>
  <w:num w:numId="10" w16cid:durableId="1577670959">
    <w:abstractNumId w:val="62"/>
  </w:num>
  <w:num w:numId="11" w16cid:durableId="1437604704">
    <w:abstractNumId w:val="1"/>
  </w:num>
  <w:num w:numId="12" w16cid:durableId="666515349">
    <w:abstractNumId w:val="0"/>
  </w:num>
  <w:num w:numId="13" w16cid:durableId="1615093536">
    <w:abstractNumId w:val="8"/>
  </w:num>
  <w:num w:numId="14" w16cid:durableId="1514152772">
    <w:abstractNumId w:val="5"/>
  </w:num>
  <w:num w:numId="15" w16cid:durableId="1108041027">
    <w:abstractNumId w:val="74"/>
  </w:num>
  <w:num w:numId="16" w16cid:durableId="1385063595">
    <w:abstractNumId w:val="27"/>
  </w:num>
  <w:num w:numId="17" w16cid:durableId="102767468">
    <w:abstractNumId w:val="31"/>
  </w:num>
  <w:num w:numId="18" w16cid:durableId="176235500">
    <w:abstractNumId w:val="43"/>
  </w:num>
  <w:num w:numId="19" w16cid:durableId="1963222023">
    <w:abstractNumId w:val="32"/>
  </w:num>
  <w:num w:numId="20" w16cid:durableId="744914914">
    <w:abstractNumId w:val="45"/>
  </w:num>
  <w:num w:numId="21" w16cid:durableId="47459980">
    <w:abstractNumId w:val="64"/>
  </w:num>
  <w:num w:numId="22" w16cid:durableId="21413401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2987623">
    <w:abstractNumId w:val="71"/>
  </w:num>
  <w:num w:numId="24" w16cid:durableId="776753871">
    <w:abstractNumId w:val="9"/>
  </w:num>
  <w:num w:numId="25" w16cid:durableId="1460344339">
    <w:abstractNumId w:val="4"/>
  </w:num>
  <w:num w:numId="26" w16cid:durableId="1498422313">
    <w:abstractNumId w:val="6"/>
  </w:num>
  <w:num w:numId="27" w16cid:durableId="400828896">
    <w:abstractNumId w:val="39"/>
  </w:num>
  <w:num w:numId="28" w16cid:durableId="970675728">
    <w:abstractNumId w:val="15"/>
  </w:num>
  <w:num w:numId="29" w16cid:durableId="1547134624">
    <w:abstractNumId w:val="63"/>
  </w:num>
  <w:num w:numId="30" w16cid:durableId="570696407">
    <w:abstractNumId w:val="46"/>
  </w:num>
  <w:num w:numId="31" w16cid:durableId="493110265">
    <w:abstractNumId w:val="25"/>
  </w:num>
  <w:num w:numId="32" w16cid:durableId="357588964">
    <w:abstractNumId w:val="24"/>
  </w:num>
  <w:num w:numId="33" w16cid:durableId="719785323">
    <w:abstractNumId w:val="80"/>
  </w:num>
  <w:num w:numId="34" w16cid:durableId="2009213137">
    <w:abstractNumId w:val="50"/>
  </w:num>
  <w:num w:numId="35" w16cid:durableId="91053151">
    <w:abstractNumId w:val="82"/>
  </w:num>
  <w:num w:numId="36" w16cid:durableId="900025158">
    <w:abstractNumId w:val="70"/>
  </w:num>
  <w:num w:numId="37" w16cid:durableId="601381333">
    <w:abstractNumId w:val="77"/>
  </w:num>
  <w:num w:numId="38" w16cid:durableId="1270577731">
    <w:abstractNumId w:val="67"/>
  </w:num>
  <w:num w:numId="39" w16cid:durableId="1377386777">
    <w:abstractNumId w:val="47"/>
  </w:num>
  <w:num w:numId="40" w16cid:durableId="1312372725">
    <w:abstractNumId w:val="36"/>
  </w:num>
  <w:num w:numId="41" w16cid:durableId="2035954855">
    <w:abstractNumId w:val="48"/>
  </w:num>
  <w:num w:numId="42" w16cid:durableId="1115095859">
    <w:abstractNumId w:val="78"/>
  </w:num>
  <w:num w:numId="43" w16cid:durableId="1299457435">
    <w:abstractNumId w:val="60"/>
  </w:num>
  <w:num w:numId="44" w16cid:durableId="1039669006">
    <w:abstractNumId w:val="17"/>
  </w:num>
  <w:num w:numId="45" w16cid:durableId="1062942041">
    <w:abstractNumId w:val="19"/>
  </w:num>
  <w:num w:numId="46" w16cid:durableId="522674459">
    <w:abstractNumId w:val="59"/>
  </w:num>
  <w:num w:numId="47" w16cid:durableId="325475219">
    <w:abstractNumId w:val="11"/>
  </w:num>
  <w:num w:numId="48" w16cid:durableId="1819810117">
    <w:abstractNumId w:val="58"/>
  </w:num>
  <w:num w:numId="49" w16cid:durableId="1293369252">
    <w:abstractNumId w:val="52"/>
  </w:num>
  <w:num w:numId="50" w16cid:durableId="772748154">
    <w:abstractNumId w:val="53"/>
  </w:num>
  <w:num w:numId="51" w16cid:durableId="64377638">
    <w:abstractNumId w:val="20"/>
  </w:num>
  <w:num w:numId="52" w16cid:durableId="637225892">
    <w:abstractNumId w:val="69"/>
  </w:num>
  <w:num w:numId="53" w16cid:durableId="895897236">
    <w:abstractNumId w:val="55"/>
  </w:num>
  <w:num w:numId="54" w16cid:durableId="2061441678">
    <w:abstractNumId w:val="26"/>
    <w:lvlOverride w:ilvl="0">
      <w:lvl w:ilvl="0">
        <w:start w:val="1"/>
        <w:numFmt w:val="decimal"/>
        <w:pStyle w:val="Heading1"/>
        <w:lvlText w:val="%1."/>
        <w:lvlJc w:val="left"/>
        <w:pPr>
          <w:tabs>
            <w:tab w:val="num" w:pos="1134"/>
          </w:tabs>
          <w:ind w:left="1134" w:hanging="1134"/>
        </w:pPr>
        <w:rPr>
          <w:rFonts w:asciiTheme="majorHAnsi" w:hAnsiTheme="majorHAnsi" w:cstheme="majorHAnsi" w:hint="default"/>
          <w:color w:val="30305B"/>
        </w:rPr>
      </w:lvl>
    </w:lvlOverride>
    <w:lvlOverride w:ilvl="1">
      <w:lvl w:ilvl="1">
        <w:start w:val="1"/>
        <w:numFmt w:val="decimal"/>
        <w:pStyle w:val="TSDAltHeading2"/>
        <w:lvlText w:val="%1.%2"/>
        <w:lvlJc w:val="left"/>
        <w:pPr>
          <w:tabs>
            <w:tab w:val="num" w:pos="1134"/>
          </w:tabs>
          <w:ind w:left="1134" w:hanging="1134"/>
        </w:pPr>
        <w:rPr>
          <w:rFonts w:asciiTheme="minorHAnsi" w:hAnsiTheme="minorHAnsi" w:cstheme="minorHAnsi" w:hint="default"/>
          <w:color w:val="30305B"/>
        </w:rPr>
      </w:lvl>
    </w:lvlOverride>
    <w:lvlOverride w:ilvl="2">
      <w:lvl w:ilvl="2">
        <w:start w:val="1"/>
        <w:numFmt w:val="decimal"/>
        <w:pStyle w:val="TSDAltHeading3"/>
        <w:lvlText w:val="%1.%2.%3"/>
        <w:lvlJc w:val="left"/>
        <w:pPr>
          <w:tabs>
            <w:tab w:val="num" w:pos="1134"/>
          </w:tabs>
          <w:ind w:left="1134" w:hanging="1134"/>
        </w:pPr>
      </w:lvl>
    </w:lvlOverride>
    <w:lvlOverride w:ilvl="3">
      <w:lvl w:ilvl="3">
        <w:start w:val="1"/>
        <w:numFmt w:val="decimal"/>
        <w:lvlText w:val="%1.%2.%3.%4"/>
        <w:lvlJc w:val="left"/>
        <w:pPr>
          <w:tabs>
            <w:tab w:val="num" w:pos="1134"/>
          </w:tabs>
          <w:ind w:left="1134" w:hanging="1134"/>
        </w:pPr>
      </w:lvl>
    </w:lvlOverride>
    <w:lvlOverride w:ilvl="4">
      <w:lvl w:ilvl="4">
        <w:start w:val="1"/>
        <w:numFmt w:val="decimal"/>
        <w:lvlText w:val="%1.%2.%3.%4.%5"/>
        <w:lvlJc w:val="left"/>
        <w:pPr>
          <w:tabs>
            <w:tab w:val="num" w:pos="1134"/>
          </w:tabs>
          <w:ind w:left="1134" w:hanging="1134"/>
        </w:pPr>
        <w:rPr>
          <w:rFonts w:asciiTheme="minorHAnsi" w:hAnsiTheme="minorHAnsi" w:cstheme="minorHAnsi" w:hint="default"/>
          <w:b/>
          <w:bCs/>
          <w:color w:val="auto"/>
          <w:sz w:val="20"/>
        </w:rPr>
      </w:lvl>
    </w:lvlOverride>
    <w:lvlOverride w:ilvl="5">
      <w:lvl w:ilvl="5">
        <w:start w:val="1"/>
        <w:numFmt w:val="none"/>
        <w:lvlText w:val=""/>
        <w:lvlJc w:val="left"/>
        <w:pPr>
          <w:ind w:left="-32767"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space"/>
        <w:lvlText w:val=""/>
        <w:lvlJc w:val="left"/>
        <w:pPr>
          <w:ind w:left="0" w:firstLine="0"/>
        </w:pPr>
        <w:rPr>
          <w:rFonts w:hint="default"/>
        </w:rPr>
      </w:lvl>
    </w:lvlOverride>
  </w:num>
  <w:num w:numId="55" w16cid:durableId="1359425317">
    <w:abstractNumId w:val="26"/>
    <w:lvlOverride w:ilvl="0">
      <w:startOverride w:val="1"/>
      <w:lvl w:ilvl="0">
        <w:start w:val="1"/>
        <w:numFmt w:val="decimal"/>
        <w:pStyle w:val="Heading1"/>
        <w:lvlText w:val="%1."/>
        <w:lvlJc w:val="left"/>
        <w:pPr>
          <w:tabs>
            <w:tab w:val="num" w:pos="1134"/>
          </w:tabs>
          <w:ind w:left="1134" w:hanging="1134"/>
        </w:pPr>
        <w:rPr>
          <w:rFonts w:asciiTheme="majorHAnsi" w:hAnsiTheme="majorHAnsi" w:cstheme="majorHAnsi" w:hint="default"/>
          <w:color w:val="30305B"/>
        </w:rPr>
      </w:lvl>
    </w:lvlOverride>
    <w:lvlOverride w:ilvl="1">
      <w:startOverride w:val="1"/>
      <w:lvl w:ilvl="1">
        <w:start w:val="1"/>
        <w:numFmt w:val="decimal"/>
        <w:pStyle w:val="TSDAltHeading2"/>
        <w:lvlText w:val="%1.%2"/>
        <w:lvlJc w:val="left"/>
        <w:pPr>
          <w:tabs>
            <w:tab w:val="num" w:pos="1134"/>
          </w:tabs>
          <w:ind w:left="1134" w:hanging="1134"/>
        </w:pPr>
        <w:rPr>
          <w:rFonts w:asciiTheme="minorHAnsi" w:hAnsiTheme="minorHAnsi" w:cstheme="minorHAnsi" w:hint="default"/>
          <w:color w:val="30305B"/>
        </w:rPr>
      </w:lvl>
    </w:lvlOverride>
    <w:lvlOverride w:ilvl="2">
      <w:startOverride w:val="1"/>
      <w:lvl w:ilvl="2">
        <w:start w:val="1"/>
        <w:numFmt w:val="decimal"/>
        <w:pStyle w:val="TSDAltHeading3"/>
        <w:lvlText w:val="%1.%2.%3"/>
        <w:lvlJc w:val="left"/>
        <w:pPr>
          <w:tabs>
            <w:tab w:val="num" w:pos="1134"/>
          </w:tabs>
          <w:ind w:left="1134" w:hanging="1134"/>
        </w:pPr>
      </w:lvl>
    </w:lvlOverride>
    <w:lvlOverride w:ilvl="3">
      <w:startOverride w:val="1"/>
      <w:lvl w:ilvl="3">
        <w:start w:val="1"/>
        <w:numFmt w:val="decimal"/>
        <w:lvlText w:val="%1.%2.%3.%4"/>
        <w:lvlJc w:val="left"/>
        <w:pPr>
          <w:tabs>
            <w:tab w:val="num" w:pos="1134"/>
          </w:tabs>
          <w:ind w:left="1134" w:hanging="1134"/>
        </w:pPr>
      </w:lvl>
    </w:lvlOverride>
    <w:lvlOverride w:ilvl="4">
      <w:startOverride w:val="1"/>
      <w:lvl w:ilvl="4">
        <w:start w:val="1"/>
        <w:numFmt w:val="decimal"/>
        <w:lvlText w:val="%1.%2.%3.%4.%5"/>
        <w:lvlJc w:val="left"/>
        <w:pPr>
          <w:tabs>
            <w:tab w:val="num" w:pos="1134"/>
          </w:tabs>
          <w:ind w:left="1134" w:hanging="1134"/>
        </w:pPr>
        <w:rPr>
          <w:rFonts w:asciiTheme="minorHAnsi" w:hAnsiTheme="minorHAnsi" w:cstheme="minorHAnsi" w:hint="default"/>
          <w:b/>
          <w:bCs/>
          <w:color w:val="auto"/>
          <w:sz w:val="20"/>
        </w:rPr>
      </w:lvl>
    </w:lvlOverride>
    <w:lvlOverride w:ilvl="5">
      <w:startOverride w:val="1"/>
      <w:lvl w:ilvl="5">
        <w:start w:val="1"/>
        <w:numFmt w:val="none"/>
        <w:lvlText w:val=""/>
        <w:lvlJc w:val="left"/>
        <w:pPr>
          <w:ind w:left="-32767"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space"/>
        <w:lvlText w:val=""/>
        <w:lvlJc w:val="left"/>
        <w:pPr>
          <w:ind w:left="0" w:firstLine="0"/>
        </w:pPr>
        <w:rPr>
          <w:rFonts w:hint="default"/>
        </w:rPr>
      </w:lvl>
    </w:lvlOverride>
  </w:num>
  <w:num w:numId="56" w16cid:durableId="661159470">
    <w:abstractNumId w:val="3"/>
  </w:num>
  <w:num w:numId="57" w16cid:durableId="979531205">
    <w:abstractNumId w:val="65"/>
  </w:num>
  <w:num w:numId="58" w16cid:durableId="376904483">
    <w:abstractNumId w:val="37"/>
  </w:num>
  <w:num w:numId="59" w16cid:durableId="2102097856">
    <w:abstractNumId w:val="44"/>
  </w:num>
  <w:num w:numId="60" w16cid:durableId="867258974">
    <w:abstractNumId w:val="10"/>
  </w:num>
  <w:num w:numId="61" w16cid:durableId="1302468518">
    <w:abstractNumId w:val="79"/>
  </w:num>
  <w:num w:numId="62" w16cid:durableId="1731879691">
    <w:abstractNumId w:val="61"/>
  </w:num>
  <w:num w:numId="63" w16cid:durableId="374357219">
    <w:abstractNumId w:val="16"/>
  </w:num>
  <w:num w:numId="64" w16cid:durableId="1878200690">
    <w:abstractNumId w:val="14"/>
  </w:num>
  <w:num w:numId="65" w16cid:durableId="507522954">
    <w:abstractNumId w:val="42"/>
  </w:num>
  <w:num w:numId="66" w16cid:durableId="919212827">
    <w:abstractNumId w:val="49"/>
  </w:num>
  <w:num w:numId="67" w16cid:durableId="653224578">
    <w:abstractNumId w:val="34"/>
  </w:num>
  <w:num w:numId="68" w16cid:durableId="796679352">
    <w:abstractNumId w:val="56"/>
  </w:num>
  <w:num w:numId="69" w16cid:durableId="1715077943">
    <w:abstractNumId w:val="73"/>
  </w:num>
  <w:num w:numId="70" w16cid:durableId="933365496">
    <w:abstractNumId w:val="33"/>
  </w:num>
  <w:num w:numId="71" w16cid:durableId="983047646">
    <w:abstractNumId w:val="30"/>
  </w:num>
  <w:num w:numId="72" w16cid:durableId="2003043344">
    <w:abstractNumId w:val="12"/>
  </w:num>
  <w:num w:numId="73" w16cid:durableId="553471078">
    <w:abstractNumId w:val="18"/>
  </w:num>
  <w:num w:numId="74" w16cid:durableId="995188755">
    <w:abstractNumId w:val="35"/>
  </w:num>
  <w:num w:numId="75" w16cid:durableId="58023587">
    <w:abstractNumId w:val="72"/>
  </w:num>
  <w:num w:numId="76" w16cid:durableId="129831991">
    <w:abstractNumId w:val="68"/>
  </w:num>
  <w:num w:numId="77" w16cid:durableId="1600870131">
    <w:abstractNumId w:val="40"/>
  </w:num>
  <w:num w:numId="78" w16cid:durableId="13699961">
    <w:abstractNumId w:val="75"/>
  </w:num>
  <w:num w:numId="79" w16cid:durableId="468865351">
    <w:abstractNumId w:val="29"/>
  </w:num>
  <w:num w:numId="80" w16cid:durableId="734817130">
    <w:abstractNumId w:val="38"/>
  </w:num>
  <w:num w:numId="81" w16cid:durableId="1819954888">
    <w:abstractNumId w:val="7"/>
  </w:num>
  <w:num w:numId="82" w16cid:durableId="965701666">
    <w:abstractNumId w:val="26"/>
    <w:lvlOverride w:ilvl="0">
      <w:lvl w:ilvl="0">
        <w:start w:val="1"/>
        <w:numFmt w:val="decimal"/>
        <w:pStyle w:val="Heading1"/>
        <w:lvlText w:val="%1."/>
        <w:lvlJc w:val="left"/>
        <w:pPr>
          <w:tabs>
            <w:tab w:val="num" w:pos="1134"/>
          </w:tabs>
          <w:ind w:left="1134" w:hanging="1134"/>
        </w:pPr>
        <w:rPr>
          <w:rFonts w:asciiTheme="majorHAnsi" w:hAnsiTheme="majorHAnsi" w:cstheme="majorHAnsi" w:hint="default"/>
          <w:color w:val="30305B"/>
        </w:rPr>
      </w:lvl>
    </w:lvlOverride>
    <w:lvlOverride w:ilvl="1">
      <w:lvl w:ilvl="1">
        <w:start w:val="1"/>
        <w:numFmt w:val="decimal"/>
        <w:pStyle w:val="TSDAltHeading2"/>
        <w:lvlText w:val="%1.%2"/>
        <w:lvlJc w:val="left"/>
        <w:pPr>
          <w:tabs>
            <w:tab w:val="num" w:pos="1134"/>
          </w:tabs>
          <w:ind w:left="1134" w:hanging="1134"/>
        </w:pPr>
        <w:rPr>
          <w:rFonts w:asciiTheme="minorHAnsi" w:hAnsiTheme="minorHAnsi" w:cstheme="minorHAnsi" w:hint="default"/>
          <w:color w:val="30305B"/>
        </w:rPr>
      </w:lvl>
    </w:lvlOverride>
    <w:lvlOverride w:ilvl="2">
      <w:lvl w:ilvl="2">
        <w:start w:val="1"/>
        <w:numFmt w:val="decimal"/>
        <w:pStyle w:val="TSDAltHeading3"/>
        <w:lvlText w:val="%1.%2.%3"/>
        <w:lvlJc w:val="left"/>
        <w:pPr>
          <w:tabs>
            <w:tab w:val="num" w:pos="1134"/>
          </w:tabs>
          <w:ind w:left="1134" w:hanging="1134"/>
        </w:pPr>
      </w:lvl>
    </w:lvlOverride>
    <w:lvlOverride w:ilvl="3">
      <w:lvl w:ilvl="3">
        <w:start w:val="1"/>
        <w:numFmt w:val="decimal"/>
        <w:lvlText w:val="%1.%2.%3.%4"/>
        <w:lvlJc w:val="left"/>
        <w:pPr>
          <w:tabs>
            <w:tab w:val="num" w:pos="1134"/>
          </w:tabs>
          <w:ind w:left="1134" w:hanging="1134"/>
        </w:pPr>
      </w:lvl>
    </w:lvlOverride>
    <w:lvlOverride w:ilvl="4">
      <w:lvl w:ilvl="4">
        <w:start w:val="1"/>
        <w:numFmt w:val="decimal"/>
        <w:lvlText w:val="%1.%2.%3.%4.%5"/>
        <w:lvlJc w:val="left"/>
        <w:pPr>
          <w:tabs>
            <w:tab w:val="num" w:pos="1134"/>
          </w:tabs>
          <w:ind w:left="1134" w:hanging="1134"/>
        </w:pPr>
        <w:rPr>
          <w:rFonts w:asciiTheme="minorHAnsi" w:hAnsiTheme="minorHAnsi" w:cstheme="minorHAnsi" w:hint="default"/>
          <w:b/>
          <w:bCs/>
          <w:color w:val="auto"/>
          <w:sz w:val="20"/>
        </w:rPr>
      </w:lvl>
    </w:lvlOverride>
    <w:lvlOverride w:ilvl="5">
      <w:lvl w:ilvl="5">
        <w:start w:val="1"/>
        <w:numFmt w:val="none"/>
        <w:lvlText w:val=""/>
        <w:lvlJc w:val="left"/>
        <w:pPr>
          <w:ind w:left="-32767"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space"/>
        <w:lvlText w:val=""/>
        <w:lvlJc w:val="left"/>
        <w:pPr>
          <w:ind w:left="0" w:firstLine="0"/>
        </w:pPr>
        <w:rPr>
          <w:rFonts w:hint="default"/>
        </w:rPr>
      </w:lvl>
    </w:lvlOverride>
  </w:num>
  <w:num w:numId="83" w16cid:durableId="195705651">
    <w:abstractNumId w:val="66"/>
  </w:num>
  <w:num w:numId="84" w16cid:durableId="157501676">
    <w:abstractNumId w:val="41"/>
  </w:num>
  <w:num w:numId="85" w16cid:durableId="136336723">
    <w:abstractNumId w:val="2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B0"/>
    <w:rsid w:val="0000045A"/>
    <w:rsid w:val="00000F3C"/>
    <w:rsid w:val="0000107F"/>
    <w:rsid w:val="000018EC"/>
    <w:rsid w:val="00002142"/>
    <w:rsid w:val="000021C4"/>
    <w:rsid w:val="000033C0"/>
    <w:rsid w:val="00003434"/>
    <w:rsid w:val="000034D1"/>
    <w:rsid w:val="00003565"/>
    <w:rsid w:val="000038EF"/>
    <w:rsid w:val="000039E5"/>
    <w:rsid w:val="00003CFE"/>
    <w:rsid w:val="00003E07"/>
    <w:rsid w:val="00003FB6"/>
    <w:rsid w:val="000045B4"/>
    <w:rsid w:val="000046EA"/>
    <w:rsid w:val="000048EE"/>
    <w:rsid w:val="000060BB"/>
    <w:rsid w:val="000066BE"/>
    <w:rsid w:val="00006A45"/>
    <w:rsid w:val="0000705E"/>
    <w:rsid w:val="00007470"/>
    <w:rsid w:val="00007507"/>
    <w:rsid w:val="00007993"/>
    <w:rsid w:val="00007D44"/>
    <w:rsid w:val="00007D81"/>
    <w:rsid w:val="00007F5C"/>
    <w:rsid w:val="00010430"/>
    <w:rsid w:val="00010508"/>
    <w:rsid w:val="00010773"/>
    <w:rsid w:val="000107FA"/>
    <w:rsid w:val="00010B46"/>
    <w:rsid w:val="00010C01"/>
    <w:rsid w:val="00011767"/>
    <w:rsid w:val="00011866"/>
    <w:rsid w:val="000119A5"/>
    <w:rsid w:val="00012255"/>
    <w:rsid w:val="00012BF8"/>
    <w:rsid w:val="00012EC8"/>
    <w:rsid w:val="00013A7B"/>
    <w:rsid w:val="00013AE6"/>
    <w:rsid w:val="00013CCD"/>
    <w:rsid w:val="00013E19"/>
    <w:rsid w:val="0001420D"/>
    <w:rsid w:val="00014556"/>
    <w:rsid w:val="00014F2D"/>
    <w:rsid w:val="00015132"/>
    <w:rsid w:val="000154D6"/>
    <w:rsid w:val="0001560C"/>
    <w:rsid w:val="0001574B"/>
    <w:rsid w:val="00015965"/>
    <w:rsid w:val="00015C08"/>
    <w:rsid w:val="0001608A"/>
    <w:rsid w:val="000160DB"/>
    <w:rsid w:val="0001629B"/>
    <w:rsid w:val="000166CF"/>
    <w:rsid w:val="00017282"/>
    <w:rsid w:val="00017402"/>
    <w:rsid w:val="000178D1"/>
    <w:rsid w:val="00017D06"/>
    <w:rsid w:val="00017D35"/>
    <w:rsid w:val="00017DEE"/>
    <w:rsid w:val="00020680"/>
    <w:rsid w:val="00020EFA"/>
    <w:rsid w:val="00020F73"/>
    <w:rsid w:val="00021356"/>
    <w:rsid w:val="0002151D"/>
    <w:rsid w:val="00021A77"/>
    <w:rsid w:val="000220F8"/>
    <w:rsid w:val="00022AED"/>
    <w:rsid w:val="000230A2"/>
    <w:rsid w:val="00023320"/>
    <w:rsid w:val="0002343E"/>
    <w:rsid w:val="00024011"/>
    <w:rsid w:val="0002434D"/>
    <w:rsid w:val="000247D6"/>
    <w:rsid w:val="00025258"/>
    <w:rsid w:val="0002552A"/>
    <w:rsid w:val="00025922"/>
    <w:rsid w:val="00026798"/>
    <w:rsid w:val="00027752"/>
    <w:rsid w:val="00027A03"/>
    <w:rsid w:val="00027A5B"/>
    <w:rsid w:val="0003014C"/>
    <w:rsid w:val="0003060D"/>
    <w:rsid w:val="000306C0"/>
    <w:rsid w:val="000307F9"/>
    <w:rsid w:val="00030DBC"/>
    <w:rsid w:val="00030DE7"/>
    <w:rsid w:val="00031245"/>
    <w:rsid w:val="000312AD"/>
    <w:rsid w:val="000319B5"/>
    <w:rsid w:val="00031A2C"/>
    <w:rsid w:val="00032050"/>
    <w:rsid w:val="0003261A"/>
    <w:rsid w:val="00032921"/>
    <w:rsid w:val="00032972"/>
    <w:rsid w:val="00033697"/>
    <w:rsid w:val="00033847"/>
    <w:rsid w:val="00033A0C"/>
    <w:rsid w:val="00033D7E"/>
    <w:rsid w:val="00034420"/>
    <w:rsid w:val="000347D3"/>
    <w:rsid w:val="00034C90"/>
    <w:rsid w:val="00034DC1"/>
    <w:rsid w:val="00034DE2"/>
    <w:rsid w:val="0003579A"/>
    <w:rsid w:val="00035A73"/>
    <w:rsid w:val="00035D76"/>
    <w:rsid w:val="00035DF5"/>
    <w:rsid w:val="00035F62"/>
    <w:rsid w:val="000366C4"/>
    <w:rsid w:val="00036A17"/>
    <w:rsid w:val="00036C2A"/>
    <w:rsid w:val="00036D5F"/>
    <w:rsid w:val="00037463"/>
    <w:rsid w:val="000374BA"/>
    <w:rsid w:val="00037619"/>
    <w:rsid w:val="00037720"/>
    <w:rsid w:val="00037803"/>
    <w:rsid w:val="0003793C"/>
    <w:rsid w:val="00037BCD"/>
    <w:rsid w:val="00037F14"/>
    <w:rsid w:val="0004016C"/>
    <w:rsid w:val="00040374"/>
    <w:rsid w:val="0004051F"/>
    <w:rsid w:val="00040DA8"/>
    <w:rsid w:val="00040ECF"/>
    <w:rsid w:val="00040FF5"/>
    <w:rsid w:val="000410C2"/>
    <w:rsid w:val="0004115C"/>
    <w:rsid w:val="000413DE"/>
    <w:rsid w:val="000416B9"/>
    <w:rsid w:val="000418B1"/>
    <w:rsid w:val="00041BCB"/>
    <w:rsid w:val="00042A20"/>
    <w:rsid w:val="00042BF4"/>
    <w:rsid w:val="00042ECD"/>
    <w:rsid w:val="00042F9C"/>
    <w:rsid w:val="00043463"/>
    <w:rsid w:val="000434C0"/>
    <w:rsid w:val="0004361B"/>
    <w:rsid w:val="00043941"/>
    <w:rsid w:val="000441DA"/>
    <w:rsid w:val="00044558"/>
    <w:rsid w:val="00044DDD"/>
    <w:rsid w:val="00044E44"/>
    <w:rsid w:val="000451EE"/>
    <w:rsid w:val="0004553C"/>
    <w:rsid w:val="000457AE"/>
    <w:rsid w:val="0004591F"/>
    <w:rsid w:val="00045968"/>
    <w:rsid w:val="00045C99"/>
    <w:rsid w:val="00045EB8"/>
    <w:rsid w:val="000465EA"/>
    <w:rsid w:val="00046E46"/>
    <w:rsid w:val="00047A93"/>
    <w:rsid w:val="00047BF4"/>
    <w:rsid w:val="00047F97"/>
    <w:rsid w:val="00050343"/>
    <w:rsid w:val="000504BC"/>
    <w:rsid w:val="00050666"/>
    <w:rsid w:val="000508F3"/>
    <w:rsid w:val="00050A74"/>
    <w:rsid w:val="00050B5B"/>
    <w:rsid w:val="00050C9D"/>
    <w:rsid w:val="0005128F"/>
    <w:rsid w:val="000513DA"/>
    <w:rsid w:val="00051982"/>
    <w:rsid w:val="00051B6F"/>
    <w:rsid w:val="00051D87"/>
    <w:rsid w:val="0005201B"/>
    <w:rsid w:val="00052364"/>
    <w:rsid w:val="0005239E"/>
    <w:rsid w:val="00052C43"/>
    <w:rsid w:val="00052DDF"/>
    <w:rsid w:val="00052FD6"/>
    <w:rsid w:val="00053084"/>
    <w:rsid w:val="00054083"/>
    <w:rsid w:val="00054109"/>
    <w:rsid w:val="00054E3D"/>
    <w:rsid w:val="00055107"/>
    <w:rsid w:val="00055156"/>
    <w:rsid w:val="000554D6"/>
    <w:rsid w:val="0005579A"/>
    <w:rsid w:val="00055F4C"/>
    <w:rsid w:val="0005691F"/>
    <w:rsid w:val="00056931"/>
    <w:rsid w:val="00056DC4"/>
    <w:rsid w:val="00057031"/>
    <w:rsid w:val="0005725C"/>
    <w:rsid w:val="0005761A"/>
    <w:rsid w:val="0006022B"/>
    <w:rsid w:val="000608E1"/>
    <w:rsid w:val="00060D0D"/>
    <w:rsid w:val="00060DF0"/>
    <w:rsid w:val="00061217"/>
    <w:rsid w:val="0006145F"/>
    <w:rsid w:val="00061651"/>
    <w:rsid w:val="00062384"/>
    <w:rsid w:val="000624B2"/>
    <w:rsid w:val="00062566"/>
    <w:rsid w:val="00062D48"/>
    <w:rsid w:val="00062F5D"/>
    <w:rsid w:val="00063B11"/>
    <w:rsid w:val="00063CA2"/>
    <w:rsid w:val="00063FCF"/>
    <w:rsid w:val="00064124"/>
    <w:rsid w:val="0006486F"/>
    <w:rsid w:val="00064C17"/>
    <w:rsid w:val="00065101"/>
    <w:rsid w:val="00065263"/>
    <w:rsid w:val="0006561C"/>
    <w:rsid w:val="00065769"/>
    <w:rsid w:val="00065C70"/>
    <w:rsid w:val="00066066"/>
    <w:rsid w:val="00066330"/>
    <w:rsid w:val="000665B6"/>
    <w:rsid w:val="000666B3"/>
    <w:rsid w:val="00066DA3"/>
    <w:rsid w:val="00066FDC"/>
    <w:rsid w:val="00067092"/>
    <w:rsid w:val="0006798B"/>
    <w:rsid w:val="00067A26"/>
    <w:rsid w:val="00067B31"/>
    <w:rsid w:val="00067CB2"/>
    <w:rsid w:val="00067F0A"/>
    <w:rsid w:val="00070A76"/>
    <w:rsid w:val="00070E0F"/>
    <w:rsid w:val="00070F23"/>
    <w:rsid w:val="000710E3"/>
    <w:rsid w:val="0007137B"/>
    <w:rsid w:val="0007159E"/>
    <w:rsid w:val="000715D6"/>
    <w:rsid w:val="00072188"/>
    <w:rsid w:val="0007221B"/>
    <w:rsid w:val="00072277"/>
    <w:rsid w:val="00072411"/>
    <w:rsid w:val="0007256A"/>
    <w:rsid w:val="00072AB0"/>
    <w:rsid w:val="00072C6C"/>
    <w:rsid w:val="00073259"/>
    <w:rsid w:val="00073739"/>
    <w:rsid w:val="00073943"/>
    <w:rsid w:val="00073CF9"/>
    <w:rsid w:val="00073D29"/>
    <w:rsid w:val="00073ED1"/>
    <w:rsid w:val="00074046"/>
    <w:rsid w:val="00074367"/>
    <w:rsid w:val="000743C4"/>
    <w:rsid w:val="00074961"/>
    <w:rsid w:val="00074D7F"/>
    <w:rsid w:val="00075030"/>
    <w:rsid w:val="00075570"/>
    <w:rsid w:val="00075D23"/>
    <w:rsid w:val="00075F1F"/>
    <w:rsid w:val="00076216"/>
    <w:rsid w:val="00076597"/>
    <w:rsid w:val="00076B80"/>
    <w:rsid w:val="00076BBA"/>
    <w:rsid w:val="00077AAB"/>
    <w:rsid w:val="00077AE5"/>
    <w:rsid w:val="00077DB2"/>
    <w:rsid w:val="00077E4E"/>
    <w:rsid w:val="00080343"/>
    <w:rsid w:val="0008078F"/>
    <w:rsid w:val="00080DA1"/>
    <w:rsid w:val="00080E2D"/>
    <w:rsid w:val="00080F40"/>
    <w:rsid w:val="000811E0"/>
    <w:rsid w:val="000811E6"/>
    <w:rsid w:val="000813BD"/>
    <w:rsid w:val="00081918"/>
    <w:rsid w:val="00081B6B"/>
    <w:rsid w:val="00081D70"/>
    <w:rsid w:val="000821D8"/>
    <w:rsid w:val="000822DC"/>
    <w:rsid w:val="00082B01"/>
    <w:rsid w:val="00082F02"/>
    <w:rsid w:val="00082F25"/>
    <w:rsid w:val="000833A5"/>
    <w:rsid w:val="000834A9"/>
    <w:rsid w:val="0008353F"/>
    <w:rsid w:val="000835A5"/>
    <w:rsid w:val="00083714"/>
    <w:rsid w:val="0008374D"/>
    <w:rsid w:val="00083886"/>
    <w:rsid w:val="00083C6C"/>
    <w:rsid w:val="00083CA4"/>
    <w:rsid w:val="00083F56"/>
    <w:rsid w:val="00084410"/>
    <w:rsid w:val="00084446"/>
    <w:rsid w:val="0008459D"/>
    <w:rsid w:val="0008461A"/>
    <w:rsid w:val="000848C5"/>
    <w:rsid w:val="00084F24"/>
    <w:rsid w:val="000851F0"/>
    <w:rsid w:val="00085271"/>
    <w:rsid w:val="000859B9"/>
    <w:rsid w:val="000860C3"/>
    <w:rsid w:val="000863E7"/>
    <w:rsid w:val="00086617"/>
    <w:rsid w:val="000868D3"/>
    <w:rsid w:val="00086953"/>
    <w:rsid w:val="00086AD5"/>
    <w:rsid w:val="00087212"/>
    <w:rsid w:val="000877EB"/>
    <w:rsid w:val="00087C24"/>
    <w:rsid w:val="000905E4"/>
    <w:rsid w:val="000905FF"/>
    <w:rsid w:val="000906B4"/>
    <w:rsid w:val="0009076E"/>
    <w:rsid w:val="000908C5"/>
    <w:rsid w:val="00090BF3"/>
    <w:rsid w:val="00090EC0"/>
    <w:rsid w:val="00091258"/>
    <w:rsid w:val="00091374"/>
    <w:rsid w:val="00091387"/>
    <w:rsid w:val="000913B8"/>
    <w:rsid w:val="0009151B"/>
    <w:rsid w:val="00091520"/>
    <w:rsid w:val="00091561"/>
    <w:rsid w:val="00091B76"/>
    <w:rsid w:val="00091C32"/>
    <w:rsid w:val="00091E0A"/>
    <w:rsid w:val="0009200D"/>
    <w:rsid w:val="000923F2"/>
    <w:rsid w:val="00092614"/>
    <w:rsid w:val="00092A17"/>
    <w:rsid w:val="00092D7F"/>
    <w:rsid w:val="00092DC7"/>
    <w:rsid w:val="000937E7"/>
    <w:rsid w:val="0009395C"/>
    <w:rsid w:val="00093C24"/>
    <w:rsid w:val="00093E38"/>
    <w:rsid w:val="00093EEF"/>
    <w:rsid w:val="00093F2F"/>
    <w:rsid w:val="00093FA8"/>
    <w:rsid w:val="00094269"/>
    <w:rsid w:val="000943BE"/>
    <w:rsid w:val="000944ED"/>
    <w:rsid w:val="00094A0F"/>
    <w:rsid w:val="00094C3E"/>
    <w:rsid w:val="00094D8C"/>
    <w:rsid w:val="00095679"/>
    <w:rsid w:val="00095C61"/>
    <w:rsid w:val="000961C3"/>
    <w:rsid w:val="0009664C"/>
    <w:rsid w:val="0009694F"/>
    <w:rsid w:val="00096A6A"/>
    <w:rsid w:val="00097348"/>
    <w:rsid w:val="00097B25"/>
    <w:rsid w:val="00097B8C"/>
    <w:rsid w:val="000A00AD"/>
    <w:rsid w:val="000A037A"/>
    <w:rsid w:val="000A04C3"/>
    <w:rsid w:val="000A0878"/>
    <w:rsid w:val="000A10CC"/>
    <w:rsid w:val="000A10F5"/>
    <w:rsid w:val="000A1288"/>
    <w:rsid w:val="000A16F1"/>
    <w:rsid w:val="000A17B3"/>
    <w:rsid w:val="000A1EB0"/>
    <w:rsid w:val="000A1EB1"/>
    <w:rsid w:val="000A203F"/>
    <w:rsid w:val="000A23FA"/>
    <w:rsid w:val="000A26BD"/>
    <w:rsid w:val="000A2B77"/>
    <w:rsid w:val="000A2D4E"/>
    <w:rsid w:val="000A2F8F"/>
    <w:rsid w:val="000A3089"/>
    <w:rsid w:val="000A34F5"/>
    <w:rsid w:val="000A3590"/>
    <w:rsid w:val="000A3B7C"/>
    <w:rsid w:val="000A3B9F"/>
    <w:rsid w:val="000A46AF"/>
    <w:rsid w:val="000A48BD"/>
    <w:rsid w:val="000A4A22"/>
    <w:rsid w:val="000A4A39"/>
    <w:rsid w:val="000A4D52"/>
    <w:rsid w:val="000A519F"/>
    <w:rsid w:val="000A51C1"/>
    <w:rsid w:val="000A561C"/>
    <w:rsid w:val="000A56C7"/>
    <w:rsid w:val="000A5740"/>
    <w:rsid w:val="000A5E33"/>
    <w:rsid w:val="000A65D9"/>
    <w:rsid w:val="000A720B"/>
    <w:rsid w:val="000A742B"/>
    <w:rsid w:val="000A78D0"/>
    <w:rsid w:val="000A793B"/>
    <w:rsid w:val="000A7DB5"/>
    <w:rsid w:val="000B0169"/>
    <w:rsid w:val="000B02F0"/>
    <w:rsid w:val="000B035E"/>
    <w:rsid w:val="000B05DF"/>
    <w:rsid w:val="000B09E2"/>
    <w:rsid w:val="000B1096"/>
    <w:rsid w:val="000B114B"/>
    <w:rsid w:val="000B2331"/>
    <w:rsid w:val="000B2926"/>
    <w:rsid w:val="000B2AC0"/>
    <w:rsid w:val="000B2AEF"/>
    <w:rsid w:val="000B2EF7"/>
    <w:rsid w:val="000B3556"/>
    <w:rsid w:val="000B3930"/>
    <w:rsid w:val="000B3BB3"/>
    <w:rsid w:val="000B3C73"/>
    <w:rsid w:val="000B3F0C"/>
    <w:rsid w:val="000B4A1E"/>
    <w:rsid w:val="000B4C71"/>
    <w:rsid w:val="000B52CA"/>
    <w:rsid w:val="000B56B0"/>
    <w:rsid w:val="000B5893"/>
    <w:rsid w:val="000B5DE1"/>
    <w:rsid w:val="000B5E2E"/>
    <w:rsid w:val="000B647E"/>
    <w:rsid w:val="000B6959"/>
    <w:rsid w:val="000B6AB9"/>
    <w:rsid w:val="000B6D3C"/>
    <w:rsid w:val="000B6D63"/>
    <w:rsid w:val="000B70A2"/>
    <w:rsid w:val="000B7132"/>
    <w:rsid w:val="000B7479"/>
    <w:rsid w:val="000B7791"/>
    <w:rsid w:val="000B7B53"/>
    <w:rsid w:val="000B7BFA"/>
    <w:rsid w:val="000B8499"/>
    <w:rsid w:val="000C0016"/>
    <w:rsid w:val="000C02F6"/>
    <w:rsid w:val="000C03BF"/>
    <w:rsid w:val="000C05F4"/>
    <w:rsid w:val="000C0869"/>
    <w:rsid w:val="000C0BB9"/>
    <w:rsid w:val="000C0BFA"/>
    <w:rsid w:val="000C1605"/>
    <w:rsid w:val="000C162F"/>
    <w:rsid w:val="000C166D"/>
    <w:rsid w:val="000C1B62"/>
    <w:rsid w:val="000C1CC6"/>
    <w:rsid w:val="000C1E47"/>
    <w:rsid w:val="000C1F7F"/>
    <w:rsid w:val="000C2A17"/>
    <w:rsid w:val="000C2A37"/>
    <w:rsid w:val="000C2CB6"/>
    <w:rsid w:val="000C2CF5"/>
    <w:rsid w:val="000C369F"/>
    <w:rsid w:val="000C3D07"/>
    <w:rsid w:val="000C3FF0"/>
    <w:rsid w:val="000C4026"/>
    <w:rsid w:val="000C4119"/>
    <w:rsid w:val="000C4178"/>
    <w:rsid w:val="000C452E"/>
    <w:rsid w:val="000C49A4"/>
    <w:rsid w:val="000C4D60"/>
    <w:rsid w:val="000C5268"/>
    <w:rsid w:val="000C541F"/>
    <w:rsid w:val="000C561C"/>
    <w:rsid w:val="000C5834"/>
    <w:rsid w:val="000C5BC6"/>
    <w:rsid w:val="000C5DAB"/>
    <w:rsid w:val="000C5F41"/>
    <w:rsid w:val="000C66D9"/>
    <w:rsid w:val="000C6D66"/>
    <w:rsid w:val="000C70CB"/>
    <w:rsid w:val="000C7C21"/>
    <w:rsid w:val="000D02D5"/>
    <w:rsid w:val="000D05B2"/>
    <w:rsid w:val="000D06E8"/>
    <w:rsid w:val="000D0847"/>
    <w:rsid w:val="000D0D22"/>
    <w:rsid w:val="000D0F48"/>
    <w:rsid w:val="000D11D0"/>
    <w:rsid w:val="000D169E"/>
    <w:rsid w:val="000D1BD9"/>
    <w:rsid w:val="000D1EB9"/>
    <w:rsid w:val="000D1EE5"/>
    <w:rsid w:val="000D2DC6"/>
    <w:rsid w:val="000D382A"/>
    <w:rsid w:val="000D3E22"/>
    <w:rsid w:val="000D4D64"/>
    <w:rsid w:val="000D4EBD"/>
    <w:rsid w:val="000D5421"/>
    <w:rsid w:val="000D5922"/>
    <w:rsid w:val="000D5B13"/>
    <w:rsid w:val="000D68B5"/>
    <w:rsid w:val="000D69B5"/>
    <w:rsid w:val="000D6D45"/>
    <w:rsid w:val="000D6FCD"/>
    <w:rsid w:val="000D70E6"/>
    <w:rsid w:val="000D7512"/>
    <w:rsid w:val="000D7574"/>
    <w:rsid w:val="000D7CE5"/>
    <w:rsid w:val="000D7FD5"/>
    <w:rsid w:val="000E0066"/>
    <w:rsid w:val="000E0873"/>
    <w:rsid w:val="000E1C39"/>
    <w:rsid w:val="000E21D4"/>
    <w:rsid w:val="000E235C"/>
    <w:rsid w:val="000E2491"/>
    <w:rsid w:val="000E24CD"/>
    <w:rsid w:val="000E2675"/>
    <w:rsid w:val="000E26F4"/>
    <w:rsid w:val="000E294F"/>
    <w:rsid w:val="000E3026"/>
    <w:rsid w:val="000E320B"/>
    <w:rsid w:val="000E366B"/>
    <w:rsid w:val="000E3DAF"/>
    <w:rsid w:val="000E40F0"/>
    <w:rsid w:val="000E423D"/>
    <w:rsid w:val="000E4246"/>
    <w:rsid w:val="000E42E3"/>
    <w:rsid w:val="000E43C2"/>
    <w:rsid w:val="000E4429"/>
    <w:rsid w:val="000E46A2"/>
    <w:rsid w:val="000E49AA"/>
    <w:rsid w:val="000E5028"/>
    <w:rsid w:val="000E525C"/>
    <w:rsid w:val="000E5A50"/>
    <w:rsid w:val="000E5DBF"/>
    <w:rsid w:val="000E5EC6"/>
    <w:rsid w:val="000E615F"/>
    <w:rsid w:val="000E620E"/>
    <w:rsid w:val="000E6AC1"/>
    <w:rsid w:val="000E6CDD"/>
    <w:rsid w:val="000E70B0"/>
    <w:rsid w:val="000E7813"/>
    <w:rsid w:val="000E7837"/>
    <w:rsid w:val="000E7C28"/>
    <w:rsid w:val="000E7D57"/>
    <w:rsid w:val="000E7F85"/>
    <w:rsid w:val="000F01B8"/>
    <w:rsid w:val="000F1091"/>
    <w:rsid w:val="000F1376"/>
    <w:rsid w:val="000F13E0"/>
    <w:rsid w:val="000F16FD"/>
    <w:rsid w:val="000F1974"/>
    <w:rsid w:val="000F21D9"/>
    <w:rsid w:val="000F23E3"/>
    <w:rsid w:val="000F2657"/>
    <w:rsid w:val="000F2FEF"/>
    <w:rsid w:val="000F3292"/>
    <w:rsid w:val="000F33FB"/>
    <w:rsid w:val="000F3671"/>
    <w:rsid w:val="000F36C0"/>
    <w:rsid w:val="000F377F"/>
    <w:rsid w:val="000F3D82"/>
    <w:rsid w:val="000F50A1"/>
    <w:rsid w:val="000F5251"/>
    <w:rsid w:val="000F59AD"/>
    <w:rsid w:val="000F6576"/>
    <w:rsid w:val="000F659F"/>
    <w:rsid w:val="000F6C73"/>
    <w:rsid w:val="000F6F4F"/>
    <w:rsid w:val="000F7FA6"/>
    <w:rsid w:val="001001C0"/>
    <w:rsid w:val="001002B2"/>
    <w:rsid w:val="00100AF5"/>
    <w:rsid w:val="00100BE2"/>
    <w:rsid w:val="00101536"/>
    <w:rsid w:val="00101914"/>
    <w:rsid w:val="00101A9E"/>
    <w:rsid w:val="00101E25"/>
    <w:rsid w:val="0010221F"/>
    <w:rsid w:val="0010264C"/>
    <w:rsid w:val="001026CF"/>
    <w:rsid w:val="0010280D"/>
    <w:rsid w:val="00102C5E"/>
    <w:rsid w:val="00103EF1"/>
    <w:rsid w:val="00104592"/>
    <w:rsid w:val="00104E31"/>
    <w:rsid w:val="00105104"/>
    <w:rsid w:val="00105129"/>
    <w:rsid w:val="00105151"/>
    <w:rsid w:val="0010528B"/>
    <w:rsid w:val="00105E3B"/>
    <w:rsid w:val="00105E80"/>
    <w:rsid w:val="00106083"/>
    <w:rsid w:val="001063A5"/>
    <w:rsid w:val="00106819"/>
    <w:rsid w:val="00106CD8"/>
    <w:rsid w:val="00106D73"/>
    <w:rsid w:val="00106E9F"/>
    <w:rsid w:val="00107426"/>
    <w:rsid w:val="0010776C"/>
    <w:rsid w:val="00107928"/>
    <w:rsid w:val="00107B5B"/>
    <w:rsid w:val="00107EDF"/>
    <w:rsid w:val="00110543"/>
    <w:rsid w:val="00110ADA"/>
    <w:rsid w:val="00110ADE"/>
    <w:rsid w:val="00110FDC"/>
    <w:rsid w:val="001112A2"/>
    <w:rsid w:val="001113EF"/>
    <w:rsid w:val="0011162F"/>
    <w:rsid w:val="001119B6"/>
    <w:rsid w:val="00111F97"/>
    <w:rsid w:val="00112094"/>
    <w:rsid w:val="00112153"/>
    <w:rsid w:val="0011243F"/>
    <w:rsid w:val="0011292E"/>
    <w:rsid w:val="00112FEC"/>
    <w:rsid w:val="0011318D"/>
    <w:rsid w:val="00113377"/>
    <w:rsid w:val="001133C1"/>
    <w:rsid w:val="001138F3"/>
    <w:rsid w:val="00113D68"/>
    <w:rsid w:val="00113FA4"/>
    <w:rsid w:val="001141F5"/>
    <w:rsid w:val="0011422E"/>
    <w:rsid w:val="001147C1"/>
    <w:rsid w:val="00114B99"/>
    <w:rsid w:val="00114C6A"/>
    <w:rsid w:val="00114FDF"/>
    <w:rsid w:val="00115100"/>
    <w:rsid w:val="0011514A"/>
    <w:rsid w:val="0011534C"/>
    <w:rsid w:val="0011543D"/>
    <w:rsid w:val="00115639"/>
    <w:rsid w:val="0011588D"/>
    <w:rsid w:val="00116928"/>
    <w:rsid w:val="00116B0E"/>
    <w:rsid w:val="00117059"/>
    <w:rsid w:val="001178F5"/>
    <w:rsid w:val="00117C36"/>
    <w:rsid w:val="00117CDE"/>
    <w:rsid w:val="00117CF5"/>
    <w:rsid w:val="00117E85"/>
    <w:rsid w:val="0012006C"/>
    <w:rsid w:val="001201B8"/>
    <w:rsid w:val="00120E58"/>
    <w:rsid w:val="0012101A"/>
    <w:rsid w:val="00121A5F"/>
    <w:rsid w:val="00121BC1"/>
    <w:rsid w:val="00121DCD"/>
    <w:rsid w:val="00121F82"/>
    <w:rsid w:val="00122422"/>
    <w:rsid w:val="00122844"/>
    <w:rsid w:val="001231EA"/>
    <w:rsid w:val="001232A3"/>
    <w:rsid w:val="001234F1"/>
    <w:rsid w:val="0012375B"/>
    <w:rsid w:val="0012375C"/>
    <w:rsid w:val="0012377B"/>
    <w:rsid w:val="00123CF6"/>
    <w:rsid w:val="00123E5F"/>
    <w:rsid w:val="0012472D"/>
    <w:rsid w:val="00124ACB"/>
    <w:rsid w:val="00124B44"/>
    <w:rsid w:val="00124CB5"/>
    <w:rsid w:val="001250AD"/>
    <w:rsid w:val="00125376"/>
    <w:rsid w:val="001259A0"/>
    <w:rsid w:val="00125B0E"/>
    <w:rsid w:val="001262AA"/>
    <w:rsid w:val="00126424"/>
    <w:rsid w:val="001264AE"/>
    <w:rsid w:val="0012668E"/>
    <w:rsid w:val="00126AAB"/>
    <w:rsid w:val="00126D1D"/>
    <w:rsid w:val="00126DB8"/>
    <w:rsid w:val="00126F9C"/>
    <w:rsid w:val="00127390"/>
    <w:rsid w:val="0012780E"/>
    <w:rsid w:val="00127BBC"/>
    <w:rsid w:val="00127C19"/>
    <w:rsid w:val="00127D1D"/>
    <w:rsid w:val="001303BD"/>
    <w:rsid w:val="00130429"/>
    <w:rsid w:val="001305F1"/>
    <w:rsid w:val="001310DD"/>
    <w:rsid w:val="001321B0"/>
    <w:rsid w:val="00132D69"/>
    <w:rsid w:val="00132DD6"/>
    <w:rsid w:val="001334AE"/>
    <w:rsid w:val="00133CC1"/>
    <w:rsid w:val="00133E70"/>
    <w:rsid w:val="00134368"/>
    <w:rsid w:val="00134556"/>
    <w:rsid w:val="001345B4"/>
    <w:rsid w:val="00134AB6"/>
    <w:rsid w:val="00134DF7"/>
    <w:rsid w:val="00135084"/>
    <w:rsid w:val="00135088"/>
    <w:rsid w:val="00135189"/>
    <w:rsid w:val="00135BB3"/>
    <w:rsid w:val="00135C07"/>
    <w:rsid w:val="00135E1C"/>
    <w:rsid w:val="001363D7"/>
    <w:rsid w:val="001364C1"/>
    <w:rsid w:val="00136A94"/>
    <w:rsid w:val="00136BBA"/>
    <w:rsid w:val="00137427"/>
    <w:rsid w:val="00137C03"/>
    <w:rsid w:val="00137EFC"/>
    <w:rsid w:val="0014009E"/>
    <w:rsid w:val="00140529"/>
    <w:rsid w:val="0014053C"/>
    <w:rsid w:val="00140695"/>
    <w:rsid w:val="00140A99"/>
    <w:rsid w:val="00140F62"/>
    <w:rsid w:val="00141040"/>
    <w:rsid w:val="0014199C"/>
    <w:rsid w:val="00141E5A"/>
    <w:rsid w:val="00141E77"/>
    <w:rsid w:val="001424D3"/>
    <w:rsid w:val="00142660"/>
    <w:rsid w:val="00142793"/>
    <w:rsid w:val="0014283F"/>
    <w:rsid w:val="00142D0D"/>
    <w:rsid w:val="0014374F"/>
    <w:rsid w:val="00143766"/>
    <w:rsid w:val="00143987"/>
    <w:rsid w:val="00143B7D"/>
    <w:rsid w:val="00143C32"/>
    <w:rsid w:val="001440BD"/>
    <w:rsid w:val="001440E3"/>
    <w:rsid w:val="001446E9"/>
    <w:rsid w:val="00144E9F"/>
    <w:rsid w:val="00144F18"/>
    <w:rsid w:val="00145112"/>
    <w:rsid w:val="00145117"/>
    <w:rsid w:val="00145199"/>
    <w:rsid w:val="00145818"/>
    <w:rsid w:val="00145B2A"/>
    <w:rsid w:val="00145FD1"/>
    <w:rsid w:val="001462D0"/>
    <w:rsid w:val="00146D67"/>
    <w:rsid w:val="001474F7"/>
    <w:rsid w:val="00147532"/>
    <w:rsid w:val="00147893"/>
    <w:rsid w:val="00147B22"/>
    <w:rsid w:val="00147E22"/>
    <w:rsid w:val="0014F1C8"/>
    <w:rsid w:val="001506C2"/>
    <w:rsid w:val="00150D87"/>
    <w:rsid w:val="0015119B"/>
    <w:rsid w:val="00151441"/>
    <w:rsid w:val="001514B5"/>
    <w:rsid w:val="00151F14"/>
    <w:rsid w:val="00152BEA"/>
    <w:rsid w:val="00152C84"/>
    <w:rsid w:val="001532D0"/>
    <w:rsid w:val="00153972"/>
    <w:rsid w:val="00153DF7"/>
    <w:rsid w:val="00153E5A"/>
    <w:rsid w:val="001541D3"/>
    <w:rsid w:val="001542EA"/>
    <w:rsid w:val="0015542B"/>
    <w:rsid w:val="0015553F"/>
    <w:rsid w:val="001555E3"/>
    <w:rsid w:val="00155B69"/>
    <w:rsid w:val="00155CA8"/>
    <w:rsid w:val="00155ED9"/>
    <w:rsid w:val="001560A9"/>
    <w:rsid w:val="0015622D"/>
    <w:rsid w:val="00156246"/>
    <w:rsid w:val="00156348"/>
    <w:rsid w:val="001563C6"/>
    <w:rsid w:val="00156604"/>
    <w:rsid w:val="0015683A"/>
    <w:rsid w:val="00156998"/>
    <w:rsid w:val="0015741E"/>
    <w:rsid w:val="001576D9"/>
    <w:rsid w:val="001578AB"/>
    <w:rsid w:val="00157A64"/>
    <w:rsid w:val="00157BBF"/>
    <w:rsid w:val="00157C3B"/>
    <w:rsid w:val="00157C7D"/>
    <w:rsid w:val="00157EBC"/>
    <w:rsid w:val="001602DE"/>
    <w:rsid w:val="00160440"/>
    <w:rsid w:val="00160773"/>
    <w:rsid w:val="00160FE1"/>
    <w:rsid w:val="001612FA"/>
    <w:rsid w:val="0016142F"/>
    <w:rsid w:val="00161834"/>
    <w:rsid w:val="00161897"/>
    <w:rsid w:val="00161A31"/>
    <w:rsid w:val="00161A5B"/>
    <w:rsid w:val="00161B35"/>
    <w:rsid w:val="00161C46"/>
    <w:rsid w:val="00161C8A"/>
    <w:rsid w:val="001620C8"/>
    <w:rsid w:val="00162130"/>
    <w:rsid w:val="001622A8"/>
    <w:rsid w:val="0016240A"/>
    <w:rsid w:val="00162EDC"/>
    <w:rsid w:val="00163142"/>
    <w:rsid w:val="00163199"/>
    <w:rsid w:val="001631AA"/>
    <w:rsid w:val="0016328E"/>
    <w:rsid w:val="0016353A"/>
    <w:rsid w:val="00163607"/>
    <w:rsid w:val="001639D8"/>
    <w:rsid w:val="00163D43"/>
    <w:rsid w:val="00164456"/>
    <w:rsid w:val="00164833"/>
    <w:rsid w:val="00164ABE"/>
    <w:rsid w:val="00164D62"/>
    <w:rsid w:val="00164DDA"/>
    <w:rsid w:val="00164F60"/>
    <w:rsid w:val="0016533F"/>
    <w:rsid w:val="00165975"/>
    <w:rsid w:val="00165E3D"/>
    <w:rsid w:val="00165FA8"/>
    <w:rsid w:val="00166077"/>
    <w:rsid w:val="001665A9"/>
    <w:rsid w:val="00167176"/>
    <w:rsid w:val="00167258"/>
    <w:rsid w:val="00167350"/>
    <w:rsid w:val="00167681"/>
    <w:rsid w:val="00167A03"/>
    <w:rsid w:val="001703EC"/>
    <w:rsid w:val="00170781"/>
    <w:rsid w:val="00170B01"/>
    <w:rsid w:val="00170EEE"/>
    <w:rsid w:val="00171369"/>
    <w:rsid w:val="0017185E"/>
    <w:rsid w:val="00171E1A"/>
    <w:rsid w:val="00171E37"/>
    <w:rsid w:val="00171F82"/>
    <w:rsid w:val="00172B03"/>
    <w:rsid w:val="00172B7A"/>
    <w:rsid w:val="00172C36"/>
    <w:rsid w:val="00172DBD"/>
    <w:rsid w:val="00172EE6"/>
    <w:rsid w:val="0017384C"/>
    <w:rsid w:val="00173AD6"/>
    <w:rsid w:val="00173EC1"/>
    <w:rsid w:val="001741C7"/>
    <w:rsid w:val="001746F6"/>
    <w:rsid w:val="00174757"/>
    <w:rsid w:val="00174844"/>
    <w:rsid w:val="00174A28"/>
    <w:rsid w:val="00174A43"/>
    <w:rsid w:val="00175283"/>
    <w:rsid w:val="001754B0"/>
    <w:rsid w:val="0017567D"/>
    <w:rsid w:val="0017589A"/>
    <w:rsid w:val="00175BE2"/>
    <w:rsid w:val="00175F5B"/>
    <w:rsid w:val="001763D9"/>
    <w:rsid w:val="00176D44"/>
    <w:rsid w:val="00177713"/>
    <w:rsid w:val="00177B8E"/>
    <w:rsid w:val="00177B9F"/>
    <w:rsid w:val="00177FBA"/>
    <w:rsid w:val="0018000F"/>
    <w:rsid w:val="001805FB"/>
    <w:rsid w:val="00180638"/>
    <w:rsid w:val="0018087F"/>
    <w:rsid w:val="0018143C"/>
    <w:rsid w:val="00181498"/>
    <w:rsid w:val="001815CB"/>
    <w:rsid w:val="00181A14"/>
    <w:rsid w:val="00181EDF"/>
    <w:rsid w:val="00181FFC"/>
    <w:rsid w:val="0018219A"/>
    <w:rsid w:val="0018244E"/>
    <w:rsid w:val="001826FE"/>
    <w:rsid w:val="001829D8"/>
    <w:rsid w:val="00182CDA"/>
    <w:rsid w:val="00183337"/>
    <w:rsid w:val="001833E0"/>
    <w:rsid w:val="00183C30"/>
    <w:rsid w:val="00183D27"/>
    <w:rsid w:val="00184224"/>
    <w:rsid w:val="001842BF"/>
    <w:rsid w:val="0018432D"/>
    <w:rsid w:val="001844CC"/>
    <w:rsid w:val="00184553"/>
    <w:rsid w:val="00184697"/>
    <w:rsid w:val="001846C1"/>
    <w:rsid w:val="00184ABD"/>
    <w:rsid w:val="00184AD7"/>
    <w:rsid w:val="00184C71"/>
    <w:rsid w:val="00184E6A"/>
    <w:rsid w:val="0018512C"/>
    <w:rsid w:val="0018524C"/>
    <w:rsid w:val="001854C5"/>
    <w:rsid w:val="0018580D"/>
    <w:rsid w:val="0018596C"/>
    <w:rsid w:val="00185BE8"/>
    <w:rsid w:val="00185F2C"/>
    <w:rsid w:val="00185F49"/>
    <w:rsid w:val="001861B3"/>
    <w:rsid w:val="00186251"/>
    <w:rsid w:val="001864F3"/>
    <w:rsid w:val="00186518"/>
    <w:rsid w:val="00186577"/>
    <w:rsid w:val="00186921"/>
    <w:rsid w:val="00186BDC"/>
    <w:rsid w:val="00187054"/>
    <w:rsid w:val="0018730F"/>
    <w:rsid w:val="00187380"/>
    <w:rsid w:val="00187480"/>
    <w:rsid w:val="0018791C"/>
    <w:rsid w:val="001879E5"/>
    <w:rsid w:val="00187A54"/>
    <w:rsid w:val="00187AAB"/>
    <w:rsid w:val="00187C70"/>
    <w:rsid w:val="001900C7"/>
    <w:rsid w:val="00190274"/>
    <w:rsid w:val="0019086E"/>
    <w:rsid w:val="001912D4"/>
    <w:rsid w:val="0019143B"/>
    <w:rsid w:val="00191A4A"/>
    <w:rsid w:val="00192623"/>
    <w:rsid w:val="00192628"/>
    <w:rsid w:val="00192CEC"/>
    <w:rsid w:val="00193128"/>
    <w:rsid w:val="00193473"/>
    <w:rsid w:val="00193DFD"/>
    <w:rsid w:val="00193F03"/>
    <w:rsid w:val="00194729"/>
    <w:rsid w:val="00194828"/>
    <w:rsid w:val="00195461"/>
    <w:rsid w:val="0019567D"/>
    <w:rsid w:val="00195939"/>
    <w:rsid w:val="00195C12"/>
    <w:rsid w:val="00196653"/>
    <w:rsid w:val="00196672"/>
    <w:rsid w:val="00196AD7"/>
    <w:rsid w:val="00196B73"/>
    <w:rsid w:val="00197081"/>
    <w:rsid w:val="00197B47"/>
    <w:rsid w:val="00197D5B"/>
    <w:rsid w:val="00197FD5"/>
    <w:rsid w:val="001A052D"/>
    <w:rsid w:val="001A0549"/>
    <w:rsid w:val="001A1036"/>
    <w:rsid w:val="001A10F4"/>
    <w:rsid w:val="001A12E9"/>
    <w:rsid w:val="001A1787"/>
    <w:rsid w:val="001A19A6"/>
    <w:rsid w:val="001A1A81"/>
    <w:rsid w:val="001A1EDA"/>
    <w:rsid w:val="001A210A"/>
    <w:rsid w:val="001A2587"/>
    <w:rsid w:val="001A2C6C"/>
    <w:rsid w:val="001A2F96"/>
    <w:rsid w:val="001A30F2"/>
    <w:rsid w:val="001A32E1"/>
    <w:rsid w:val="001A3687"/>
    <w:rsid w:val="001A3CC4"/>
    <w:rsid w:val="001A3E60"/>
    <w:rsid w:val="001A3F56"/>
    <w:rsid w:val="001A43E3"/>
    <w:rsid w:val="001A4D74"/>
    <w:rsid w:val="001A4FF4"/>
    <w:rsid w:val="001A522B"/>
    <w:rsid w:val="001A55AB"/>
    <w:rsid w:val="001A599E"/>
    <w:rsid w:val="001A59E8"/>
    <w:rsid w:val="001A5DB5"/>
    <w:rsid w:val="001A5E32"/>
    <w:rsid w:val="001A5E83"/>
    <w:rsid w:val="001A61D9"/>
    <w:rsid w:val="001A647B"/>
    <w:rsid w:val="001A6969"/>
    <w:rsid w:val="001A699D"/>
    <w:rsid w:val="001A6F9E"/>
    <w:rsid w:val="001A715D"/>
    <w:rsid w:val="001A71A8"/>
    <w:rsid w:val="001A7303"/>
    <w:rsid w:val="001B089C"/>
    <w:rsid w:val="001B0B25"/>
    <w:rsid w:val="001B1061"/>
    <w:rsid w:val="001B119F"/>
    <w:rsid w:val="001B11F1"/>
    <w:rsid w:val="001B123B"/>
    <w:rsid w:val="001B19FD"/>
    <w:rsid w:val="001B1E07"/>
    <w:rsid w:val="001B1E20"/>
    <w:rsid w:val="001B1EF7"/>
    <w:rsid w:val="001B279D"/>
    <w:rsid w:val="001B2C2C"/>
    <w:rsid w:val="001B3304"/>
    <w:rsid w:val="001B3B8A"/>
    <w:rsid w:val="001B3BA2"/>
    <w:rsid w:val="001B3D20"/>
    <w:rsid w:val="001B3EDB"/>
    <w:rsid w:val="001B4280"/>
    <w:rsid w:val="001B42D1"/>
    <w:rsid w:val="001B4446"/>
    <w:rsid w:val="001B4568"/>
    <w:rsid w:val="001B47FF"/>
    <w:rsid w:val="001B497F"/>
    <w:rsid w:val="001B4A05"/>
    <w:rsid w:val="001B4ACA"/>
    <w:rsid w:val="001B4BF0"/>
    <w:rsid w:val="001B4E6B"/>
    <w:rsid w:val="001B4FAD"/>
    <w:rsid w:val="001B5114"/>
    <w:rsid w:val="001B52CB"/>
    <w:rsid w:val="001B53EC"/>
    <w:rsid w:val="001B5AC5"/>
    <w:rsid w:val="001B5E56"/>
    <w:rsid w:val="001B5EF1"/>
    <w:rsid w:val="001B5FF1"/>
    <w:rsid w:val="001B6173"/>
    <w:rsid w:val="001B672B"/>
    <w:rsid w:val="001B6B59"/>
    <w:rsid w:val="001B6E65"/>
    <w:rsid w:val="001B6EDC"/>
    <w:rsid w:val="001B70A6"/>
    <w:rsid w:val="001B7709"/>
    <w:rsid w:val="001B7848"/>
    <w:rsid w:val="001B7A2C"/>
    <w:rsid w:val="001B7AA4"/>
    <w:rsid w:val="001B7DDB"/>
    <w:rsid w:val="001B7F51"/>
    <w:rsid w:val="001C02F8"/>
    <w:rsid w:val="001C0C67"/>
    <w:rsid w:val="001C0D0A"/>
    <w:rsid w:val="001C13C4"/>
    <w:rsid w:val="001C15E9"/>
    <w:rsid w:val="001C1AD9"/>
    <w:rsid w:val="001C23C3"/>
    <w:rsid w:val="001C29BC"/>
    <w:rsid w:val="001C29C4"/>
    <w:rsid w:val="001C29E9"/>
    <w:rsid w:val="001C2A44"/>
    <w:rsid w:val="001C2C22"/>
    <w:rsid w:val="001C2F25"/>
    <w:rsid w:val="001C3A8E"/>
    <w:rsid w:val="001C5302"/>
    <w:rsid w:val="001C567F"/>
    <w:rsid w:val="001C5AD7"/>
    <w:rsid w:val="001C5E39"/>
    <w:rsid w:val="001C618E"/>
    <w:rsid w:val="001C693C"/>
    <w:rsid w:val="001C73DB"/>
    <w:rsid w:val="001C783B"/>
    <w:rsid w:val="001C7D86"/>
    <w:rsid w:val="001D0999"/>
    <w:rsid w:val="001D0ACE"/>
    <w:rsid w:val="001D0FCA"/>
    <w:rsid w:val="001D14E2"/>
    <w:rsid w:val="001D161F"/>
    <w:rsid w:val="001D1656"/>
    <w:rsid w:val="001D18B8"/>
    <w:rsid w:val="001D199F"/>
    <w:rsid w:val="001D23BA"/>
    <w:rsid w:val="001D246D"/>
    <w:rsid w:val="001D25BF"/>
    <w:rsid w:val="001D289F"/>
    <w:rsid w:val="001D2CFD"/>
    <w:rsid w:val="001D307B"/>
    <w:rsid w:val="001D338A"/>
    <w:rsid w:val="001D36B3"/>
    <w:rsid w:val="001D3958"/>
    <w:rsid w:val="001D4924"/>
    <w:rsid w:val="001D4D38"/>
    <w:rsid w:val="001D54E7"/>
    <w:rsid w:val="001D5612"/>
    <w:rsid w:val="001D5616"/>
    <w:rsid w:val="001D5823"/>
    <w:rsid w:val="001D5880"/>
    <w:rsid w:val="001D5C3C"/>
    <w:rsid w:val="001D5DC8"/>
    <w:rsid w:val="001D60CC"/>
    <w:rsid w:val="001D6475"/>
    <w:rsid w:val="001D676E"/>
    <w:rsid w:val="001D6BC6"/>
    <w:rsid w:val="001D6DF7"/>
    <w:rsid w:val="001D6EC6"/>
    <w:rsid w:val="001D763B"/>
    <w:rsid w:val="001E017B"/>
    <w:rsid w:val="001E01F0"/>
    <w:rsid w:val="001E0288"/>
    <w:rsid w:val="001E0293"/>
    <w:rsid w:val="001E03A7"/>
    <w:rsid w:val="001E0574"/>
    <w:rsid w:val="001E0D9E"/>
    <w:rsid w:val="001E0E4E"/>
    <w:rsid w:val="001E0F9C"/>
    <w:rsid w:val="001E107A"/>
    <w:rsid w:val="001E1143"/>
    <w:rsid w:val="001E137D"/>
    <w:rsid w:val="001E140C"/>
    <w:rsid w:val="001E1735"/>
    <w:rsid w:val="001E197B"/>
    <w:rsid w:val="001E270E"/>
    <w:rsid w:val="001E2780"/>
    <w:rsid w:val="001E27C1"/>
    <w:rsid w:val="001E2805"/>
    <w:rsid w:val="001E2E95"/>
    <w:rsid w:val="001E33C9"/>
    <w:rsid w:val="001E3D3B"/>
    <w:rsid w:val="001E3DE8"/>
    <w:rsid w:val="001E3EA4"/>
    <w:rsid w:val="001E4A9E"/>
    <w:rsid w:val="001E4BC5"/>
    <w:rsid w:val="001E570B"/>
    <w:rsid w:val="001E5ECC"/>
    <w:rsid w:val="001E623B"/>
    <w:rsid w:val="001E6242"/>
    <w:rsid w:val="001E63FD"/>
    <w:rsid w:val="001E6694"/>
    <w:rsid w:val="001E69BB"/>
    <w:rsid w:val="001E6A6E"/>
    <w:rsid w:val="001E7C32"/>
    <w:rsid w:val="001E7DC9"/>
    <w:rsid w:val="001F0139"/>
    <w:rsid w:val="001F0343"/>
    <w:rsid w:val="001F03CC"/>
    <w:rsid w:val="001F063D"/>
    <w:rsid w:val="001F0705"/>
    <w:rsid w:val="001F0C39"/>
    <w:rsid w:val="001F0DAB"/>
    <w:rsid w:val="001F0F68"/>
    <w:rsid w:val="001F140A"/>
    <w:rsid w:val="001F1421"/>
    <w:rsid w:val="001F1EC6"/>
    <w:rsid w:val="001F2987"/>
    <w:rsid w:val="001F2E83"/>
    <w:rsid w:val="001F2EF1"/>
    <w:rsid w:val="001F32F9"/>
    <w:rsid w:val="001F37A6"/>
    <w:rsid w:val="001F3CA7"/>
    <w:rsid w:val="001F3D5B"/>
    <w:rsid w:val="001F3E6C"/>
    <w:rsid w:val="001F3F21"/>
    <w:rsid w:val="001F4458"/>
    <w:rsid w:val="001F4612"/>
    <w:rsid w:val="001F4734"/>
    <w:rsid w:val="001F48E3"/>
    <w:rsid w:val="001F4B46"/>
    <w:rsid w:val="001F57DB"/>
    <w:rsid w:val="001F57F5"/>
    <w:rsid w:val="001F587E"/>
    <w:rsid w:val="001F5B9C"/>
    <w:rsid w:val="001F5C33"/>
    <w:rsid w:val="001F5F24"/>
    <w:rsid w:val="001F650E"/>
    <w:rsid w:val="001F6546"/>
    <w:rsid w:val="001F6CFC"/>
    <w:rsid w:val="001F6F34"/>
    <w:rsid w:val="001F7154"/>
    <w:rsid w:val="001F7207"/>
    <w:rsid w:val="001F7362"/>
    <w:rsid w:val="001F74EB"/>
    <w:rsid w:val="001F7983"/>
    <w:rsid w:val="001F7B9E"/>
    <w:rsid w:val="001F7EB0"/>
    <w:rsid w:val="001F7F32"/>
    <w:rsid w:val="001F7F73"/>
    <w:rsid w:val="00200052"/>
    <w:rsid w:val="00201271"/>
    <w:rsid w:val="00201312"/>
    <w:rsid w:val="00201A5A"/>
    <w:rsid w:val="00201ABC"/>
    <w:rsid w:val="00202078"/>
    <w:rsid w:val="002020E8"/>
    <w:rsid w:val="00202155"/>
    <w:rsid w:val="002027A1"/>
    <w:rsid w:val="002027BB"/>
    <w:rsid w:val="00202B52"/>
    <w:rsid w:val="00202CFF"/>
    <w:rsid w:val="00203B55"/>
    <w:rsid w:val="00203E02"/>
    <w:rsid w:val="00203E50"/>
    <w:rsid w:val="00203F15"/>
    <w:rsid w:val="00203F34"/>
    <w:rsid w:val="002044C6"/>
    <w:rsid w:val="0020483A"/>
    <w:rsid w:val="00205A42"/>
    <w:rsid w:val="002065E8"/>
    <w:rsid w:val="0020683C"/>
    <w:rsid w:val="00206AF1"/>
    <w:rsid w:val="00206B83"/>
    <w:rsid w:val="00206D87"/>
    <w:rsid w:val="00206E70"/>
    <w:rsid w:val="00207137"/>
    <w:rsid w:val="0020725C"/>
    <w:rsid w:val="00207744"/>
    <w:rsid w:val="0021037E"/>
    <w:rsid w:val="0021072D"/>
    <w:rsid w:val="00210743"/>
    <w:rsid w:val="002108BC"/>
    <w:rsid w:val="00210A66"/>
    <w:rsid w:val="002112AB"/>
    <w:rsid w:val="002112CD"/>
    <w:rsid w:val="00211CF9"/>
    <w:rsid w:val="00211F33"/>
    <w:rsid w:val="002124B8"/>
    <w:rsid w:val="00212525"/>
    <w:rsid w:val="00212A86"/>
    <w:rsid w:val="00212CBF"/>
    <w:rsid w:val="00213B9B"/>
    <w:rsid w:val="00213C00"/>
    <w:rsid w:val="00213D5C"/>
    <w:rsid w:val="002140BB"/>
    <w:rsid w:val="00214734"/>
    <w:rsid w:val="00214C00"/>
    <w:rsid w:val="00214FC3"/>
    <w:rsid w:val="002150BD"/>
    <w:rsid w:val="0021581B"/>
    <w:rsid w:val="002159C6"/>
    <w:rsid w:val="00216451"/>
    <w:rsid w:val="00217192"/>
    <w:rsid w:val="0021733F"/>
    <w:rsid w:val="002174EA"/>
    <w:rsid w:val="002176C9"/>
    <w:rsid w:val="00217A99"/>
    <w:rsid w:val="00217FF7"/>
    <w:rsid w:val="002200D2"/>
    <w:rsid w:val="00220761"/>
    <w:rsid w:val="00220C7B"/>
    <w:rsid w:val="00220F16"/>
    <w:rsid w:val="002211AF"/>
    <w:rsid w:val="00221469"/>
    <w:rsid w:val="0022147E"/>
    <w:rsid w:val="00221E42"/>
    <w:rsid w:val="00221E78"/>
    <w:rsid w:val="0022268B"/>
    <w:rsid w:val="002226A1"/>
    <w:rsid w:val="002227CF"/>
    <w:rsid w:val="002229DB"/>
    <w:rsid w:val="00222AEF"/>
    <w:rsid w:val="00222D98"/>
    <w:rsid w:val="002232F7"/>
    <w:rsid w:val="002233A1"/>
    <w:rsid w:val="002234F4"/>
    <w:rsid w:val="00223873"/>
    <w:rsid w:val="00224338"/>
    <w:rsid w:val="002247BD"/>
    <w:rsid w:val="002248D1"/>
    <w:rsid w:val="0022499A"/>
    <w:rsid w:val="00224B01"/>
    <w:rsid w:val="00224D80"/>
    <w:rsid w:val="00225927"/>
    <w:rsid w:val="00225A39"/>
    <w:rsid w:val="00225DC1"/>
    <w:rsid w:val="002264B0"/>
    <w:rsid w:val="00226695"/>
    <w:rsid w:val="002268CE"/>
    <w:rsid w:val="00226991"/>
    <w:rsid w:val="00226998"/>
    <w:rsid w:val="002273ED"/>
    <w:rsid w:val="00227C0F"/>
    <w:rsid w:val="0023007A"/>
    <w:rsid w:val="00230719"/>
    <w:rsid w:val="002308BC"/>
    <w:rsid w:val="00230A0E"/>
    <w:rsid w:val="00231319"/>
    <w:rsid w:val="00231DE9"/>
    <w:rsid w:val="002322A0"/>
    <w:rsid w:val="0023231E"/>
    <w:rsid w:val="00232504"/>
    <w:rsid w:val="002326BB"/>
    <w:rsid w:val="00232BBF"/>
    <w:rsid w:val="00232BFC"/>
    <w:rsid w:val="00233892"/>
    <w:rsid w:val="00233E0E"/>
    <w:rsid w:val="00234188"/>
    <w:rsid w:val="002341BC"/>
    <w:rsid w:val="002341E6"/>
    <w:rsid w:val="002346E3"/>
    <w:rsid w:val="00234D1C"/>
    <w:rsid w:val="00234E80"/>
    <w:rsid w:val="00235272"/>
    <w:rsid w:val="00236423"/>
    <w:rsid w:val="00236B20"/>
    <w:rsid w:val="00236D2C"/>
    <w:rsid w:val="00237007"/>
    <w:rsid w:val="00237885"/>
    <w:rsid w:val="002378DF"/>
    <w:rsid w:val="00237AA6"/>
    <w:rsid w:val="00237BA3"/>
    <w:rsid w:val="00237D9A"/>
    <w:rsid w:val="0024014E"/>
    <w:rsid w:val="00240502"/>
    <w:rsid w:val="0024081C"/>
    <w:rsid w:val="00240AE2"/>
    <w:rsid w:val="00240EE3"/>
    <w:rsid w:val="00241E04"/>
    <w:rsid w:val="00242581"/>
    <w:rsid w:val="00242725"/>
    <w:rsid w:val="00242AC8"/>
    <w:rsid w:val="00242BBF"/>
    <w:rsid w:val="0024326F"/>
    <w:rsid w:val="0024338B"/>
    <w:rsid w:val="002436DD"/>
    <w:rsid w:val="002437C0"/>
    <w:rsid w:val="00243903"/>
    <w:rsid w:val="00243CE3"/>
    <w:rsid w:val="0024413D"/>
    <w:rsid w:val="002443C7"/>
    <w:rsid w:val="002446AD"/>
    <w:rsid w:val="00244770"/>
    <w:rsid w:val="00244BE9"/>
    <w:rsid w:val="00244FF8"/>
    <w:rsid w:val="002450AA"/>
    <w:rsid w:val="002450C5"/>
    <w:rsid w:val="00245247"/>
    <w:rsid w:val="0024542C"/>
    <w:rsid w:val="00246306"/>
    <w:rsid w:val="00246389"/>
    <w:rsid w:val="00246857"/>
    <w:rsid w:val="0024708A"/>
    <w:rsid w:val="002472D9"/>
    <w:rsid w:val="00247426"/>
    <w:rsid w:val="00247D82"/>
    <w:rsid w:val="0025006E"/>
    <w:rsid w:val="002507C1"/>
    <w:rsid w:val="002508AB"/>
    <w:rsid w:val="00250DE5"/>
    <w:rsid w:val="0025160C"/>
    <w:rsid w:val="00251671"/>
    <w:rsid w:val="002519FE"/>
    <w:rsid w:val="00251AC2"/>
    <w:rsid w:val="002520AD"/>
    <w:rsid w:val="00252775"/>
    <w:rsid w:val="00252B60"/>
    <w:rsid w:val="00252FBC"/>
    <w:rsid w:val="00253637"/>
    <w:rsid w:val="002537CA"/>
    <w:rsid w:val="00253D46"/>
    <w:rsid w:val="00253E77"/>
    <w:rsid w:val="00253EFC"/>
    <w:rsid w:val="002541FF"/>
    <w:rsid w:val="00254214"/>
    <w:rsid w:val="00254287"/>
    <w:rsid w:val="002542DA"/>
    <w:rsid w:val="00254C78"/>
    <w:rsid w:val="00254EA2"/>
    <w:rsid w:val="00255422"/>
    <w:rsid w:val="0025599F"/>
    <w:rsid w:val="00255B9B"/>
    <w:rsid w:val="00255E66"/>
    <w:rsid w:val="00255EAB"/>
    <w:rsid w:val="002564DD"/>
    <w:rsid w:val="00257170"/>
    <w:rsid w:val="002574C4"/>
    <w:rsid w:val="0025770B"/>
    <w:rsid w:val="00257F23"/>
    <w:rsid w:val="00257FB9"/>
    <w:rsid w:val="002600C9"/>
    <w:rsid w:val="002602B6"/>
    <w:rsid w:val="00260BF2"/>
    <w:rsid w:val="00261A7F"/>
    <w:rsid w:val="002620F4"/>
    <w:rsid w:val="00262592"/>
    <w:rsid w:val="002625E7"/>
    <w:rsid w:val="0026267B"/>
    <w:rsid w:val="00262916"/>
    <w:rsid w:val="00262A6E"/>
    <w:rsid w:val="00263114"/>
    <w:rsid w:val="0026389E"/>
    <w:rsid w:val="00263AD9"/>
    <w:rsid w:val="00263BEC"/>
    <w:rsid w:val="0026444C"/>
    <w:rsid w:val="00264557"/>
    <w:rsid w:val="00264B7C"/>
    <w:rsid w:val="00264C4C"/>
    <w:rsid w:val="002656CF"/>
    <w:rsid w:val="00265A8D"/>
    <w:rsid w:val="00265E86"/>
    <w:rsid w:val="00265FE5"/>
    <w:rsid w:val="002661C9"/>
    <w:rsid w:val="002664B5"/>
    <w:rsid w:val="00266A4F"/>
    <w:rsid w:val="00266A56"/>
    <w:rsid w:val="00266ED5"/>
    <w:rsid w:val="00267057"/>
    <w:rsid w:val="00267126"/>
    <w:rsid w:val="0026724D"/>
    <w:rsid w:val="00267FDB"/>
    <w:rsid w:val="002706AF"/>
    <w:rsid w:val="00270A9D"/>
    <w:rsid w:val="00270FB6"/>
    <w:rsid w:val="00270FBB"/>
    <w:rsid w:val="002710CE"/>
    <w:rsid w:val="00271180"/>
    <w:rsid w:val="002711A4"/>
    <w:rsid w:val="002711C1"/>
    <w:rsid w:val="0027131E"/>
    <w:rsid w:val="002714F8"/>
    <w:rsid w:val="0027244E"/>
    <w:rsid w:val="00272E49"/>
    <w:rsid w:val="002731D6"/>
    <w:rsid w:val="002731DF"/>
    <w:rsid w:val="002734AB"/>
    <w:rsid w:val="0027354B"/>
    <w:rsid w:val="002736F3"/>
    <w:rsid w:val="002742A9"/>
    <w:rsid w:val="002745A0"/>
    <w:rsid w:val="00274C1F"/>
    <w:rsid w:val="00274DA3"/>
    <w:rsid w:val="0027535B"/>
    <w:rsid w:val="002754C6"/>
    <w:rsid w:val="002758C0"/>
    <w:rsid w:val="00275B7B"/>
    <w:rsid w:val="00276039"/>
    <w:rsid w:val="00276279"/>
    <w:rsid w:val="002769BF"/>
    <w:rsid w:val="00276DC2"/>
    <w:rsid w:val="0027775A"/>
    <w:rsid w:val="00277FB8"/>
    <w:rsid w:val="002800B5"/>
    <w:rsid w:val="002802D1"/>
    <w:rsid w:val="00280704"/>
    <w:rsid w:val="00280C36"/>
    <w:rsid w:val="00280E25"/>
    <w:rsid w:val="00280F36"/>
    <w:rsid w:val="00280F73"/>
    <w:rsid w:val="0028119A"/>
    <w:rsid w:val="00281251"/>
    <w:rsid w:val="002813CF"/>
    <w:rsid w:val="002817B2"/>
    <w:rsid w:val="00281992"/>
    <w:rsid w:val="00281C0E"/>
    <w:rsid w:val="00281C7F"/>
    <w:rsid w:val="00281F59"/>
    <w:rsid w:val="00282729"/>
    <w:rsid w:val="002835C8"/>
    <w:rsid w:val="00283963"/>
    <w:rsid w:val="00283985"/>
    <w:rsid w:val="00283AAB"/>
    <w:rsid w:val="00283D21"/>
    <w:rsid w:val="00284380"/>
    <w:rsid w:val="002845B8"/>
    <w:rsid w:val="00284ADF"/>
    <w:rsid w:val="00284EFF"/>
    <w:rsid w:val="0028585A"/>
    <w:rsid w:val="00285A91"/>
    <w:rsid w:val="00285CA6"/>
    <w:rsid w:val="00285DEB"/>
    <w:rsid w:val="00285FF4"/>
    <w:rsid w:val="002860EE"/>
    <w:rsid w:val="002863EB"/>
    <w:rsid w:val="00286786"/>
    <w:rsid w:val="00286790"/>
    <w:rsid w:val="00286D55"/>
    <w:rsid w:val="00286DE0"/>
    <w:rsid w:val="0028705A"/>
    <w:rsid w:val="00287151"/>
    <w:rsid w:val="002874DF"/>
    <w:rsid w:val="00287691"/>
    <w:rsid w:val="002877B5"/>
    <w:rsid w:val="002878AD"/>
    <w:rsid w:val="00287903"/>
    <w:rsid w:val="00287CC3"/>
    <w:rsid w:val="00287EEC"/>
    <w:rsid w:val="002907F4"/>
    <w:rsid w:val="00290A00"/>
    <w:rsid w:val="00290B22"/>
    <w:rsid w:val="00290BF3"/>
    <w:rsid w:val="00290DC9"/>
    <w:rsid w:val="00290E72"/>
    <w:rsid w:val="00290FC9"/>
    <w:rsid w:val="002913A3"/>
    <w:rsid w:val="00291597"/>
    <w:rsid w:val="002916E2"/>
    <w:rsid w:val="00291796"/>
    <w:rsid w:val="00291955"/>
    <w:rsid w:val="00291B69"/>
    <w:rsid w:val="00291C47"/>
    <w:rsid w:val="00291D12"/>
    <w:rsid w:val="002925D1"/>
    <w:rsid w:val="00292C0A"/>
    <w:rsid w:val="00292C82"/>
    <w:rsid w:val="00292DB7"/>
    <w:rsid w:val="00292ECA"/>
    <w:rsid w:val="002932DE"/>
    <w:rsid w:val="002934B2"/>
    <w:rsid w:val="00293997"/>
    <w:rsid w:val="002939C8"/>
    <w:rsid w:val="00293CB0"/>
    <w:rsid w:val="002940A5"/>
    <w:rsid w:val="00294DC5"/>
    <w:rsid w:val="002950C0"/>
    <w:rsid w:val="00295242"/>
    <w:rsid w:val="00295394"/>
    <w:rsid w:val="00295647"/>
    <w:rsid w:val="00295676"/>
    <w:rsid w:val="002957A0"/>
    <w:rsid w:val="0029597E"/>
    <w:rsid w:val="00295B22"/>
    <w:rsid w:val="00295DE8"/>
    <w:rsid w:val="00295E8F"/>
    <w:rsid w:val="00296327"/>
    <w:rsid w:val="00296340"/>
    <w:rsid w:val="00296482"/>
    <w:rsid w:val="00296551"/>
    <w:rsid w:val="00296713"/>
    <w:rsid w:val="00296751"/>
    <w:rsid w:val="00297229"/>
    <w:rsid w:val="002977BB"/>
    <w:rsid w:val="0029792B"/>
    <w:rsid w:val="002A021C"/>
    <w:rsid w:val="002A0345"/>
    <w:rsid w:val="002A0670"/>
    <w:rsid w:val="002A111B"/>
    <w:rsid w:val="002A1829"/>
    <w:rsid w:val="002A1B56"/>
    <w:rsid w:val="002A1EB7"/>
    <w:rsid w:val="002A205D"/>
    <w:rsid w:val="002A2616"/>
    <w:rsid w:val="002A2A77"/>
    <w:rsid w:val="002A2B99"/>
    <w:rsid w:val="002A2D70"/>
    <w:rsid w:val="002A2E05"/>
    <w:rsid w:val="002A342F"/>
    <w:rsid w:val="002A3CB6"/>
    <w:rsid w:val="002A4131"/>
    <w:rsid w:val="002A4264"/>
    <w:rsid w:val="002A42BF"/>
    <w:rsid w:val="002A4ABF"/>
    <w:rsid w:val="002A4D0D"/>
    <w:rsid w:val="002A5C7D"/>
    <w:rsid w:val="002A5D98"/>
    <w:rsid w:val="002A5E08"/>
    <w:rsid w:val="002A5E55"/>
    <w:rsid w:val="002A5EDD"/>
    <w:rsid w:val="002A5F19"/>
    <w:rsid w:val="002A62AB"/>
    <w:rsid w:val="002A649F"/>
    <w:rsid w:val="002A6CBE"/>
    <w:rsid w:val="002A6F43"/>
    <w:rsid w:val="002A71A2"/>
    <w:rsid w:val="002A75FA"/>
    <w:rsid w:val="002A7C22"/>
    <w:rsid w:val="002B0013"/>
    <w:rsid w:val="002B0170"/>
    <w:rsid w:val="002B0B0C"/>
    <w:rsid w:val="002B0CA7"/>
    <w:rsid w:val="002B0EB1"/>
    <w:rsid w:val="002B0FF7"/>
    <w:rsid w:val="002B1174"/>
    <w:rsid w:val="002B131C"/>
    <w:rsid w:val="002B15EF"/>
    <w:rsid w:val="002B160D"/>
    <w:rsid w:val="002B167C"/>
    <w:rsid w:val="002B1968"/>
    <w:rsid w:val="002B1BD7"/>
    <w:rsid w:val="002B1CE0"/>
    <w:rsid w:val="002B1EF2"/>
    <w:rsid w:val="002B2704"/>
    <w:rsid w:val="002B31C1"/>
    <w:rsid w:val="002B372E"/>
    <w:rsid w:val="002B420C"/>
    <w:rsid w:val="002B4358"/>
    <w:rsid w:val="002B4D65"/>
    <w:rsid w:val="002B503A"/>
    <w:rsid w:val="002B52BC"/>
    <w:rsid w:val="002B5501"/>
    <w:rsid w:val="002B5820"/>
    <w:rsid w:val="002B596B"/>
    <w:rsid w:val="002B612D"/>
    <w:rsid w:val="002B6551"/>
    <w:rsid w:val="002B6703"/>
    <w:rsid w:val="002B6A40"/>
    <w:rsid w:val="002B6E3B"/>
    <w:rsid w:val="002B7553"/>
    <w:rsid w:val="002B7562"/>
    <w:rsid w:val="002B794E"/>
    <w:rsid w:val="002B7B1F"/>
    <w:rsid w:val="002B7EBF"/>
    <w:rsid w:val="002B7F49"/>
    <w:rsid w:val="002B81A9"/>
    <w:rsid w:val="002C0041"/>
    <w:rsid w:val="002C0083"/>
    <w:rsid w:val="002C0288"/>
    <w:rsid w:val="002C03D8"/>
    <w:rsid w:val="002C0517"/>
    <w:rsid w:val="002C0A56"/>
    <w:rsid w:val="002C0C93"/>
    <w:rsid w:val="002C0CFB"/>
    <w:rsid w:val="002C0D75"/>
    <w:rsid w:val="002C149C"/>
    <w:rsid w:val="002C1674"/>
    <w:rsid w:val="002C1682"/>
    <w:rsid w:val="002C219B"/>
    <w:rsid w:val="002C231C"/>
    <w:rsid w:val="002C23F3"/>
    <w:rsid w:val="002C27AF"/>
    <w:rsid w:val="002C2ADC"/>
    <w:rsid w:val="002C2B30"/>
    <w:rsid w:val="002C2D1F"/>
    <w:rsid w:val="002C2D4E"/>
    <w:rsid w:val="002C33F6"/>
    <w:rsid w:val="002C38F8"/>
    <w:rsid w:val="002C4333"/>
    <w:rsid w:val="002C4470"/>
    <w:rsid w:val="002C4C72"/>
    <w:rsid w:val="002C54D8"/>
    <w:rsid w:val="002C5B60"/>
    <w:rsid w:val="002C5C52"/>
    <w:rsid w:val="002C625F"/>
    <w:rsid w:val="002C68CF"/>
    <w:rsid w:val="002C695C"/>
    <w:rsid w:val="002C69AE"/>
    <w:rsid w:val="002C69D9"/>
    <w:rsid w:val="002C6BD9"/>
    <w:rsid w:val="002C6C62"/>
    <w:rsid w:val="002C78AF"/>
    <w:rsid w:val="002C794D"/>
    <w:rsid w:val="002C7958"/>
    <w:rsid w:val="002C7D87"/>
    <w:rsid w:val="002C7DFD"/>
    <w:rsid w:val="002D007A"/>
    <w:rsid w:val="002D00E6"/>
    <w:rsid w:val="002D0C1F"/>
    <w:rsid w:val="002D220A"/>
    <w:rsid w:val="002D2351"/>
    <w:rsid w:val="002D2BEA"/>
    <w:rsid w:val="002D31FC"/>
    <w:rsid w:val="002D3255"/>
    <w:rsid w:val="002D344D"/>
    <w:rsid w:val="002D37CF"/>
    <w:rsid w:val="002D3BE6"/>
    <w:rsid w:val="002D3E71"/>
    <w:rsid w:val="002D3EFF"/>
    <w:rsid w:val="002D448E"/>
    <w:rsid w:val="002D4525"/>
    <w:rsid w:val="002D46EE"/>
    <w:rsid w:val="002D4DAE"/>
    <w:rsid w:val="002D51B9"/>
    <w:rsid w:val="002D53BB"/>
    <w:rsid w:val="002D59B2"/>
    <w:rsid w:val="002D5A07"/>
    <w:rsid w:val="002D5A84"/>
    <w:rsid w:val="002D5DC6"/>
    <w:rsid w:val="002D6469"/>
    <w:rsid w:val="002D6AB8"/>
    <w:rsid w:val="002D77BE"/>
    <w:rsid w:val="002D7871"/>
    <w:rsid w:val="002D7974"/>
    <w:rsid w:val="002D7B2F"/>
    <w:rsid w:val="002D7DE2"/>
    <w:rsid w:val="002E011C"/>
    <w:rsid w:val="002E04C1"/>
    <w:rsid w:val="002E04F5"/>
    <w:rsid w:val="002E0670"/>
    <w:rsid w:val="002E09DD"/>
    <w:rsid w:val="002E0C13"/>
    <w:rsid w:val="002E1323"/>
    <w:rsid w:val="002E15F3"/>
    <w:rsid w:val="002E17F0"/>
    <w:rsid w:val="002E21D6"/>
    <w:rsid w:val="002E23EE"/>
    <w:rsid w:val="002E2470"/>
    <w:rsid w:val="002E2966"/>
    <w:rsid w:val="002E31E6"/>
    <w:rsid w:val="002E3394"/>
    <w:rsid w:val="002E34C5"/>
    <w:rsid w:val="002E365A"/>
    <w:rsid w:val="002E3795"/>
    <w:rsid w:val="002E39FA"/>
    <w:rsid w:val="002E3B41"/>
    <w:rsid w:val="002E3E92"/>
    <w:rsid w:val="002E3EBB"/>
    <w:rsid w:val="002E4A07"/>
    <w:rsid w:val="002E582B"/>
    <w:rsid w:val="002E5995"/>
    <w:rsid w:val="002E5B4C"/>
    <w:rsid w:val="002E5C12"/>
    <w:rsid w:val="002E5FD1"/>
    <w:rsid w:val="002E60B6"/>
    <w:rsid w:val="002E638A"/>
    <w:rsid w:val="002E64D3"/>
    <w:rsid w:val="002E659C"/>
    <w:rsid w:val="002E6C0A"/>
    <w:rsid w:val="002E6CC2"/>
    <w:rsid w:val="002E6DB1"/>
    <w:rsid w:val="002E70B5"/>
    <w:rsid w:val="002E77EF"/>
    <w:rsid w:val="002E7E16"/>
    <w:rsid w:val="002E7EDF"/>
    <w:rsid w:val="002F0105"/>
    <w:rsid w:val="002F0652"/>
    <w:rsid w:val="002F0725"/>
    <w:rsid w:val="002F0D1D"/>
    <w:rsid w:val="002F0D78"/>
    <w:rsid w:val="002F1048"/>
    <w:rsid w:val="002F1165"/>
    <w:rsid w:val="002F15A7"/>
    <w:rsid w:val="002F15D5"/>
    <w:rsid w:val="002F1626"/>
    <w:rsid w:val="002F19C4"/>
    <w:rsid w:val="002F1E80"/>
    <w:rsid w:val="002F2333"/>
    <w:rsid w:val="002F254E"/>
    <w:rsid w:val="002F2651"/>
    <w:rsid w:val="002F267E"/>
    <w:rsid w:val="002F274A"/>
    <w:rsid w:val="002F2A43"/>
    <w:rsid w:val="002F2D1D"/>
    <w:rsid w:val="002F2D98"/>
    <w:rsid w:val="002F31C9"/>
    <w:rsid w:val="002F3310"/>
    <w:rsid w:val="002F35EB"/>
    <w:rsid w:val="002F35F5"/>
    <w:rsid w:val="002F3B42"/>
    <w:rsid w:val="002F3D12"/>
    <w:rsid w:val="002F486E"/>
    <w:rsid w:val="002F49CF"/>
    <w:rsid w:val="002F4F0D"/>
    <w:rsid w:val="002F52BF"/>
    <w:rsid w:val="002F5751"/>
    <w:rsid w:val="002F5799"/>
    <w:rsid w:val="002F5D8C"/>
    <w:rsid w:val="002F5E04"/>
    <w:rsid w:val="002F5FC1"/>
    <w:rsid w:val="002F6018"/>
    <w:rsid w:val="002F6DFC"/>
    <w:rsid w:val="002F70D0"/>
    <w:rsid w:val="002F7390"/>
    <w:rsid w:val="002F7C9A"/>
    <w:rsid w:val="002F7E68"/>
    <w:rsid w:val="00300047"/>
    <w:rsid w:val="00300250"/>
    <w:rsid w:val="003005A2"/>
    <w:rsid w:val="003008DE"/>
    <w:rsid w:val="00300942"/>
    <w:rsid w:val="00300AF4"/>
    <w:rsid w:val="00300E46"/>
    <w:rsid w:val="0030133C"/>
    <w:rsid w:val="003014E1"/>
    <w:rsid w:val="003019A7"/>
    <w:rsid w:val="00301C0D"/>
    <w:rsid w:val="00301D64"/>
    <w:rsid w:val="00301E92"/>
    <w:rsid w:val="00301F15"/>
    <w:rsid w:val="00301F95"/>
    <w:rsid w:val="00302121"/>
    <w:rsid w:val="0030215C"/>
    <w:rsid w:val="0030223A"/>
    <w:rsid w:val="003022ED"/>
    <w:rsid w:val="00302A3E"/>
    <w:rsid w:val="003030E8"/>
    <w:rsid w:val="00303185"/>
    <w:rsid w:val="003031C1"/>
    <w:rsid w:val="0030322A"/>
    <w:rsid w:val="003033F9"/>
    <w:rsid w:val="00303581"/>
    <w:rsid w:val="003037B8"/>
    <w:rsid w:val="00303B0F"/>
    <w:rsid w:val="00303DAB"/>
    <w:rsid w:val="0030512E"/>
    <w:rsid w:val="00305429"/>
    <w:rsid w:val="003056C8"/>
    <w:rsid w:val="00305F8D"/>
    <w:rsid w:val="0030627C"/>
    <w:rsid w:val="003062DD"/>
    <w:rsid w:val="0030641F"/>
    <w:rsid w:val="00306BD2"/>
    <w:rsid w:val="00306FAE"/>
    <w:rsid w:val="003071B9"/>
    <w:rsid w:val="0030741F"/>
    <w:rsid w:val="00307AE9"/>
    <w:rsid w:val="00307C51"/>
    <w:rsid w:val="00310069"/>
    <w:rsid w:val="00310165"/>
    <w:rsid w:val="003102CC"/>
    <w:rsid w:val="0031070A"/>
    <w:rsid w:val="00310F81"/>
    <w:rsid w:val="003115BB"/>
    <w:rsid w:val="003115D1"/>
    <w:rsid w:val="00311666"/>
    <w:rsid w:val="00311B76"/>
    <w:rsid w:val="00311CAE"/>
    <w:rsid w:val="00311D46"/>
    <w:rsid w:val="00312569"/>
    <w:rsid w:val="003125A9"/>
    <w:rsid w:val="0031279E"/>
    <w:rsid w:val="00313184"/>
    <w:rsid w:val="0031345C"/>
    <w:rsid w:val="003135E4"/>
    <w:rsid w:val="0031429E"/>
    <w:rsid w:val="003148A5"/>
    <w:rsid w:val="003149FF"/>
    <w:rsid w:val="00314CA3"/>
    <w:rsid w:val="00314CA4"/>
    <w:rsid w:val="00314FA6"/>
    <w:rsid w:val="00315126"/>
    <w:rsid w:val="00315207"/>
    <w:rsid w:val="003153EF"/>
    <w:rsid w:val="0031540E"/>
    <w:rsid w:val="0031541A"/>
    <w:rsid w:val="00315750"/>
    <w:rsid w:val="00315825"/>
    <w:rsid w:val="00315ACC"/>
    <w:rsid w:val="00315CFA"/>
    <w:rsid w:val="00315D6D"/>
    <w:rsid w:val="00316157"/>
    <w:rsid w:val="003161D8"/>
    <w:rsid w:val="00316654"/>
    <w:rsid w:val="003168BC"/>
    <w:rsid w:val="00316F39"/>
    <w:rsid w:val="003171CE"/>
    <w:rsid w:val="003173B8"/>
    <w:rsid w:val="003176A0"/>
    <w:rsid w:val="00317CE6"/>
    <w:rsid w:val="0032000C"/>
    <w:rsid w:val="00320210"/>
    <w:rsid w:val="003204AC"/>
    <w:rsid w:val="003204DC"/>
    <w:rsid w:val="00320BB9"/>
    <w:rsid w:val="00321003"/>
    <w:rsid w:val="0032119E"/>
    <w:rsid w:val="00321AA8"/>
    <w:rsid w:val="00321C4E"/>
    <w:rsid w:val="00321E3C"/>
    <w:rsid w:val="003220FE"/>
    <w:rsid w:val="0032259B"/>
    <w:rsid w:val="0032287F"/>
    <w:rsid w:val="00322A97"/>
    <w:rsid w:val="00322F6E"/>
    <w:rsid w:val="0032301A"/>
    <w:rsid w:val="0032318F"/>
    <w:rsid w:val="00323732"/>
    <w:rsid w:val="003237D3"/>
    <w:rsid w:val="003237E7"/>
    <w:rsid w:val="00323B12"/>
    <w:rsid w:val="00323E46"/>
    <w:rsid w:val="00323F34"/>
    <w:rsid w:val="003244B1"/>
    <w:rsid w:val="00324699"/>
    <w:rsid w:val="00324856"/>
    <w:rsid w:val="00324A13"/>
    <w:rsid w:val="00324E22"/>
    <w:rsid w:val="00324ED9"/>
    <w:rsid w:val="00325788"/>
    <w:rsid w:val="00325E18"/>
    <w:rsid w:val="003264E7"/>
    <w:rsid w:val="00326577"/>
    <w:rsid w:val="00326618"/>
    <w:rsid w:val="00326686"/>
    <w:rsid w:val="0032668C"/>
    <w:rsid w:val="00326BD7"/>
    <w:rsid w:val="00326FB6"/>
    <w:rsid w:val="00327150"/>
    <w:rsid w:val="00327266"/>
    <w:rsid w:val="00327353"/>
    <w:rsid w:val="00327768"/>
    <w:rsid w:val="00327993"/>
    <w:rsid w:val="00327E46"/>
    <w:rsid w:val="0033035A"/>
    <w:rsid w:val="00331564"/>
    <w:rsid w:val="0033287F"/>
    <w:rsid w:val="00332BA5"/>
    <w:rsid w:val="003334B5"/>
    <w:rsid w:val="003336CE"/>
    <w:rsid w:val="00333875"/>
    <w:rsid w:val="003338C7"/>
    <w:rsid w:val="003340E4"/>
    <w:rsid w:val="0033451F"/>
    <w:rsid w:val="00334E56"/>
    <w:rsid w:val="0033595F"/>
    <w:rsid w:val="00335A64"/>
    <w:rsid w:val="00335B9B"/>
    <w:rsid w:val="0033601D"/>
    <w:rsid w:val="00336116"/>
    <w:rsid w:val="003364FA"/>
    <w:rsid w:val="003366A4"/>
    <w:rsid w:val="00336FF5"/>
    <w:rsid w:val="00337168"/>
    <w:rsid w:val="00337359"/>
    <w:rsid w:val="00337A0A"/>
    <w:rsid w:val="00337AFF"/>
    <w:rsid w:val="00337B46"/>
    <w:rsid w:val="00337E41"/>
    <w:rsid w:val="003403DB"/>
    <w:rsid w:val="00340BB4"/>
    <w:rsid w:val="00340C36"/>
    <w:rsid w:val="00340F08"/>
    <w:rsid w:val="00341637"/>
    <w:rsid w:val="003417B1"/>
    <w:rsid w:val="00341859"/>
    <w:rsid w:val="0034199D"/>
    <w:rsid w:val="00341E53"/>
    <w:rsid w:val="0034221B"/>
    <w:rsid w:val="003424C2"/>
    <w:rsid w:val="003427FC"/>
    <w:rsid w:val="00342854"/>
    <w:rsid w:val="003428AB"/>
    <w:rsid w:val="00342C66"/>
    <w:rsid w:val="00342D89"/>
    <w:rsid w:val="00342FFD"/>
    <w:rsid w:val="0034301C"/>
    <w:rsid w:val="00343034"/>
    <w:rsid w:val="003436E3"/>
    <w:rsid w:val="00343CD7"/>
    <w:rsid w:val="00343DCB"/>
    <w:rsid w:val="00344078"/>
    <w:rsid w:val="003441FD"/>
    <w:rsid w:val="003442E0"/>
    <w:rsid w:val="00344CAB"/>
    <w:rsid w:val="00344EA3"/>
    <w:rsid w:val="00345164"/>
    <w:rsid w:val="003453D5"/>
    <w:rsid w:val="00345511"/>
    <w:rsid w:val="0034595A"/>
    <w:rsid w:val="00345A4D"/>
    <w:rsid w:val="00345AAD"/>
    <w:rsid w:val="00345E4B"/>
    <w:rsid w:val="00345EB9"/>
    <w:rsid w:val="00345F8B"/>
    <w:rsid w:val="00346528"/>
    <w:rsid w:val="00346BAA"/>
    <w:rsid w:val="0034745E"/>
    <w:rsid w:val="00347BFE"/>
    <w:rsid w:val="00347E57"/>
    <w:rsid w:val="00347EB8"/>
    <w:rsid w:val="003503BF"/>
    <w:rsid w:val="003506F8"/>
    <w:rsid w:val="003508A5"/>
    <w:rsid w:val="00350B00"/>
    <w:rsid w:val="00351A08"/>
    <w:rsid w:val="00351D15"/>
    <w:rsid w:val="00351D2C"/>
    <w:rsid w:val="00351EDB"/>
    <w:rsid w:val="0035206F"/>
    <w:rsid w:val="00352E95"/>
    <w:rsid w:val="00353069"/>
    <w:rsid w:val="003530AF"/>
    <w:rsid w:val="00353176"/>
    <w:rsid w:val="0035355E"/>
    <w:rsid w:val="0035359A"/>
    <w:rsid w:val="0035403F"/>
    <w:rsid w:val="0035480D"/>
    <w:rsid w:val="00354A34"/>
    <w:rsid w:val="00354C50"/>
    <w:rsid w:val="00354E08"/>
    <w:rsid w:val="00355026"/>
    <w:rsid w:val="00355179"/>
    <w:rsid w:val="003551EF"/>
    <w:rsid w:val="003552BB"/>
    <w:rsid w:val="0035590E"/>
    <w:rsid w:val="00355BB7"/>
    <w:rsid w:val="00355FBF"/>
    <w:rsid w:val="0035644A"/>
    <w:rsid w:val="003564AB"/>
    <w:rsid w:val="0035666C"/>
    <w:rsid w:val="0035683E"/>
    <w:rsid w:val="003569E8"/>
    <w:rsid w:val="003573B3"/>
    <w:rsid w:val="00357B9A"/>
    <w:rsid w:val="00360251"/>
    <w:rsid w:val="003602CA"/>
    <w:rsid w:val="00360706"/>
    <w:rsid w:val="0036072D"/>
    <w:rsid w:val="003607AC"/>
    <w:rsid w:val="0036091C"/>
    <w:rsid w:val="003614EB"/>
    <w:rsid w:val="00361586"/>
    <w:rsid w:val="00361C9D"/>
    <w:rsid w:val="003628A8"/>
    <w:rsid w:val="00362E3A"/>
    <w:rsid w:val="00362E6E"/>
    <w:rsid w:val="00362F8D"/>
    <w:rsid w:val="00363171"/>
    <w:rsid w:val="0036383D"/>
    <w:rsid w:val="00363A02"/>
    <w:rsid w:val="00363A1C"/>
    <w:rsid w:val="003641E4"/>
    <w:rsid w:val="0036439A"/>
    <w:rsid w:val="00364527"/>
    <w:rsid w:val="0036495A"/>
    <w:rsid w:val="00364A6D"/>
    <w:rsid w:val="00364F4E"/>
    <w:rsid w:val="00365885"/>
    <w:rsid w:val="003659C7"/>
    <w:rsid w:val="00365C38"/>
    <w:rsid w:val="00365D9C"/>
    <w:rsid w:val="0036619D"/>
    <w:rsid w:val="00366D46"/>
    <w:rsid w:val="00366EC0"/>
    <w:rsid w:val="00366EC4"/>
    <w:rsid w:val="0036780F"/>
    <w:rsid w:val="003704C0"/>
    <w:rsid w:val="003704E0"/>
    <w:rsid w:val="003707C9"/>
    <w:rsid w:val="0037086A"/>
    <w:rsid w:val="00371050"/>
    <w:rsid w:val="00371142"/>
    <w:rsid w:val="00371366"/>
    <w:rsid w:val="00371857"/>
    <w:rsid w:val="00371F52"/>
    <w:rsid w:val="00372279"/>
    <w:rsid w:val="00372609"/>
    <w:rsid w:val="003728AC"/>
    <w:rsid w:val="00372D0C"/>
    <w:rsid w:val="003730E8"/>
    <w:rsid w:val="00373E2A"/>
    <w:rsid w:val="00373FB5"/>
    <w:rsid w:val="003741CE"/>
    <w:rsid w:val="00374342"/>
    <w:rsid w:val="0037464A"/>
    <w:rsid w:val="00374695"/>
    <w:rsid w:val="003747D2"/>
    <w:rsid w:val="00374C1A"/>
    <w:rsid w:val="00374EBD"/>
    <w:rsid w:val="00375058"/>
    <w:rsid w:val="00375302"/>
    <w:rsid w:val="003754A2"/>
    <w:rsid w:val="003757FC"/>
    <w:rsid w:val="0037585C"/>
    <w:rsid w:val="00375B3C"/>
    <w:rsid w:val="00375BE2"/>
    <w:rsid w:val="00375E0D"/>
    <w:rsid w:val="0037609C"/>
    <w:rsid w:val="0037667A"/>
    <w:rsid w:val="0037680D"/>
    <w:rsid w:val="003769B0"/>
    <w:rsid w:val="003769F2"/>
    <w:rsid w:val="0037723C"/>
    <w:rsid w:val="0037737A"/>
    <w:rsid w:val="00377D96"/>
    <w:rsid w:val="00377DE1"/>
    <w:rsid w:val="00380549"/>
    <w:rsid w:val="003805BD"/>
    <w:rsid w:val="00380937"/>
    <w:rsid w:val="00380B72"/>
    <w:rsid w:val="0038158D"/>
    <w:rsid w:val="00381689"/>
    <w:rsid w:val="003816F7"/>
    <w:rsid w:val="003818F9"/>
    <w:rsid w:val="00382727"/>
    <w:rsid w:val="003828A9"/>
    <w:rsid w:val="00382B08"/>
    <w:rsid w:val="00382DA3"/>
    <w:rsid w:val="00382F4D"/>
    <w:rsid w:val="003833C1"/>
    <w:rsid w:val="00383448"/>
    <w:rsid w:val="00383B83"/>
    <w:rsid w:val="00383D12"/>
    <w:rsid w:val="00384648"/>
    <w:rsid w:val="00384ABB"/>
    <w:rsid w:val="00384C88"/>
    <w:rsid w:val="00384D02"/>
    <w:rsid w:val="00384D6E"/>
    <w:rsid w:val="00384DD4"/>
    <w:rsid w:val="00384F91"/>
    <w:rsid w:val="003850DE"/>
    <w:rsid w:val="003852C4"/>
    <w:rsid w:val="003853AC"/>
    <w:rsid w:val="00385750"/>
    <w:rsid w:val="00385851"/>
    <w:rsid w:val="00385A4F"/>
    <w:rsid w:val="00386479"/>
    <w:rsid w:val="00386530"/>
    <w:rsid w:val="00386D1D"/>
    <w:rsid w:val="00386D8F"/>
    <w:rsid w:val="0038731A"/>
    <w:rsid w:val="003879C2"/>
    <w:rsid w:val="0039001B"/>
    <w:rsid w:val="00390C79"/>
    <w:rsid w:val="00390CA7"/>
    <w:rsid w:val="00390CB4"/>
    <w:rsid w:val="00391047"/>
    <w:rsid w:val="00391E08"/>
    <w:rsid w:val="00391EC5"/>
    <w:rsid w:val="00392015"/>
    <w:rsid w:val="00392901"/>
    <w:rsid w:val="003929D1"/>
    <w:rsid w:val="00392F9D"/>
    <w:rsid w:val="00393912"/>
    <w:rsid w:val="00393F2B"/>
    <w:rsid w:val="0039417E"/>
    <w:rsid w:val="003946AF"/>
    <w:rsid w:val="00394A30"/>
    <w:rsid w:val="00394AF4"/>
    <w:rsid w:val="00394B16"/>
    <w:rsid w:val="00394D33"/>
    <w:rsid w:val="00394E89"/>
    <w:rsid w:val="00394EC0"/>
    <w:rsid w:val="00395117"/>
    <w:rsid w:val="0039516E"/>
    <w:rsid w:val="0039579C"/>
    <w:rsid w:val="00395933"/>
    <w:rsid w:val="00395DEE"/>
    <w:rsid w:val="00395E0B"/>
    <w:rsid w:val="00395EA6"/>
    <w:rsid w:val="00396098"/>
    <w:rsid w:val="003962B4"/>
    <w:rsid w:val="00396986"/>
    <w:rsid w:val="00396AF0"/>
    <w:rsid w:val="00396E58"/>
    <w:rsid w:val="00396E69"/>
    <w:rsid w:val="0039719B"/>
    <w:rsid w:val="003979BC"/>
    <w:rsid w:val="00397C03"/>
    <w:rsid w:val="00397DB3"/>
    <w:rsid w:val="00397EC3"/>
    <w:rsid w:val="00397F08"/>
    <w:rsid w:val="00397F46"/>
    <w:rsid w:val="003A05CC"/>
    <w:rsid w:val="003A0CE9"/>
    <w:rsid w:val="003A12C1"/>
    <w:rsid w:val="003A179B"/>
    <w:rsid w:val="003A1AFE"/>
    <w:rsid w:val="003A1E6C"/>
    <w:rsid w:val="003A1EB4"/>
    <w:rsid w:val="003A20BD"/>
    <w:rsid w:val="003A2260"/>
    <w:rsid w:val="003A24E3"/>
    <w:rsid w:val="003A24ED"/>
    <w:rsid w:val="003A26F9"/>
    <w:rsid w:val="003A27C9"/>
    <w:rsid w:val="003A291E"/>
    <w:rsid w:val="003A2C97"/>
    <w:rsid w:val="003A38C6"/>
    <w:rsid w:val="003A4277"/>
    <w:rsid w:val="003A42E6"/>
    <w:rsid w:val="003A4870"/>
    <w:rsid w:val="003A491B"/>
    <w:rsid w:val="003A4942"/>
    <w:rsid w:val="003A50CE"/>
    <w:rsid w:val="003A53E6"/>
    <w:rsid w:val="003A5433"/>
    <w:rsid w:val="003A583F"/>
    <w:rsid w:val="003A5861"/>
    <w:rsid w:val="003A589E"/>
    <w:rsid w:val="003A58A0"/>
    <w:rsid w:val="003A58D2"/>
    <w:rsid w:val="003A5FD1"/>
    <w:rsid w:val="003A6587"/>
    <w:rsid w:val="003A7953"/>
    <w:rsid w:val="003A7A6D"/>
    <w:rsid w:val="003B03C3"/>
    <w:rsid w:val="003B06C9"/>
    <w:rsid w:val="003B0AFE"/>
    <w:rsid w:val="003B0D61"/>
    <w:rsid w:val="003B0F0F"/>
    <w:rsid w:val="003B0F3D"/>
    <w:rsid w:val="003B1210"/>
    <w:rsid w:val="003B1211"/>
    <w:rsid w:val="003B15E3"/>
    <w:rsid w:val="003B1913"/>
    <w:rsid w:val="003B24B6"/>
    <w:rsid w:val="003B24FC"/>
    <w:rsid w:val="003B2F6F"/>
    <w:rsid w:val="003B41A0"/>
    <w:rsid w:val="003B475A"/>
    <w:rsid w:val="003B4A0D"/>
    <w:rsid w:val="003B4B30"/>
    <w:rsid w:val="003B4D5F"/>
    <w:rsid w:val="003B4E93"/>
    <w:rsid w:val="003B5A65"/>
    <w:rsid w:val="003B5B1F"/>
    <w:rsid w:val="003B5D54"/>
    <w:rsid w:val="003B5E6C"/>
    <w:rsid w:val="003B6376"/>
    <w:rsid w:val="003B6654"/>
    <w:rsid w:val="003B66B4"/>
    <w:rsid w:val="003B67FA"/>
    <w:rsid w:val="003B6B53"/>
    <w:rsid w:val="003B6DA2"/>
    <w:rsid w:val="003B6DED"/>
    <w:rsid w:val="003B6F12"/>
    <w:rsid w:val="003B6F1B"/>
    <w:rsid w:val="003B6F70"/>
    <w:rsid w:val="003B6F95"/>
    <w:rsid w:val="003B7AA0"/>
    <w:rsid w:val="003C0621"/>
    <w:rsid w:val="003C093D"/>
    <w:rsid w:val="003C09BA"/>
    <w:rsid w:val="003C0DDF"/>
    <w:rsid w:val="003C10A3"/>
    <w:rsid w:val="003C10CD"/>
    <w:rsid w:val="003C1464"/>
    <w:rsid w:val="003C1792"/>
    <w:rsid w:val="003C17C1"/>
    <w:rsid w:val="003C1FBF"/>
    <w:rsid w:val="003C21CF"/>
    <w:rsid w:val="003C22A1"/>
    <w:rsid w:val="003C23E5"/>
    <w:rsid w:val="003C2ACC"/>
    <w:rsid w:val="003C2BA4"/>
    <w:rsid w:val="003C2C7D"/>
    <w:rsid w:val="003C3419"/>
    <w:rsid w:val="003C34F9"/>
    <w:rsid w:val="003C36BA"/>
    <w:rsid w:val="003C3C69"/>
    <w:rsid w:val="003C3FF7"/>
    <w:rsid w:val="003C4586"/>
    <w:rsid w:val="003C46D9"/>
    <w:rsid w:val="003C4793"/>
    <w:rsid w:val="003C47E5"/>
    <w:rsid w:val="003C4993"/>
    <w:rsid w:val="003C4DCE"/>
    <w:rsid w:val="003C5C28"/>
    <w:rsid w:val="003C6130"/>
    <w:rsid w:val="003C613E"/>
    <w:rsid w:val="003C61F6"/>
    <w:rsid w:val="003C62E3"/>
    <w:rsid w:val="003C66CC"/>
    <w:rsid w:val="003C6A1F"/>
    <w:rsid w:val="003C6C7C"/>
    <w:rsid w:val="003C6E95"/>
    <w:rsid w:val="003C6F36"/>
    <w:rsid w:val="003C7303"/>
    <w:rsid w:val="003C78C3"/>
    <w:rsid w:val="003C7A70"/>
    <w:rsid w:val="003C7D24"/>
    <w:rsid w:val="003C7D5B"/>
    <w:rsid w:val="003C7DCD"/>
    <w:rsid w:val="003D03EE"/>
    <w:rsid w:val="003D0517"/>
    <w:rsid w:val="003D0AA0"/>
    <w:rsid w:val="003D0B07"/>
    <w:rsid w:val="003D0CB0"/>
    <w:rsid w:val="003D11C5"/>
    <w:rsid w:val="003D15AC"/>
    <w:rsid w:val="003D1A55"/>
    <w:rsid w:val="003D1E8C"/>
    <w:rsid w:val="003D20BC"/>
    <w:rsid w:val="003D2285"/>
    <w:rsid w:val="003D2552"/>
    <w:rsid w:val="003D2C24"/>
    <w:rsid w:val="003D2EA5"/>
    <w:rsid w:val="003D2EDF"/>
    <w:rsid w:val="003D3084"/>
    <w:rsid w:val="003D31BD"/>
    <w:rsid w:val="003D35AB"/>
    <w:rsid w:val="003D3FB0"/>
    <w:rsid w:val="003D42AC"/>
    <w:rsid w:val="003D441B"/>
    <w:rsid w:val="003D47C4"/>
    <w:rsid w:val="003D496D"/>
    <w:rsid w:val="003D4AB0"/>
    <w:rsid w:val="003D4F5B"/>
    <w:rsid w:val="003D5213"/>
    <w:rsid w:val="003D5449"/>
    <w:rsid w:val="003D5783"/>
    <w:rsid w:val="003D5E90"/>
    <w:rsid w:val="003D6641"/>
    <w:rsid w:val="003D6D74"/>
    <w:rsid w:val="003D77B3"/>
    <w:rsid w:val="003D78FA"/>
    <w:rsid w:val="003D7B11"/>
    <w:rsid w:val="003D7F47"/>
    <w:rsid w:val="003E0237"/>
    <w:rsid w:val="003E079C"/>
    <w:rsid w:val="003E07BE"/>
    <w:rsid w:val="003E0F95"/>
    <w:rsid w:val="003E1837"/>
    <w:rsid w:val="003E1ABF"/>
    <w:rsid w:val="003E1D6A"/>
    <w:rsid w:val="003E1EC2"/>
    <w:rsid w:val="003E1FEC"/>
    <w:rsid w:val="003E20F5"/>
    <w:rsid w:val="003E2100"/>
    <w:rsid w:val="003E26C7"/>
    <w:rsid w:val="003E2763"/>
    <w:rsid w:val="003E2FDC"/>
    <w:rsid w:val="003E31D7"/>
    <w:rsid w:val="003E3D2C"/>
    <w:rsid w:val="003E3D4E"/>
    <w:rsid w:val="003E3F1A"/>
    <w:rsid w:val="003E4ACC"/>
    <w:rsid w:val="003E4AF9"/>
    <w:rsid w:val="003E4C18"/>
    <w:rsid w:val="003E4D75"/>
    <w:rsid w:val="003E5470"/>
    <w:rsid w:val="003E5A10"/>
    <w:rsid w:val="003E5A3F"/>
    <w:rsid w:val="003E5CEC"/>
    <w:rsid w:val="003E617B"/>
    <w:rsid w:val="003E655A"/>
    <w:rsid w:val="003E6592"/>
    <w:rsid w:val="003E68E0"/>
    <w:rsid w:val="003E6A71"/>
    <w:rsid w:val="003E6B61"/>
    <w:rsid w:val="003E7E82"/>
    <w:rsid w:val="003E7F69"/>
    <w:rsid w:val="003F054E"/>
    <w:rsid w:val="003F0876"/>
    <w:rsid w:val="003F0A46"/>
    <w:rsid w:val="003F0C56"/>
    <w:rsid w:val="003F0D40"/>
    <w:rsid w:val="003F13E5"/>
    <w:rsid w:val="003F169D"/>
    <w:rsid w:val="003F17F4"/>
    <w:rsid w:val="003F18A5"/>
    <w:rsid w:val="003F2074"/>
    <w:rsid w:val="003F20F1"/>
    <w:rsid w:val="003F3782"/>
    <w:rsid w:val="003F3BA7"/>
    <w:rsid w:val="003F3EC9"/>
    <w:rsid w:val="003F3EEE"/>
    <w:rsid w:val="003F3F2C"/>
    <w:rsid w:val="003F4352"/>
    <w:rsid w:val="003F43C6"/>
    <w:rsid w:val="003F4516"/>
    <w:rsid w:val="003F4781"/>
    <w:rsid w:val="003F4912"/>
    <w:rsid w:val="003F4BB8"/>
    <w:rsid w:val="003F4BC7"/>
    <w:rsid w:val="003F4DFE"/>
    <w:rsid w:val="003F500C"/>
    <w:rsid w:val="003F5815"/>
    <w:rsid w:val="003F5BE3"/>
    <w:rsid w:val="003F63B2"/>
    <w:rsid w:val="003F6504"/>
    <w:rsid w:val="003F68C9"/>
    <w:rsid w:val="003F68FA"/>
    <w:rsid w:val="003F6D4F"/>
    <w:rsid w:val="003F6EB4"/>
    <w:rsid w:val="003F72E0"/>
    <w:rsid w:val="003F75AB"/>
    <w:rsid w:val="003F76B8"/>
    <w:rsid w:val="003F777D"/>
    <w:rsid w:val="003F7880"/>
    <w:rsid w:val="003F7A06"/>
    <w:rsid w:val="003F7FF6"/>
    <w:rsid w:val="004003C5"/>
    <w:rsid w:val="00400921"/>
    <w:rsid w:val="00400A7B"/>
    <w:rsid w:val="00400CF9"/>
    <w:rsid w:val="00400F11"/>
    <w:rsid w:val="004010DB"/>
    <w:rsid w:val="0040129F"/>
    <w:rsid w:val="004014E3"/>
    <w:rsid w:val="00401612"/>
    <w:rsid w:val="00401827"/>
    <w:rsid w:val="00401BBE"/>
    <w:rsid w:val="00401E9E"/>
    <w:rsid w:val="004023D6"/>
    <w:rsid w:val="004024C0"/>
    <w:rsid w:val="00402AB2"/>
    <w:rsid w:val="00402EA4"/>
    <w:rsid w:val="0040300B"/>
    <w:rsid w:val="00403267"/>
    <w:rsid w:val="0040326C"/>
    <w:rsid w:val="004035A2"/>
    <w:rsid w:val="0040377E"/>
    <w:rsid w:val="00403808"/>
    <w:rsid w:val="0040384A"/>
    <w:rsid w:val="00403E16"/>
    <w:rsid w:val="00403F22"/>
    <w:rsid w:val="00404036"/>
    <w:rsid w:val="00404D36"/>
    <w:rsid w:val="00404DA5"/>
    <w:rsid w:val="004050AE"/>
    <w:rsid w:val="00405225"/>
    <w:rsid w:val="004054D1"/>
    <w:rsid w:val="004058B3"/>
    <w:rsid w:val="00405ADF"/>
    <w:rsid w:val="00405BC0"/>
    <w:rsid w:val="00405F53"/>
    <w:rsid w:val="00405FCA"/>
    <w:rsid w:val="00406192"/>
    <w:rsid w:val="0040692B"/>
    <w:rsid w:val="00406EF2"/>
    <w:rsid w:val="004071E6"/>
    <w:rsid w:val="004076A1"/>
    <w:rsid w:val="00407943"/>
    <w:rsid w:val="00407CBA"/>
    <w:rsid w:val="00410214"/>
    <w:rsid w:val="00410357"/>
    <w:rsid w:val="00410367"/>
    <w:rsid w:val="004109CB"/>
    <w:rsid w:val="00410AAA"/>
    <w:rsid w:val="00410C78"/>
    <w:rsid w:val="004110F9"/>
    <w:rsid w:val="00411410"/>
    <w:rsid w:val="004115FB"/>
    <w:rsid w:val="00412767"/>
    <w:rsid w:val="004128CF"/>
    <w:rsid w:val="00412E70"/>
    <w:rsid w:val="00413025"/>
    <w:rsid w:val="004130DF"/>
    <w:rsid w:val="00413416"/>
    <w:rsid w:val="00413790"/>
    <w:rsid w:val="00413DE7"/>
    <w:rsid w:val="0041416C"/>
    <w:rsid w:val="00414542"/>
    <w:rsid w:val="0041459F"/>
    <w:rsid w:val="00414712"/>
    <w:rsid w:val="00414AC6"/>
    <w:rsid w:val="00414BA8"/>
    <w:rsid w:val="004150CA"/>
    <w:rsid w:val="004153FF"/>
    <w:rsid w:val="00415590"/>
    <w:rsid w:val="004157B1"/>
    <w:rsid w:val="00415CFF"/>
    <w:rsid w:val="00416147"/>
    <w:rsid w:val="00416381"/>
    <w:rsid w:val="00416D6D"/>
    <w:rsid w:val="00416DC6"/>
    <w:rsid w:val="00416E97"/>
    <w:rsid w:val="00417674"/>
    <w:rsid w:val="00417827"/>
    <w:rsid w:val="004178E7"/>
    <w:rsid w:val="004203BC"/>
    <w:rsid w:val="00420445"/>
    <w:rsid w:val="0042059F"/>
    <w:rsid w:val="0042082F"/>
    <w:rsid w:val="00420C9D"/>
    <w:rsid w:val="00420FBD"/>
    <w:rsid w:val="004210F7"/>
    <w:rsid w:val="00421B14"/>
    <w:rsid w:val="00421C25"/>
    <w:rsid w:val="0042268E"/>
    <w:rsid w:val="004226DE"/>
    <w:rsid w:val="00422A3C"/>
    <w:rsid w:val="0042305D"/>
    <w:rsid w:val="004237BD"/>
    <w:rsid w:val="00424080"/>
    <w:rsid w:val="0042447D"/>
    <w:rsid w:val="004248D5"/>
    <w:rsid w:val="00424CBE"/>
    <w:rsid w:val="00424E2E"/>
    <w:rsid w:val="004253C8"/>
    <w:rsid w:val="00425966"/>
    <w:rsid w:val="00425D94"/>
    <w:rsid w:val="00425F6B"/>
    <w:rsid w:val="004264E3"/>
    <w:rsid w:val="00426684"/>
    <w:rsid w:val="004269C5"/>
    <w:rsid w:val="00426FE6"/>
    <w:rsid w:val="004272A1"/>
    <w:rsid w:val="0042770D"/>
    <w:rsid w:val="00427C0E"/>
    <w:rsid w:val="0043007F"/>
    <w:rsid w:val="004301F7"/>
    <w:rsid w:val="004302D2"/>
    <w:rsid w:val="004305EA"/>
    <w:rsid w:val="00430933"/>
    <w:rsid w:val="00430C7B"/>
    <w:rsid w:val="00430D97"/>
    <w:rsid w:val="004313B9"/>
    <w:rsid w:val="0043187D"/>
    <w:rsid w:val="004318ED"/>
    <w:rsid w:val="00431990"/>
    <w:rsid w:val="00431BE6"/>
    <w:rsid w:val="004320B5"/>
    <w:rsid w:val="00432221"/>
    <w:rsid w:val="00432AED"/>
    <w:rsid w:val="00432E20"/>
    <w:rsid w:val="00432F53"/>
    <w:rsid w:val="0043321D"/>
    <w:rsid w:val="00433614"/>
    <w:rsid w:val="0043396C"/>
    <w:rsid w:val="00434457"/>
    <w:rsid w:val="004344ED"/>
    <w:rsid w:val="004348DA"/>
    <w:rsid w:val="00434E7A"/>
    <w:rsid w:val="00435568"/>
    <w:rsid w:val="0043599A"/>
    <w:rsid w:val="00435BC9"/>
    <w:rsid w:val="00435F6D"/>
    <w:rsid w:val="00436295"/>
    <w:rsid w:val="00436356"/>
    <w:rsid w:val="004366BE"/>
    <w:rsid w:val="00436894"/>
    <w:rsid w:val="00436CD9"/>
    <w:rsid w:val="00436D35"/>
    <w:rsid w:val="0043704F"/>
    <w:rsid w:val="0043745F"/>
    <w:rsid w:val="004376CF"/>
    <w:rsid w:val="00437874"/>
    <w:rsid w:val="0043787A"/>
    <w:rsid w:val="004378E7"/>
    <w:rsid w:val="00437974"/>
    <w:rsid w:val="00437AFE"/>
    <w:rsid w:val="00437B22"/>
    <w:rsid w:val="00437F54"/>
    <w:rsid w:val="004401AB"/>
    <w:rsid w:val="0044075C"/>
    <w:rsid w:val="00440A26"/>
    <w:rsid w:val="00440A51"/>
    <w:rsid w:val="00440B9F"/>
    <w:rsid w:val="00440E34"/>
    <w:rsid w:val="00441826"/>
    <w:rsid w:val="00441A17"/>
    <w:rsid w:val="00441B9E"/>
    <w:rsid w:val="00441D7C"/>
    <w:rsid w:val="00441E46"/>
    <w:rsid w:val="00441F45"/>
    <w:rsid w:val="00441FCA"/>
    <w:rsid w:val="00442827"/>
    <w:rsid w:val="0044292C"/>
    <w:rsid w:val="004429FA"/>
    <w:rsid w:val="00442F50"/>
    <w:rsid w:val="0044322E"/>
    <w:rsid w:val="00443396"/>
    <w:rsid w:val="004434F7"/>
    <w:rsid w:val="00443847"/>
    <w:rsid w:val="00443CBB"/>
    <w:rsid w:val="0044440A"/>
    <w:rsid w:val="00444499"/>
    <w:rsid w:val="0044449B"/>
    <w:rsid w:val="004444F9"/>
    <w:rsid w:val="00444629"/>
    <w:rsid w:val="00444FD0"/>
    <w:rsid w:val="004452EF"/>
    <w:rsid w:val="004453E4"/>
    <w:rsid w:val="004460FA"/>
    <w:rsid w:val="00446D47"/>
    <w:rsid w:val="00446DEE"/>
    <w:rsid w:val="00446EB6"/>
    <w:rsid w:val="00446F6A"/>
    <w:rsid w:val="0044707A"/>
    <w:rsid w:val="00447135"/>
    <w:rsid w:val="004471C4"/>
    <w:rsid w:val="00447375"/>
    <w:rsid w:val="00447CD3"/>
    <w:rsid w:val="0045000D"/>
    <w:rsid w:val="00450388"/>
    <w:rsid w:val="004503F7"/>
    <w:rsid w:val="00450792"/>
    <w:rsid w:val="004507B5"/>
    <w:rsid w:val="004508F5"/>
    <w:rsid w:val="0045132B"/>
    <w:rsid w:val="0045177A"/>
    <w:rsid w:val="00451C0B"/>
    <w:rsid w:val="004526AA"/>
    <w:rsid w:val="0045292F"/>
    <w:rsid w:val="00452943"/>
    <w:rsid w:val="00452A34"/>
    <w:rsid w:val="00452C9F"/>
    <w:rsid w:val="00452CA1"/>
    <w:rsid w:val="00452E8C"/>
    <w:rsid w:val="00453489"/>
    <w:rsid w:val="00453884"/>
    <w:rsid w:val="00453A88"/>
    <w:rsid w:val="00453D5D"/>
    <w:rsid w:val="00453FBC"/>
    <w:rsid w:val="00454096"/>
    <w:rsid w:val="0045446D"/>
    <w:rsid w:val="0045450D"/>
    <w:rsid w:val="004546F9"/>
    <w:rsid w:val="00454C5C"/>
    <w:rsid w:val="00454E18"/>
    <w:rsid w:val="00454E1D"/>
    <w:rsid w:val="00454E5B"/>
    <w:rsid w:val="004550C7"/>
    <w:rsid w:val="004554D5"/>
    <w:rsid w:val="00455829"/>
    <w:rsid w:val="00455D0E"/>
    <w:rsid w:val="004563F3"/>
    <w:rsid w:val="00456843"/>
    <w:rsid w:val="00456853"/>
    <w:rsid w:val="004570EC"/>
    <w:rsid w:val="004578AB"/>
    <w:rsid w:val="00457AC8"/>
    <w:rsid w:val="00457C97"/>
    <w:rsid w:val="00457CA7"/>
    <w:rsid w:val="00457E62"/>
    <w:rsid w:val="0046018E"/>
    <w:rsid w:val="0046061F"/>
    <w:rsid w:val="00460B8A"/>
    <w:rsid w:val="00460DCF"/>
    <w:rsid w:val="004610A5"/>
    <w:rsid w:val="00461548"/>
    <w:rsid w:val="00461CB3"/>
    <w:rsid w:val="00461DAB"/>
    <w:rsid w:val="00461FF4"/>
    <w:rsid w:val="004624FD"/>
    <w:rsid w:val="00462562"/>
    <w:rsid w:val="00462A25"/>
    <w:rsid w:val="00462E13"/>
    <w:rsid w:val="0046348E"/>
    <w:rsid w:val="004635F6"/>
    <w:rsid w:val="0046370B"/>
    <w:rsid w:val="00463798"/>
    <w:rsid w:val="004638A5"/>
    <w:rsid w:val="004639CB"/>
    <w:rsid w:val="00463DCD"/>
    <w:rsid w:val="004643AD"/>
    <w:rsid w:val="00464879"/>
    <w:rsid w:val="0046488C"/>
    <w:rsid w:val="00464943"/>
    <w:rsid w:val="00464A85"/>
    <w:rsid w:val="00464BB8"/>
    <w:rsid w:val="00464F37"/>
    <w:rsid w:val="00465270"/>
    <w:rsid w:val="00465304"/>
    <w:rsid w:val="0046542D"/>
    <w:rsid w:val="0046574C"/>
    <w:rsid w:val="004658FD"/>
    <w:rsid w:val="00465EC4"/>
    <w:rsid w:val="004664B3"/>
    <w:rsid w:val="004665A5"/>
    <w:rsid w:val="00466B4F"/>
    <w:rsid w:val="00466F50"/>
    <w:rsid w:val="0046734E"/>
    <w:rsid w:val="0046764A"/>
    <w:rsid w:val="00467724"/>
    <w:rsid w:val="00467B66"/>
    <w:rsid w:val="00470787"/>
    <w:rsid w:val="00470E29"/>
    <w:rsid w:val="00470EBA"/>
    <w:rsid w:val="0047184E"/>
    <w:rsid w:val="00471961"/>
    <w:rsid w:val="00471992"/>
    <w:rsid w:val="00471F1A"/>
    <w:rsid w:val="00472410"/>
    <w:rsid w:val="00472D14"/>
    <w:rsid w:val="00472DA9"/>
    <w:rsid w:val="004736BF"/>
    <w:rsid w:val="00473848"/>
    <w:rsid w:val="00473BFC"/>
    <w:rsid w:val="0047432A"/>
    <w:rsid w:val="004746AA"/>
    <w:rsid w:val="00474790"/>
    <w:rsid w:val="00474C23"/>
    <w:rsid w:val="00474DFF"/>
    <w:rsid w:val="00475069"/>
    <w:rsid w:val="004750EA"/>
    <w:rsid w:val="004753AD"/>
    <w:rsid w:val="00475CC7"/>
    <w:rsid w:val="004760CD"/>
    <w:rsid w:val="00476481"/>
    <w:rsid w:val="004769C2"/>
    <w:rsid w:val="00477A53"/>
    <w:rsid w:val="00477BD3"/>
    <w:rsid w:val="00477F7B"/>
    <w:rsid w:val="004800B3"/>
    <w:rsid w:val="0048010F"/>
    <w:rsid w:val="0048094E"/>
    <w:rsid w:val="00480A21"/>
    <w:rsid w:val="00480FBD"/>
    <w:rsid w:val="00481152"/>
    <w:rsid w:val="004811E9"/>
    <w:rsid w:val="004814CF"/>
    <w:rsid w:val="00481A56"/>
    <w:rsid w:val="00481DF3"/>
    <w:rsid w:val="00481F31"/>
    <w:rsid w:val="004821C5"/>
    <w:rsid w:val="00482380"/>
    <w:rsid w:val="0048243C"/>
    <w:rsid w:val="00482902"/>
    <w:rsid w:val="00482A94"/>
    <w:rsid w:val="00482D27"/>
    <w:rsid w:val="004832A1"/>
    <w:rsid w:val="0048353F"/>
    <w:rsid w:val="00483659"/>
    <w:rsid w:val="00483908"/>
    <w:rsid w:val="00483BA7"/>
    <w:rsid w:val="00484A7A"/>
    <w:rsid w:val="00485237"/>
    <w:rsid w:val="0048527D"/>
    <w:rsid w:val="0048566C"/>
    <w:rsid w:val="0048591B"/>
    <w:rsid w:val="00485FCD"/>
    <w:rsid w:val="0048602E"/>
    <w:rsid w:val="00486107"/>
    <w:rsid w:val="004868ED"/>
    <w:rsid w:val="00486AB9"/>
    <w:rsid w:val="00486E3A"/>
    <w:rsid w:val="00486EA4"/>
    <w:rsid w:val="0048795F"/>
    <w:rsid w:val="00487AF0"/>
    <w:rsid w:val="0049017B"/>
    <w:rsid w:val="0049050B"/>
    <w:rsid w:val="004907CA"/>
    <w:rsid w:val="004908B4"/>
    <w:rsid w:val="004912DE"/>
    <w:rsid w:val="004920AE"/>
    <w:rsid w:val="004923C2"/>
    <w:rsid w:val="0049251C"/>
    <w:rsid w:val="00492923"/>
    <w:rsid w:val="004930CC"/>
    <w:rsid w:val="00493F4D"/>
    <w:rsid w:val="00493F74"/>
    <w:rsid w:val="00494009"/>
    <w:rsid w:val="00495098"/>
    <w:rsid w:val="00495104"/>
    <w:rsid w:val="0049550A"/>
    <w:rsid w:val="00495651"/>
    <w:rsid w:val="00495769"/>
    <w:rsid w:val="004957DC"/>
    <w:rsid w:val="004957E6"/>
    <w:rsid w:val="00495842"/>
    <w:rsid w:val="00495ABD"/>
    <w:rsid w:val="00495B6F"/>
    <w:rsid w:val="00495F21"/>
    <w:rsid w:val="00496006"/>
    <w:rsid w:val="004960DD"/>
    <w:rsid w:val="004961F0"/>
    <w:rsid w:val="00496230"/>
    <w:rsid w:val="0049650A"/>
    <w:rsid w:val="004965FC"/>
    <w:rsid w:val="00496664"/>
    <w:rsid w:val="00496FD0"/>
    <w:rsid w:val="00497467"/>
    <w:rsid w:val="00497E4B"/>
    <w:rsid w:val="004A0AAE"/>
    <w:rsid w:val="004A0B2A"/>
    <w:rsid w:val="004A0EC3"/>
    <w:rsid w:val="004A0F3F"/>
    <w:rsid w:val="004A146F"/>
    <w:rsid w:val="004A148F"/>
    <w:rsid w:val="004A16F9"/>
    <w:rsid w:val="004A1709"/>
    <w:rsid w:val="004A19E3"/>
    <w:rsid w:val="004A23B5"/>
    <w:rsid w:val="004A28DD"/>
    <w:rsid w:val="004A2CE4"/>
    <w:rsid w:val="004A3182"/>
    <w:rsid w:val="004A3251"/>
    <w:rsid w:val="004A3288"/>
    <w:rsid w:val="004A48BB"/>
    <w:rsid w:val="004A493D"/>
    <w:rsid w:val="004A4CC6"/>
    <w:rsid w:val="004A5383"/>
    <w:rsid w:val="004A609E"/>
    <w:rsid w:val="004A6201"/>
    <w:rsid w:val="004A6435"/>
    <w:rsid w:val="004A64EC"/>
    <w:rsid w:val="004A6D5F"/>
    <w:rsid w:val="004A73FD"/>
    <w:rsid w:val="004A7CD5"/>
    <w:rsid w:val="004A7D97"/>
    <w:rsid w:val="004A7DDE"/>
    <w:rsid w:val="004A7EA5"/>
    <w:rsid w:val="004B00AA"/>
    <w:rsid w:val="004B0325"/>
    <w:rsid w:val="004B03C4"/>
    <w:rsid w:val="004B0CEB"/>
    <w:rsid w:val="004B0E73"/>
    <w:rsid w:val="004B1591"/>
    <w:rsid w:val="004B1D4D"/>
    <w:rsid w:val="004B252C"/>
    <w:rsid w:val="004B2573"/>
    <w:rsid w:val="004B2B5A"/>
    <w:rsid w:val="004B2C87"/>
    <w:rsid w:val="004B2C97"/>
    <w:rsid w:val="004B2D43"/>
    <w:rsid w:val="004B2EDA"/>
    <w:rsid w:val="004B30A6"/>
    <w:rsid w:val="004B3193"/>
    <w:rsid w:val="004B3C60"/>
    <w:rsid w:val="004B4043"/>
    <w:rsid w:val="004B41DF"/>
    <w:rsid w:val="004B431B"/>
    <w:rsid w:val="004B44B7"/>
    <w:rsid w:val="004B491E"/>
    <w:rsid w:val="004B4948"/>
    <w:rsid w:val="004B4A20"/>
    <w:rsid w:val="004B4D94"/>
    <w:rsid w:val="004B4E62"/>
    <w:rsid w:val="004B4EAD"/>
    <w:rsid w:val="004B512A"/>
    <w:rsid w:val="004B52C5"/>
    <w:rsid w:val="004B52C8"/>
    <w:rsid w:val="004B52F7"/>
    <w:rsid w:val="004B54B7"/>
    <w:rsid w:val="004B5820"/>
    <w:rsid w:val="004B59D6"/>
    <w:rsid w:val="004B5C5E"/>
    <w:rsid w:val="004B5FE3"/>
    <w:rsid w:val="004B65F5"/>
    <w:rsid w:val="004B6AC8"/>
    <w:rsid w:val="004B7183"/>
    <w:rsid w:val="004C0318"/>
    <w:rsid w:val="004C0C0F"/>
    <w:rsid w:val="004C0F31"/>
    <w:rsid w:val="004C0F8D"/>
    <w:rsid w:val="004C105C"/>
    <w:rsid w:val="004C1101"/>
    <w:rsid w:val="004C1376"/>
    <w:rsid w:val="004C1470"/>
    <w:rsid w:val="004C14B1"/>
    <w:rsid w:val="004C1727"/>
    <w:rsid w:val="004C18A3"/>
    <w:rsid w:val="004C192D"/>
    <w:rsid w:val="004C1B93"/>
    <w:rsid w:val="004C201E"/>
    <w:rsid w:val="004C248E"/>
    <w:rsid w:val="004C2702"/>
    <w:rsid w:val="004C27B5"/>
    <w:rsid w:val="004C2FCA"/>
    <w:rsid w:val="004C3559"/>
    <w:rsid w:val="004C3594"/>
    <w:rsid w:val="004C35C6"/>
    <w:rsid w:val="004C3B8F"/>
    <w:rsid w:val="004C4829"/>
    <w:rsid w:val="004C4CF5"/>
    <w:rsid w:val="004C53CE"/>
    <w:rsid w:val="004C542A"/>
    <w:rsid w:val="004C5646"/>
    <w:rsid w:val="004C57E1"/>
    <w:rsid w:val="004C58F5"/>
    <w:rsid w:val="004C671C"/>
    <w:rsid w:val="004C6805"/>
    <w:rsid w:val="004C6DA8"/>
    <w:rsid w:val="004C6F41"/>
    <w:rsid w:val="004C6FA6"/>
    <w:rsid w:val="004C7059"/>
    <w:rsid w:val="004C70E7"/>
    <w:rsid w:val="004C756F"/>
    <w:rsid w:val="004C758B"/>
    <w:rsid w:val="004C75DF"/>
    <w:rsid w:val="004C7A99"/>
    <w:rsid w:val="004D0058"/>
    <w:rsid w:val="004D0595"/>
    <w:rsid w:val="004D0650"/>
    <w:rsid w:val="004D09C0"/>
    <w:rsid w:val="004D0CC9"/>
    <w:rsid w:val="004D0EB1"/>
    <w:rsid w:val="004D1621"/>
    <w:rsid w:val="004D19ED"/>
    <w:rsid w:val="004D1AD9"/>
    <w:rsid w:val="004D1DB9"/>
    <w:rsid w:val="004D1E0B"/>
    <w:rsid w:val="004D1E2C"/>
    <w:rsid w:val="004D1EB3"/>
    <w:rsid w:val="004D2806"/>
    <w:rsid w:val="004D2926"/>
    <w:rsid w:val="004D2930"/>
    <w:rsid w:val="004D2A3D"/>
    <w:rsid w:val="004D2C09"/>
    <w:rsid w:val="004D3DBA"/>
    <w:rsid w:val="004D46CA"/>
    <w:rsid w:val="004D4C99"/>
    <w:rsid w:val="004D5043"/>
    <w:rsid w:val="004D559F"/>
    <w:rsid w:val="004D5916"/>
    <w:rsid w:val="004D5CA8"/>
    <w:rsid w:val="004D5E09"/>
    <w:rsid w:val="004D610B"/>
    <w:rsid w:val="004D6200"/>
    <w:rsid w:val="004D681E"/>
    <w:rsid w:val="004D688D"/>
    <w:rsid w:val="004D6B7F"/>
    <w:rsid w:val="004D72FA"/>
    <w:rsid w:val="004D74BA"/>
    <w:rsid w:val="004D798B"/>
    <w:rsid w:val="004D7C56"/>
    <w:rsid w:val="004E033D"/>
    <w:rsid w:val="004E043E"/>
    <w:rsid w:val="004E0791"/>
    <w:rsid w:val="004E0AC6"/>
    <w:rsid w:val="004E0B04"/>
    <w:rsid w:val="004E0C91"/>
    <w:rsid w:val="004E1233"/>
    <w:rsid w:val="004E12BB"/>
    <w:rsid w:val="004E138D"/>
    <w:rsid w:val="004E13FB"/>
    <w:rsid w:val="004E1479"/>
    <w:rsid w:val="004E14BA"/>
    <w:rsid w:val="004E18A2"/>
    <w:rsid w:val="004E1A82"/>
    <w:rsid w:val="004E22D7"/>
    <w:rsid w:val="004E2998"/>
    <w:rsid w:val="004E2C7B"/>
    <w:rsid w:val="004E346C"/>
    <w:rsid w:val="004E38B9"/>
    <w:rsid w:val="004E3C31"/>
    <w:rsid w:val="004E4281"/>
    <w:rsid w:val="004E49A1"/>
    <w:rsid w:val="004E56D0"/>
    <w:rsid w:val="004E5B07"/>
    <w:rsid w:val="004E5C8E"/>
    <w:rsid w:val="004E5EE1"/>
    <w:rsid w:val="004E626F"/>
    <w:rsid w:val="004E6B1C"/>
    <w:rsid w:val="004E6EC7"/>
    <w:rsid w:val="004E7030"/>
    <w:rsid w:val="004E7039"/>
    <w:rsid w:val="004E71DB"/>
    <w:rsid w:val="004E72D5"/>
    <w:rsid w:val="004E7973"/>
    <w:rsid w:val="004E79F9"/>
    <w:rsid w:val="004E7D96"/>
    <w:rsid w:val="004F0019"/>
    <w:rsid w:val="004F0732"/>
    <w:rsid w:val="004F0B0E"/>
    <w:rsid w:val="004F0BBF"/>
    <w:rsid w:val="004F0EA2"/>
    <w:rsid w:val="004F0FC2"/>
    <w:rsid w:val="004F129F"/>
    <w:rsid w:val="004F177D"/>
    <w:rsid w:val="004F1AF6"/>
    <w:rsid w:val="004F1C79"/>
    <w:rsid w:val="004F20BB"/>
    <w:rsid w:val="004F238D"/>
    <w:rsid w:val="004F253E"/>
    <w:rsid w:val="004F279C"/>
    <w:rsid w:val="004F2A31"/>
    <w:rsid w:val="004F2A39"/>
    <w:rsid w:val="004F338B"/>
    <w:rsid w:val="004F3FC0"/>
    <w:rsid w:val="004F435A"/>
    <w:rsid w:val="004F4491"/>
    <w:rsid w:val="004F493B"/>
    <w:rsid w:val="004F495E"/>
    <w:rsid w:val="004F49EB"/>
    <w:rsid w:val="004F5C1E"/>
    <w:rsid w:val="004F5D12"/>
    <w:rsid w:val="004F5F9D"/>
    <w:rsid w:val="004F680C"/>
    <w:rsid w:val="004F7490"/>
    <w:rsid w:val="004F7F54"/>
    <w:rsid w:val="00500044"/>
    <w:rsid w:val="00501546"/>
    <w:rsid w:val="00501F14"/>
    <w:rsid w:val="0050200D"/>
    <w:rsid w:val="005020B6"/>
    <w:rsid w:val="00502317"/>
    <w:rsid w:val="0050266E"/>
    <w:rsid w:val="00502981"/>
    <w:rsid w:val="00502C6D"/>
    <w:rsid w:val="00502CE8"/>
    <w:rsid w:val="00502DAA"/>
    <w:rsid w:val="0050324C"/>
    <w:rsid w:val="00503EA4"/>
    <w:rsid w:val="00503F84"/>
    <w:rsid w:val="00503FB5"/>
    <w:rsid w:val="00504095"/>
    <w:rsid w:val="005044FA"/>
    <w:rsid w:val="00504644"/>
    <w:rsid w:val="0050481B"/>
    <w:rsid w:val="00504ED2"/>
    <w:rsid w:val="0050543B"/>
    <w:rsid w:val="00505569"/>
    <w:rsid w:val="005055C2"/>
    <w:rsid w:val="005057F1"/>
    <w:rsid w:val="00506894"/>
    <w:rsid w:val="00506EC7"/>
    <w:rsid w:val="00506FA5"/>
    <w:rsid w:val="00507175"/>
    <w:rsid w:val="005071B4"/>
    <w:rsid w:val="00507340"/>
    <w:rsid w:val="00507F1E"/>
    <w:rsid w:val="00510130"/>
    <w:rsid w:val="005101C2"/>
    <w:rsid w:val="0051053E"/>
    <w:rsid w:val="005105E0"/>
    <w:rsid w:val="005105E7"/>
    <w:rsid w:val="0051072B"/>
    <w:rsid w:val="0051077D"/>
    <w:rsid w:val="00510B3B"/>
    <w:rsid w:val="00510EAE"/>
    <w:rsid w:val="00511514"/>
    <w:rsid w:val="00511539"/>
    <w:rsid w:val="00511B1D"/>
    <w:rsid w:val="00511BE2"/>
    <w:rsid w:val="00511DDE"/>
    <w:rsid w:val="00511E96"/>
    <w:rsid w:val="00511ED2"/>
    <w:rsid w:val="00512396"/>
    <w:rsid w:val="00512AAC"/>
    <w:rsid w:val="00513191"/>
    <w:rsid w:val="00513215"/>
    <w:rsid w:val="005134EF"/>
    <w:rsid w:val="005134F8"/>
    <w:rsid w:val="00514021"/>
    <w:rsid w:val="0051410B"/>
    <w:rsid w:val="005141EF"/>
    <w:rsid w:val="00514922"/>
    <w:rsid w:val="00514969"/>
    <w:rsid w:val="00514BB3"/>
    <w:rsid w:val="00514C73"/>
    <w:rsid w:val="00514EA0"/>
    <w:rsid w:val="00515391"/>
    <w:rsid w:val="00515933"/>
    <w:rsid w:val="00516011"/>
    <w:rsid w:val="005162B2"/>
    <w:rsid w:val="005162B9"/>
    <w:rsid w:val="005168EF"/>
    <w:rsid w:val="00516BF9"/>
    <w:rsid w:val="005171D1"/>
    <w:rsid w:val="00517346"/>
    <w:rsid w:val="0051764A"/>
    <w:rsid w:val="005177ED"/>
    <w:rsid w:val="00517982"/>
    <w:rsid w:val="00517A38"/>
    <w:rsid w:val="00517B32"/>
    <w:rsid w:val="00517B45"/>
    <w:rsid w:val="00520894"/>
    <w:rsid w:val="0052169B"/>
    <w:rsid w:val="00521834"/>
    <w:rsid w:val="00521C21"/>
    <w:rsid w:val="00521D73"/>
    <w:rsid w:val="00522289"/>
    <w:rsid w:val="00522479"/>
    <w:rsid w:val="0052274A"/>
    <w:rsid w:val="00522CF8"/>
    <w:rsid w:val="00522E94"/>
    <w:rsid w:val="0052325F"/>
    <w:rsid w:val="00523D25"/>
    <w:rsid w:val="00523E66"/>
    <w:rsid w:val="00524054"/>
    <w:rsid w:val="0052412E"/>
    <w:rsid w:val="0052426E"/>
    <w:rsid w:val="005245F5"/>
    <w:rsid w:val="00524791"/>
    <w:rsid w:val="005248BD"/>
    <w:rsid w:val="005249BF"/>
    <w:rsid w:val="00524AEE"/>
    <w:rsid w:val="00524E17"/>
    <w:rsid w:val="00525055"/>
    <w:rsid w:val="005252EF"/>
    <w:rsid w:val="00525A93"/>
    <w:rsid w:val="005266BA"/>
    <w:rsid w:val="0052684A"/>
    <w:rsid w:val="0052686E"/>
    <w:rsid w:val="005269AF"/>
    <w:rsid w:val="005274E0"/>
    <w:rsid w:val="0053031D"/>
    <w:rsid w:val="0053040D"/>
    <w:rsid w:val="0053091A"/>
    <w:rsid w:val="00530D13"/>
    <w:rsid w:val="00530EB3"/>
    <w:rsid w:val="00531200"/>
    <w:rsid w:val="00531FC8"/>
    <w:rsid w:val="005324C2"/>
    <w:rsid w:val="005327E7"/>
    <w:rsid w:val="00532962"/>
    <w:rsid w:val="005331D2"/>
    <w:rsid w:val="005339D2"/>
    <w:rsid w:val="00533D51"/>
    <w:rsid w:val="00533FAF"/>
    <w:rsid w:val="005340F2"/>
    <w:rsid w:val="0053428C"/>
    <w:rsid w:val="005349B8"/>
    <w:rsid w:val="00534F6F"/>
    <w:rsid w:val="00535BC2"/>
    <w:rsid w:val="00535BD4"/>
    <w:rsid w:val="00535F00"/>
    <w:rsid w:val="00536456"/>
    <w:rsid w:val="00536571"/>
    <w:rsid w:val="005371FD"/>
    <w:rsid w:val="00537283"/>
    <w:rsid w:val="00537831"/>
    <w:rsid w:val="00537C40"/>
    <w:rsid w:val="00537CEE"/>
    <w:rsid w:val="00540132"/>
    <w:rsid w:val="005402DF"/>
    <w:rsid w:val="00540361"/>
    <w:rsid w:val="005408FF"/>
    <w:rsid w:val="00540CB4"/>
    <w:rsid w:val="00540DA8"/>
    <w:rsid w:val="00541559"/>
    <w:rsid w:val="0054165F"/>
    <w:rsid w:val="005421E1"/>
    <w:rsid w:val="005422EF"/>
    <w:rsid w:val="005423A1"/>
    <w:rsid w:val="005426E0"/>
    <w:rsid w:val="005427AF"/>
    <w:rsid w:val="00542ADA"/>
    <w:rsid w:val="00543429"/>
    <w:rsid w:val="00543C42"/>
    <w:rsid w:val="00543C8D"/>
    <w:rsid w:val="00543E1E"/>
    <w:rsid w:val="00543EAE"/>
    <w:rsid w:val="00543F0F"/>
    <w:rsid w:val="0054409A"/>
    <w:rsid w:val="005443A0"/>
    <w:rsid w:val="0054444E"/>
    <w:rsid w:val="0054465A"/>
    <w:rsid w:val="00545267"/>
    <w:rsid w:val="0054563A"/>
    <w:rsid w:val="005456F4"/>
    <w:rsid w:val="00545CBC"/>
    <w:rsid w:val="00545D57"/>
    <w:rsid w:val="005465D2"/>
    <w:rsid w:val="00547121"/>
    <w:rsid w:val="00547529"/>
    <w:rsid w:val="0055031E"/>
    <w:rsid w:val="00550322"/>
    <w:rsid w:val="005503AE"/>
    <w:rsid w:val="00550561"/>
    <w:rsid w:val="0055174A"/>
    <w:rsid w:val="00551793"/>
    <w:rsid w:val="005519A0"/>
    <w:rsid w:val="00551A1D"/>
    <w:rsid w:val="00551ACB"/>
    <w:rsid w:val="00551C2D"/>
    <w:rsid w:val="00551DA7"/>
    <w:rsid w:val="0055218F"/>
    <w:rsid w:val="00552775"/>
    <w:rsid w:val="005529D0"/>
    <w:rsid w:val="00552B9E"/>
    <w:rsid w:val="00552DE3"/>
    <w:rsid w:val="00552E40"/>
    <w:rsid w:val="005530DF"/>
    <w:rsid w:val="005532AD"/>
    <w:rsid w:val="00553801"/>
    <w:rsid w:val="00553994"/>
    <w:rsid w:val="00553D8C"/>
    <w:rsid w:val="00554034"/>
    <w:rsid w:val="00554102"/>
    <w:rsid w:val="0055467C"/>
    <w:rsid w:val="005548C0"/>
    <w:rsid w:val="0055495A"/>
    <w:rsid w:val="00554CD2"/>
    <w:rsid w:val="00554EA0"/>
    <w:rsid w:val="00555121"/>
    <w:rsid w:val="00555155"/>
    <w:rsid w:val="00555DA5"/>
    <w:rsid w:val="00555E10"/>
    <w:rsid w:val="0055626B"/>
    <w:rsid w:val="005568FC"/>
    <w:rsid w:val="005568FE"/>
    <w:rsid w:val="00556B95"/>
    <w:rsid w:val="00556CAA"/>
    <w:rsid w:val="00557184"/>
    <w:rsid w:val="00557925"/>
    <w:rsid w:val="00557A50"/>
    <w:rsid w:val="00557D25"/>
    <w:rsid w:val="00557D73"/>
    <w:rsid w:val="00557E4D"/>
    <w:rsid w:val="00560064"/>
    <w:rsid w:val="00560590"/>
    <w:rsid w:val="00560DA2"/>
    <w:rsid w:val="00560FBD"/>
    <w:rsid w:val="00561119"/>
    <w:rsid w:val="00561599"/>
    <w:rsid w:val="005615A4"/>
    <w:rsid w:val="00561B86"/>
    <w:rsid w:val="00561E45"/>
    <w:rsid w:val="00561EC2"/>
    <w:rsid w:val="00562033"/>
    <w:rsid w:val="005622D0"/>
    <w:rsid w:val="005623E0"/>
    <w:rsid w:val="005624B1"/>
    <w:rsid w:val="00562664"/>
    <w:rsid w:val="00562696"/>
    <w:rsid w:val="0056278F"/>
    <w:rsid w:val="00562AE3"/>
    <w:rsid w:val="00562E94"/>
    <w:rsid w:val="00563033"/>
    <w:rsid w:val="0056304B"/>
    <w:rsid w:val="005631F6"/>
    <w:rsid w:val="0056374C"/>
    <w:rsid w:val="005639F0"/>
    <w:rsid w:val="005639F1"/>
    <w:rsid w:val="00563BC1"/>
    <w:rsid w:val="00564194"/>
    <w:rsid w:val="005642A0"/>
    <w:rsid w:val="005648AC"/>
    <w:rsid w:val="00564E26"/>
    <w:rsid w:val="005651E1"/>
    <w:rsid w:val="005656C0"/>
    <w:rsid w:val="00565842"/>
    <w:rsid w:val="0056593F"/>
    <w:rsid w:val="005659D8"/>
    <w:rsid w:val="00565BA9"/>
    <w:rsid w:val="00565D6E"/>
    <w:rsid w:val="00566062"/>
    <w:rsid w:val="00566769"/>
    <w:rsid w:val="00566AAB"/>
    <w:rsid w:val="00566CA4"/>
    <w:rsid w:val="005679B8"/>
    <w:rsid w:val="00567A0F"/>
    <w:rsid w:val="00567E80"/>
    <w:rsid w:val="00567EDC"/>
    <w:rsid w:val="00567EE5"/>
    <w:rsid w:val="005704E3"/>
    <w:rsid w:val="00570647"/>
    <w:rsid w:val="005707DF"/>
    <w:rsid w:val="00570859"/>
    <w:rsid w:val="0057099D"/>
    <w:rsid w:val="00570A5C"/>
    <w:rsid w:val="00570CCF"/>
    <w:rsid w:val="0057130F"/>
    <w:rsid w:val="005714E9"/>
    <w:rsid w:val="0057235F"/>
    <w:rsid w:val="00572837"/>
    <w:rsid w:val="005728B4"/>
    <w:rsid w:val="00572980"/>
    <w:rsid w:val="005729AF"/>
    <w:rsid w:val="00572A2E"/>
    <w:rsid w:val="00573694"/>
    <w:rsid w:val="005737C7"/>
    <w:rsid w:val="00573885"/>
    <w:rsid w:val="005738D1"/>
    <w:rsid w:val="00573EF3"/>
    <w:rsid w:val="00573F13"/>
    <w:rsid w:val="00574174"/>
    <w:rsid w:val="005741DF"/>
    <w:rsid w:val="005742BA"/>
    <w:rsid w:val="005745A5"/>
    <w:rsid w:val="005747EC"/>
    <w:rsid w:val="00574800"/>
    <w:rsid w:val="005748C2"/>
    <w:rsid w:val="00574FBC"/>
    <w:rsid w:val="005752FD"/>
    <w:rsid w:val="00575753"/>
    <w:rsid w:val="00575AB6"/>
    <w:rsid w:val="00575BCB"/>
    <w:rsid w:val="00575CBC"/>
    <w:rsid w:val="00575D35"/>
    <w:rsid w:val="00575D69"/>
    <w:rsid w:val="0057600F"/>
    <w:rsid w:val="00576172"/>
    <w:rsid w:val="005762F5"/>
    <w:rsid w:val="0057632F"/>
    <w:rsid w:val="00576A91"/>
    <w:rsid w:val="00576E1A"/>
    <w:rsid w:val="00576F2F"/>
    <w:rsid w:val="005773DA"/>
    <w:rsid w:val="005776A2"/>
    <w:rsid w:val="005776A6"/>
    <w:rsid w:val="00577CE8"/>
    <w:rsid w:val="00580170"/>
    <w:rsid w:val="00580204"/>
    <w:rsid w:val="005804D7"/>
    <w:rsid w:val="005808D4"/>
    <w:rsid w:val="00580D42"/>
    <w:rsid w:val="005810BF"/>
    <w:rsid w:val="005810F4"/>
    <w:rsid w:val="00581394"/>
    <w:rsid w:val="005814FF"/>
    <w:rsid w:val="00581531"/>
    <w:rsid w:val="00581932"/>
    <w:rsid w:val="00581C16"/>
    <w:rsid w:val="00583500"/>
    <w:rsid w:val="00583624"/>
    <w:rsid w:val="0058497E"/>
    <w:rsid w:val="00584EFE"/>
    <w:rsid w:val="005853A6"/>
    <w:rsid w:val="00585A5B"/>
    <w:rsid w:val="00585C82"/>
    <w:rsid w:val="005863FC"/>
    <w:rsid w:val="00586663"/>
    <w:rsid w:val="00586828"/>
    <w:rsid w:val="00586A0D"/>
    <w:rsid w:val="00586D5E"/>
    <w:rsid w:val="00587198"/>
    <w:rsid w:val="00587735"/>
    <w:rsid w:val="00587A69"/>
    <w:rsid w:val="00587C33"/>
    <w:rsid w:val="00587DAE"/>
    <w:rsid w:val="00587DE1"/>
    <w:rsid w:val="00587F85"/>
    <w:rsid w:val="0059002A"/>
    <w:rsid w:val="005902E6"/>
    <w:rsid w:val="0059036A"/>
    <w:rsid w:val="0059050D"/>
    <w:rsid w:val="00590AE5"/>
    <w:rsid w:val="00590C71"/>
    <w:rsid w:val="00590F2A"/>
    <w:rsid w:val="005928A3"/>
    <w:rsid w:val="00592AAD"/>
    <w:rsid w:val="005934FF"/>
    <w:rsid w:val="005936D0"/>
    <w:rsid w:val="005939FC"/>
    <w:rsid w:val="00593A7D"/>
    <w:rsid w:val="00594165"/>
    <w:rsid w:val="0059428A"/>
    <w:rsid w:val="005942BB"/>
    <w:rsid w:val="00594EA3"/>
    <w:rsid w:val="005951B6"/>
    <w:rsid w:val="00595386"/>
    <w:rsid w:val="005953C8"/>
    <w:rsid w:val="00595A43"/>
    <w:rsid w:val="00595C91"/>
    <w:rsid w:val="005961AA"/>
    <w:rsid w:val="0059622A"/>
    <w:rsid w:val="0059673B"/>
    <w:rsid w:val="00596B03"/>
    <w:rsid w:val="00596B55"/>
    <w:rsid w:val="0059775C"/>
    <w:rsid w:val="00597B8E"/>
    <w:rsid w:val="005A049B"/>
    <w:rsid w:val="005A0928"/>
    <w:rsid w:val="005A0A29"/>
    <w:rsid w:val="005A0DEB"/>
    <w:rsid w:val="005A0E2A"/>
    <w:rsid w:val="005A0E4F"/>
    <w:rsid w:val="005A0F27"/>
    <w:rsid w:val="005A106F"/>
    <w:rsid w:val="005A107D"/>
    <w:rsid w:val="005A108E"/>
    <w:rsid w:val="005A167D"/>
    <w:rsid w:val="005A16D8"/>
    <w:rsid w:val="005A1848"/>
    <w:rsid w:val="005A1914"/>
    <w:rsid w:val="005A1BD4"/>
    <w:rsid w:val="005A1D44"/>
    <w:rsid w:val="005A2663"/>
    <w:rsid w:val="005A2781"/>
    <w:rsid w:val="005A29E5"/>
    <w:rsid w:val="005A2CC2"/>
    <w:rsid w:val="005A2F46"/>
    <w:rsid w:val="005A2F6C"/>
    <w:rsid w:val="005A306C"/>
    <w:rsid w:val="005A338B"/>
    <w:rsid w:val="005A33FA"/>
    <w:rsid w:val="005A37B4"/>
    <w:rsid w:val="005A3AFF"/>
    <w:rsid w:val="005A3B33"/>
    <w:rsid w:val="005A3B43"/>
    <w:rsid w:val="005A3FE1"/>
    <w:rsid w:val="005A426F"/>
    <w:rsid w:val="005A427C"/>
    <w:rsid w:val="005A46F2"/>
    <w:rsid w:val="005A5003"/>
    <w:rsid w:val="005A5051"/>
    <w:rsid w:val="005A5D71"/>
    <w:rsid w:val="005A5E59"/>
    <w:rsid w:val="005A6137"/>
    <w:rsid w:val="005A650C"/>
    <w:rsid w:val="005A6705"/>
    <w:rsid w:val="005A671A"/>
    <w:rsid w:val="005A6BD4"/>
    <w:rsid w:val="005A6DF4"/>
    <w:rsid w:val="005A6FEA"/>
    <w:rsid w:val="005A7179"/>
    <w:rsid w:val="005A794A"/>
    <w:rsid w:val="005A7A51"/>
    <w:rsid w:val="005B0462"/>
    <w:rsid w:val="005B05B3"/>
    <w:rsid w:val="005B0893"/>
    <w:rsid w:val="005B089A"/>
    <w:rsid w:val="005B09A2"/>
    <w:rsid w:val="005B0E2C"/>
    <w:rsid w:val="005B1200"/>
    <w:rsid w:val="005B1261"/>
    <w:rsid w:val="005B131D"/>
    <w:rsid w:val="005B1481"/>
    <w:rsid w:val="005B18BC"/>
    <w:rsid w:val="005B1C2A"/>
    <w:rsid w:val="005B1DEB"/>
    <w:rsid w:val="005B2148"/>
    <w:rsid w:val="005B2263"/>
    <w:rsid w:val="005B230A"/>
    <w:rsid w:val="005B28B4"/>
    <w:rsid w:val="005B2C18"/>
    <w:rsid w:val="005B2CBD"/>
    <w:rsid w:val="005B315D"/>
    <w:rsid w:val="005B32BF"/>
    <w:rsid w:val="005B3684"/>
    <w:rsid w:val="005B37B0"/>
    <w:rsid w:val="005B3973"/>
    <w:rsid w:val="005B3E47"/>
    <w:rsid w:val="005B42D5"/>
    <w:rsid w:val="005B43DE"/>
    <w:rsid w:val="005B49DA"/>
    <w:rsid w:val="005B4BD8"/>
    <w:rsid w:val="005B4E75"/>
    <w:rsid w:val="005B4FCD"/>
    <w:rsid w:val="005B4FD2"/>
    <w:rsid w:val="005B50A0"/>
    <w:rsid w:val="005B50A7"/>
    <w:rsid w:val="005B52BF"/>
    <w:rsid w:val="005B55B8"/>
    <w:rsid w:val="005B598D"/>
    <w:rsid w:val="005B5EAE"/>
    <w:rsid w:val="005B7925"/>
    <w:rsid w:val="005B7A9C"/>
    <w:rsid w:val="005C00FA"/>
    <w:rsid w:val="005C0235"/>
    <w:rsid w:val="005C027C"/>
    <w:rsid w:val="005C08B1"/>
    <w:rsid w:val="005C09A1"/>
    <w:rsid w:val="005C10FF"/>
    <w:rsid w:val="005C15C6"/>
    <w:rsid w:val="005C1BA4"/>
    <w:rsid w:val="005C1D4E"/>
    <w:rsid w:val="005C1E57"/>
    <w:rsid w:val="005C226A"/>
    <w:rsid w:val="005C2E90"/>
    <w:rsid w:val="005C2EE6"/>
    <w:rsid w:val="005C3BE1"/>
    <w:rsid w:val="005C3CB1"/>
    <w:rsid w:val="005C3E62"/>
    <w:rsid w:val="005C3ED5"/>
    <w:rsid w:val="005C40F5"/>
    <w:rsid w:val="005C4313"/>
    <w:rsid w:val="005C43DE"/>
    <w:rsid w:val="005C48AB"/>
    <w:rsid w:val="005C48BE"/>
    <w:rsid w:val="005C48D8"/>
    <w:rsid w:val="005C4AA1"/>
    <w:rsid w:val="005C4E33"/>
    <w:rsid w:val="005C4EDB"/>
    <w:rsid w:val="005C5577"/>
    <w:rsid w:val="005C58FF"/>
    <w:rsid w:val="005C5ADE"/>
    <w:rsid w:val="005C5B11"/>
    <w:rsid w:val="005C5BF5"/>
    <w:rsid w:val="005C5C8D"/>
    <w:rsid w:val="005C5E95"/>
    <w:rsid w:val="005C63F2"/>
    <w:rsid w:val="005C65AB"/>
    <w:rsid w:val="005C68E1"/>
    <w:rsid w:val="005C698D"/>
    <w:rsid w:val="005C7097"/>
    <w:rsid w:val="005C70E8"/>
    <w:rsid w:val="005C74A7"/>
    <w:rsid w:val="005C7D1F"/>
    <w:rsid w:val="005D0031"/>
    <w:rsid w:val="005D0196"/>
    <w:rsid w:val="005D0282"/>
    <w:rsid w:val="005D04FC"/>
    <w:rsid w:val="005D0972"/>
    <w:rsid w:val="005D0B4C"/>
    <w:rsid w:val="005D0D87"/>
    <w:rsid w:val="005D0ECB"/>
    <w:rsid w:val="005D0F5F"/>
    <w:rsid w:val="005D0F70"/>
    <w:rsid w:val="005D105A"/>
    <w:rsid w:val="005D127C"/>
    <w:rsid w:val="005D12F1"/>
    <w:rsid w:val="005D1426"/>
    <w:rsid w:val="005D16EE"/>
    <w:rsid w:val="005D179F"/>
    <w:rsid w:val="005D1980"/>
    <w:rsid w:val="005D1E59"/>
    <w:rsid w:val="005D20A3"/>
    <w:rsid w:val="005D2511"/>
    <w:rsid w:val="005D27AE"/>
    <w:rsid w:val="005D27F5"/>
    <w:rsid w:val="005D2DB5"/>
    <w:rsid w:val="005D2F10"/>
    <w:rsid w:val="005D326B"/>
    <w:rsid w:val="005D32E6"/>
    <w:rsid w:val="005D3912"/>
    <w:rsid w:val="005D3C18"/>
    <w:rsid w:val="005D3DE5"/>
    <w:rsid w:val="005D41D8"/>
    <w:rsid w:val="005D41E2"/>
    <w:rsid w:val="005D4C32"/>
    <w:rsid w:val="005D4E58"/>
    <w:rsid w:val="005D51F4"/>
    <w:rsid w:val="005D5282"/>
    <w:rsid w:val="005D53F8"/>
    <w:rsid w:val="005D5404"/>
    <w:rsid w:val="005D541F"/>
    <w:rsid w:val="005D5F66"/>
    <w:rsid w:val="005D60D3"/>
    <w:rsid w:val="005D6AB4"/>
    <w:rsid w:val="005D6E7E"/>
    <w:rsid w:val="005D6FE8"/>
    <w:rsid w:val="005D778B"/>
    <w:rsid w:val="005D7A76"/>
    <w:rsid w:val="005E00F6"/>
    <w:rsid w:val="005E036F"/>
    <w:rsid w:val="005E05C4"/>
    <w:rsid w:val="005E0E47"/>
    <w:rsid w:val="005E0E64"/>
    <w:rsid w:val="005E0F1B"/>
    <w:rsid w:val="005E0F47"/>
    <w:rsid w:val="005E0F7D"/>
    <w:rsid w:val="005E107A"/>
    <w:rsid w:val="005E1422"/>
    <w:rsid w:val="005E1445"/>
    <w:rsid w:val="005E18E4"/>
    <w:rsid w:val="005E1AE7"/>
    <w:rsid w:val="005E1B59"/>
    <w:rsid w:val="005E213F"/>
    <w:rsid w:val="005E239F"/>
    <w:rsid w:val="005E2D95"/>
    <w:rsid w:val="005E38F7"/>
    <w:rsid w:val="005E3AFA"/>
    <w:rsid w:val="005E3D3A"/>
    <w:rsid w:val="005E3EB9"/>
    <w:rsid w:val="005E47BD"/>
    <w:rsid w:val="005E587A"/>
    <w:rsid w:val="005E5B72"/>
    <w:rsid w:val="005E5E3C"/>
    <w:rsid w:val="005E61BA"/>
    <w:rsid w:val="005E685D"/>
    <w:rsid w:val="005E69F4"/>
    <w:rsid w:val="005E6A58"/>
    <w:rsid w:val="005E6AAF"/>
    <w:rsid w:val="005E6BCC"/>
    <w:rsid w:val="005E707B"/>
    <w:rsid w:val="005E759F"/>
    <w:rsid w:val="005E75FD"/>
    <w:rsid w:val="005E7654"/>
    <w:rsid w:val="005E7942"/>
    <w:rsid w:val="005E7C1B"/>
    <w:rsid w:val="005E7CDD"/>
    <w:rsid w:val="005F013D"/>
    <w:rsid w:val="005F041C"/>
    <w:rsid w:val="005F0437"/>
    <w:rsid w:val="005F075E"/>
    <w:rsid w:val="005F080B"/>
    <w:rsid w:val="005F087D"/>
    <w:rsid w:val="005F0CA0"/>
    <w:rsid w:val="005F0E3E"/>
    <w:rsid w:val="005F134E"/>
    <w:rsid w:val="005F13CC"/>
    <w:rsid w:val="005F15DA"/>
    <w:rsid w:val="005F173E"/>
    <w:rsid w:val="005F180F"/>
    <w:rsid w:val="005F1E53"/>
    <w:rsid w:val="005F204E"/>
    <w:rsid w:val="005F2137"/>
    <w:rsid w:val="005F2522"/>
    <w:rsid w:val="005F2ADE"/>
    <w:rsid w:val="005F3189"/>
    <w:rsid w:val="005F3909"/>
    <w:rsid w:val="005F3992"/>
    <w:rsid w:val="005F39C8"/>
    <w:rsid w:val="005F3BB4"/>
    <w:rsid w:val="005F3BDA"/>
    <w:rsid w:val="005F3D93"/>
    <w:rsid w:val="005F48E1"/>
    <w:rsid w:val="005F4D6E"/>
    <w:rsid w:val="005F5EF9"/>
    <w:rsid w:val="005F603E"/>
    <w:rsid w:val="005F6307"/>
    <w:rsid w:val="005F68BB"/>
    <w:rsid w:val="005F6A77"/>
    <w:rsid w:val="005F6D0A"/>
    <w:rsid w:val="005F6DFD"/>
    <w:rsid w:val="005F6E91"/>
    <w:rsid w:val="005F6FF4"/>
    <w:rsid w:val="005F77A0"/>
    <w:rsid w:val="005F7B08"/>
    <w:rsid w:val="005FA2CE"/>
    <w:rsid w:val="00600392"/>
    <w:rsid w:val="0060040F"/>
    <w:rsid w:val="0060083F"/>
    <w:rsid w:val="00600BFC"/>
    <w:rsid w:val="00600ED2"/>
    <w:rsid w:val="006012D5"/>
    <w:rsid w:val="0060130A"/>
    <w:rsid w:val="0060169C"/>
    <w:rsid w:val="006018D5"/>
    <w:rsid w:val="00601D7D"/>
    <w:rsid w:val="00601D92"/>
    <w:rsid w:val="00601F7F"/>
    <w:rsid w:val="0060218D"/>
    <w:rsid w:val="0060248B"/>
    <w:rsid w:val="00602ADC"/>
    <w:rsid w:val="00603077"/>
    <w:rsid w:val="006030EC"/>
    <w:rsid w:val="00603902"/>
    <w:rsid w:val="00603BF3"/>
    <w:rsid w:val="0060417E"/>
    <w:rsid w:val="0060466A"/>
    <w:rsid w:val="006047CF"/>
    <w:rsid w:val="00604B91"/>
    <w:rsid w:val="00604E4F"/>
    <w:rsid w:val="006051D0"/>
    <w:rsid w:val="00605915"/>
    <w:rsid w:val="00605BEF"/>
    <w:rsid w:val="00605C75"/>
    <w:rsid w:val="00605E58"/>
    <w:rsid w:val="006066E1"/>
    <w:rsid w:val="006069AC"/>
    <w:rsid w:val="006069D2"/>
    <w:rsid w:val="00606F8E"/>
    <w:rsid w:val="00607320"/>
    <w:rsid w:val="006076CD"/>
    <w:rsid w:val="006077BB"/>
    <w:rsid w:val="00607C80"/>
    <w:rsid w:val="00610009"/>
    <w:rsid w:val="00610206"/>
    <w:rsid w:val="00610E79"/>
    <w:rsid w:val="0061140C"/>
    <w:rsid w:val="006114A2"/>
    <w:rsid w:val="006114D2"/>
    <w:rsid w:val="006117C4"/>
    <w:rsid w:val="00611A4A"/>
    <w:rsid w:val="00611AA3"/>
    <w:rsid w:val="00611D3A"/>
    <w:rsid w:val="0061233C"/>
    <w:rsid w:val="00612515"/>
    <w:rsid w:val="0061297B"/>
    <w:rsid w:val="00612ADA"/>
    <w:rsid w:val="00612BCD"/>
    <w:rsid w:val="00612E51"/>
    <w:rsid w:val="00613085"/>
    <w:rsid w:val="006133C6"/>
    <w:rsid w:val="006137A7"/>
    <w:rsid w:val="00613B14"/>
    <w:rsid w:val="00613C93"/>
    <w:rsid w:val="00613DAF"/>
    <w:rsid w:val="00613E66"/>
    <w:rsid w:val="00614059"/>
    <w:rsid w:val="00614316"/>
    <w:rsid w:val="00614638"/>
    <w:rsid w:val="0061478A"/>
    <w:rsid w:val="00614C86"/>
    <w:rsid w:val="00614F3C"/>
    <w:rsid w:val="00615A0B"/>
    <w:rsid w:val="006161B9"/>
    <w:rsid w:val="00616675"/>
    <w:rsid w:val="00616678"/>
    <w:rsid w:val="006166F4"/>
    <w:rsid w:val="00616920"/>
    <w:rsid w:val="00616A2B"/>
    <w:rsid w:val="0061703D"/>
    <w:rsid w:val="006171CA"/>
    <w:rsid w:val="006171EF"/>
    <w:rsid w:val="0061736A"/>
    <w:rsid w:val="00617684"/>
    <w:rsid w:val="00617720"/>
    <w:rsid w:val="006178A2"/>
    <w:rsid w:val="00617E8E"/>
    <w:rsid w:val="00617F59"/>
    <w:rsid w:val="006207B9"/>
    <w:rsid w:val="00620B6F"/>
    <w:rsid w:val="00620CD8"/>
    <w:rsid w:val="00620E2E"/>
    <w:rsid w:val="006210DD"/>
    <w:rsid w:val="00621D99"/>
    <w:rsid w:val="006221C4"/>
    <w:rsid w:val="006222B7"/>
    <w:rsid w:val="006226DF"/>
    <w:rsid w:val="006228E7"/>
    <w:rsid w:val="00622B06"/>
    <w:rsid w:val="00622E30"/>
    <w:rsid w:val="00622F66"/>
    <w:rsid w:val="00623468"/>
    <w:rsid w:val="00623AE6"/>
    <w:rsid w:val="00623F7C"/>
    <w:rsid w:val="00624813"/>
    <w:rsid w:val="006249C3"/>
    <w:rsid w:val="006249D4"/>
    <w:rsid w:val="006252C3"/>
    <w:rsid w:val="006253CC"/>
    <w:rsid w:val="0062567C"/>
    <w:rsid w:val="006257AA"/>
    <w:rsid w:val="006257B7"/>
    <w:rsid w:val="0062592B"/>
    <w:rsid w:val="00625A00"/>
    <w:rsid w:val="00625A5B"/>
    <w:rsid w:val="00625BCA"/>
    <w:rsid w:val="00625F39"/>
    <w:rsid w:val="0062614F"/>
    <w:rsid w:val="0062620B"/>
    <w:rsid w:val="006263DF"/>
    <w:rsid w:val="006265B2"/>
    <w:rsid w:val="0062699C"/>
    <w:rsid w:val="006269C5"/>
    <w:rsid w:val="00626B22"/>
    <w:rsid w:val="00626BDB"/>
    <w:rsid w:val="00626F1B"/>
    <w:rsid w:val="00627815"/>
    <w:rsid w:val="00627FF8"/>
    <w:rsid w:val="0063004E"/>
    <w:rsid w:val="006302B2"/>
    <w:rsid w:val="0063046D"/>
    <w:rsid w:val="006307CA"/>
    <w:rsid w:val="00630BF9"/>
    <w:rsid w:val="006311C1"/>
    <w:rsid w:val="0063136B"/>
    <w:rsid w:val="00631971"/>
    <w:rsid w:val="00631A28"/>
    <w:rsid w:val="00631A61"/>
    <w:rsid w:val="00631C79"/>
    <w:rsid w:val="00631DF7"/>
    <w:rsid w:val="00632468"/>
    <w:rsid w:val="00632470"/>
    <w:rsid w:val="006326DA"/>
    <w:rsid w:val="00632BA7"/>
    <w:rsid w:val="00632C00"/>
    <w:rsid w:val="00633833"/>
    <w:rsid w:val="00633913"/>
    <w:rsid w:val="006339EA"/>
    <w:rsid w:val="0063447D"/>
    <w:rsid w:val="006348F6"/>
    <w:rsid w:val="00635AFA"/>
    <w:rsid w:val="00635B19"/>
    <w:rsid w:val="00635CB1"/>
    <w:rsid w:val="00635E16"/>
    <w:rsid w:val="00635ECC"/>
    <w:rsid w:val="0063630E"/>
    <w:rsid w:val="00636432"/>
    <w:rsid w:val="00636499"/>
    <w:rsid w:val="0063683B"/>
    <w:rsid w:val="00636C90"/>
    <w:rsid w:val="00636D58"/>
    <w:rsid w:val="00636D70"/>
    <w:rsid w:val="00636EDE"/>
    <w:rsid w:val="006370FB"/>
    <w:rsid w:val="00637159"/>
    <w:rsid w:val="006371D5"/>
    <w:rsid w:val="00637212"/>
    <w:rsid w:val="006373A6"/>
    <w:rsid w:val="00637526"/>
    <w:rsid w:val="006377C9"/>
    <w:rsid w:val="006379FA"/>
    <w:rsid w:val="00637FC6"/>
    <w:rsid w:val="00640782"/>
    <w:rsid w:val="00640F50"/>
    <w:rsid w:val="00640F75"/>
    <w:rsid w:val="00641242"/>
    <w:rsid w:val="00641883"/>
    <w:rsid w:val="00641EE2"/>
    <w:rsid w:val="00642379"/>
    <w:rsid w:val="00642600"/>
    <w:rsid w:val="00642C58"/>
    <w:rsid w:val="00642DD0"/>
    <w:rsid w:val="00643124"/>
    <w:rsid w:val="0064393C"/>
    <w:rsid w:val="0064464E"/>
    <w:rsid w:val="00644960"/>
    <w:rsid w:val="00644972"/>
    <w:rsid w:val="00644B0A"/>
    <w:rsid w:val="00645DDF"/>
    <w:rsid w:val="006464C6"/>
    <w:rsid w:val="0064661B"/>
    <w:rsid w:val="0064679F"/>
    <w:rsid w:val="00646B14"/>
    <w:rsid w:val="006479E8"/>
    <w:rsid w:val="006479ED"/>
    <w:rsid w:val="00647BF6"/>
    <w:rsid w:val="00647FD2"/>
    <w:rsid w:val="0065015B"/>
    <w:rsid w:val="006507E0"/>
    <w:rsid w:val="0065087F"/>
    <w:rsid w:val="00650D09"/>
    <w:rsid w:val="00650F85"/>
    <w:rsid w:val="006513A3"/>
    <w:rsid w:val="006513F9"/>
    <w:rsid w:val="0065161E"/>
    <w:rsid w:val="00651F63"/>
    <w:rsid w:val="00652A38"/>
    <w:rsid w:val="00652B1E"/>
    <w:rsid w:val="00652C9C"/>
    <w:rsid w:val="006531E3"/>
    <w:rsid w:val="006532EA"/>
    <w:rsid w:val="006537E9"/>
    <w:rsid w:val="00653B45"/>
    <w:rsid w:val="00653E4C"/>
    <w:rsid w:val="0065434B"/>
    <w:rsid w:val="006546BE"/>
    <w:rsid w:val="00654A56"/>
    <w:rsid w:val="00655060"/>
    <w:rsid w:val="00655324"/>
    <w:rsid w:val="0065537D"/>
    <w:rsid w:val="00655A21"/>
    <w:rsid w:val="00655A2C"/>
    <w:rsid w:val="00655CB9"/>
    <w:rsid w:val="0065609D"/>
    <w:rsid w:val="00656250"/>
    <w:rsid w:val="00656274"/>
    <w:rsid w:val="006565C8"/>
    <w:rsid w:val="0065688E"/>
    <w:rsid w:val="00656FF1"/>
    <w:rsid w:val="006574BE"/>
    <w:rsid w:val="0065758D"/>
    <w:rsid w:val="006576FB"/>
    <w:rsid w:val="00657B26"/>
    <w:rsid w:val="00657D91"/>
    <w:rsid w:val="006602D0"/>
    <w:rsid w:val="00660C6C"/>
    <w:rsid w:val="00660CDC"/>
    <w:rsid w:val="00660D00"/>
    <w:rsid w:val="00660DC1"/>
    <w:rsid w:val="00660E92"/>
    <w:rsid w:val="00661599"/>
    <w:rsid w:val="006616CF"/>
    <w:rsid w:val="0066186C"/>
    <w:rsid w:val="006619C1"/>
    <w:rsid w:val="00661A4F"/>
    <w:rsid w:val="00661B51"/>
    <w:rsid w:val="00661C61"/>
    <w:rsid w:val="00661F24"/>
    <w:rsid w:val="00662542"/>
    <w:rsid w:val="00662827"/>
    <w:rsid w:val="00662DC5"/>
    <w:rsid w:val="00662FD0"/>
    <w:rsid w:val="00663143"/>
    <w:rsid w:val="00663199"/>
    <w:rsid w:val="006631D1"/>
    <w:rsid w:val="00663C10"/>
    <w:rsid w:val="00664214"/>
    <w:rsid w:val="00664312"/>
    <w:rsid w:val="00664636"/>
    <w:rsid w:val="00664762"/>
    <w:rsid w:val="006649E6"/>
    <w:rsid w:val="00664AB7"/>
    <w:rsid w:val="006654A0"/>
    <w:rsid w:val="006662ED"/>
    <w:rsid w:val="006665C0"/>
    <w:rsid w:val="00666613"/>
    <w:rsid w:val="00666F6F"/>
    <w:rsid w:val="00667058"/>
    <w:rsid w:val="0066706D"/>
    <w:rsid w:val="006670AF"/>
    <w:rsid w:val="00667274"/>
    <w:rsid w:val="006673C0"/>
    <w:rsid w:val="006673D7"/>
    <w:rsid w:val="006673E0"/>
    <w:rsid w:val="006673FD"/>
    <w:rsid w:val="006676A1"/>
    <w:rsid w:val="00667CCC"/>
    <w:rsid w:val="00670027"/>
    <w:rsid w:val="0067011C"/>
    <w:rsid w:val="00671105"/>
    <w:rsid w:val="00671BFE"/>
    <w:rsid w:val="0067203A"/>
    <w:rsid w:val="006723FF"/>
    <w:rsid w:val="00672815"/>
    <w:rsid w:val="00672985"/>
    <w:rsid w:val="0067299D"/>
    <w:rsid w:val="00672A85"/>
    <w:rsid w:val="00673128"/>
    <w:rsid w:val="00673989"/>
    <w:rsid w:val="00673C4C"/>
    <w:rsid w:val="0067430E"/>
    <w:rsid w:val="00674316"/>
    <w:rsid w:val="00674670"/>
    <w:rsid w:val="006746D7"/>
    <w:rsid w:val="00674888"/>
    <w:rsid w:val="00674986"/>
    <w:rsid w:val="00674A3D"/>
    <w:rsid w:val="006757A4"/>
    <w:rsid w:val="00675971"/>
    <w:rsid w:val="00675AF0"/>
    <w:rsid w:val="006767FD"/>
    <w:rsid w:val="006768CA"/>
    <w:rsid w:val="00676BD4"/>
    <w:rsid w:val="006777B9"/>
    <w:rsid w:val="006777F7"/>
    <w:rsid w:val="006809D8"/>
    <w:rsid w:val="00680BD2"/>
    <w:rsid w:val="00680C00"/>
    <w:rsid w:val="00680F18"/>
    <w:rsid w:val="00681330"/>
    <w:rsid w:val="00681A51"/>
    <w:rsid w:val="00681C0F"/>
    <w:rsid w:val="00681F5A"/>
    <w:rsid w:val="00682A22"/>
    <w:rsid w:val="00682DD0"/>
    <w:rsid w:val="00682DE4"/>
    <w:rsid w:val="00683AB2"/>
    <w:rsid w:val="00683BE9"/>
    <w:rsid w:val="00683D75"/>
    <w:rsid w:val="006841E7"/>
    <w:rsid w:val="00684842"/>
    <w:rsid w:val="00684988"/>
    <w:rsid w:val="00684A0E"/>
    <w:rsid w:val="00684C8D"/>
    <w:rsid w:val="00685756"/>
    <w:rsid w:val="00685A0A"/>
    <w:rsid w:val="006862BB"/>
    <w:rsid w:val="00686842"/>
    <w:rsid w:val="006868D4"/>
    <w:rsid w:val="006869F1"/>
    <w:rsid w:val="00686AF6"/>
    <w:rsid w:val="006874BA"/>
    <w:rsid w:val="0068782D"/>
    <w:rsid w:val="00687ADA"/>
    <w:rsid w:val="0069050F"/>
    <w:rsid w:val="00690610"/>
    <w:rsid w:val="00690ABE"/>
    <w:rsid w:val="006913E5"/>
    <w:rsid w:val="006916B3"/>
    <w:rsid w:val="00691995"/>
    <w:rsid w:val="00691ACF"/>
    <w:rsid w:val="00691D03"/>
    <w:rsid w:val="00691D97"/>
    <w:rsid w:val="00691E59"/>
    <w:rsid w:val="0069269F"/>
    <w:rsid w:val="0069293A"/>
    <w:rsid w:val="00692AE0"/>
    <w:rsid w:val="00693042"/>
    <w:rsid w:val="00693775"/>
    <w:rsid w:val="00693CD7"/>
    <w:rsid w:val="00694241"/>
    <w:rsid w:val="006943F5"/>
    <w:rsid w:val="00694C11"/>
    <w:rsid w:val="00694D98"/>
    <w:rsid w:val="0069513C"/>
    <w:rsid w:val="0069538F"/>
    <w:rsid w:val="0069562C"/>
    <w:rsid w:val="00695AC7"/>
    <w:rsid w:val="00695B5E"/>
    <w:rsid w:val="00696018"/>
    <w:rsid w:val="00696310"/>
    <w:rsid w:val="00696322"/>
    <w:rsid w:val="006966A8"/>
    <w:rsid w:val="00696FF7"/>
    <w:rsid w:val="00697273"/>
    <w:rsid w:val="00697DB7"/>
    <w:rsid w:val="00697ECC"/>
    <w:rsid w:val="006A0032"/>
    <w:rsid w:val="006A00A5"/>
    <w:rsid w:val="006A0416"/>
    <w:rsid w:val="006A085B"/>
    <w:rsid w:val="006A0F93"/>
    <w:rsid w:val="006A106A"/>
    <w:rsid w:val="006A11EF"/>
    <w:rsid w:val="006A12CF"/>
    <w:rsid w:val="006A16FC"/>
    <w:rsid w:val="006A1EBE"/>
    <w:rsid w:val="006A244B"/>
    <w:rsid w:val="006A2669"/>
    <w:rsid w:val="006A2D92"/>
    <w:rsid w:val="006A3870"/>
    <w:rsid w:val="006A3FB8"/>
    <w:rsid w:val="006A42C7"/>
    <w:rsid w:val="006A45F2"/>
    <w:rsid w:val="006A49FD"/>
    <w:rsid w:val="006A4FF7"/>
    <w:rsid w:val="006A506C"/>
    <w:rsid w:val="006A56BD"/>
    <w:rsid w:val="006A588F"/>
    <w:rsid w:val="006A5983"/>
    <w:rsid w:val="006A6016"/>
    <w:rsid w:val="006A61C0"/>
    <w:rsid w:val="006A677B"/>
    <w:rsid w:val="006A6949"/>
    <w:rsid w:val="006A7A4D"/>
    <w:rsid w:val="006A7D8E"/>
    <w:rsid w:val="006A7EA7"/>
    <w:rsid w:val="006B016C"/>
    <w:rsid w:val="006B06C5"/>
    <w:rsid w:val="006B0747"/>
    <w:rsid w:val="006B0802"/>
    <w:rsid w:val="006B0DFC"/>
    <w:rsid w:val="006B0FE1"/>
    <w:rsid w:val="006B11A9"/>
    <w:rsid w:val="006B1571"/>
    <w:rsid w:val="006B1B87"/>
    <w:rsid w:val="006B22B3"/>
    <w:rsid w:val="006B2A38"/>
    <w:rsid w:val="006B2E6D"/>
    <w:rsid w:val="006B2EA3"/>
    <w:rsid w:val="006B33EC"/>
    <w:rsid w:val="006B350B"/>
    <w:rsid w:val="006B3617"/>
    <w:rsid w:val="006B3673"/>
    <w:rsid w:val="006B3851"/>
    <w:rsid w:val="006B3F0C"/>
    <w:rsid w:val="006B442C"/>
    <w:rsid w:val="006B44EC"/>
    <w:rsid w:val="006B49A4"/>
    <w:rsid w:val="006B4ED8"/>
    <w:rsid w:val="006B4F02"/>
    <w:rsid w:val="006B568C"/>
    <w:rsid w:val="006B590F"/>
    <w:rsid w:val="006B621E"/>
    <w:rsid w:val="006B65B9"/>
    <w:rsid w:val="006B6DE5"/>
    <w:rsid w:val="006B7544"/>
    <w:rsid w:val="006B7BA9"/>
    <w:rsid w:val="006B7EAD"/>
    <w:rsid w:val="006C0047"/>
    <w:rsid w:val="006C055A"/>
    <w:rsid w:val="006C0603"/>
    <w:rsid w:val="006C0655"/>
    <w:rsid w:val="006C0E89"/>
    <w:rsid w:val="006C1012"/>
    <w:rsid w:val="006C106B"/>
    <w:rsid w:val="006C1078"/>
    <w:rsid w:val="006C147A"/>
    <w:rsid w:val="006C14A3"/>
    <w:rsid w:val="006C150C"/>
    <w:rsid w:val="006C157C"/>
    <w:rsid w:val="006C1783"/>
    <w:rsid w:val="006C1A4B"/>
    <w:rsid w:val="006C1A9B"/>
    <w:rsid w:val="006C2071"/>
    <w:rsid w:val="006C2183"/>
    <w:rsid w:val="006C2AE4"/>
    <w:rsid w:val="006C3054"/>
    <w:rsid w:val="006C320E"/>
    <w:rsid w:val="006C34BF"/>
    <w:rsid w:val="006C3613"/>
    <w:rsid w:val="006C37FD"/>
    <w:rsid w:val="006C3AC1"/>
    <w:rsid w:val="006C3ADD"/>
    <w:rsid w:val="006C3C23"/>
    <w:rsid w:val="006C3D06"/>
    <w:rsid w:val="006C3F51"/>
    <w:rsid w:val="006C409B"/>
    <w:rsid w:val="006C40BB"/>
    <w:rsid w:val="006C4DE2"/>
    <w:rsid w:val="006C5247"/>
    <w:rsid w:val="006C52F9"/>
    <w:rsid w:val="006C5606"/>
    <w:rsid w:val="006C573B"/>
    <w:rsid w:val="006C5EB2"/>
    <w:rsid w:val="006C602C"/>
    <w:rsid w:val="006C60C6"/>
    <w:rsid w:val="006C640F"/>
    <w:rsid w:val="006C64FF"/>
    <w:rsid w:val="006C67FF"/>
    <w:rsid w:val="006C68DE"/>
    <w:rsid w:val="006C6A33"/>
    <w:rsid w:val="006C6CD8"/>
    <w:rsid w:val="006C6DAD"/>
    <w:rsid w:val="006C6E30"/>
    <w:rsid w:val="006C6EFA"/>
    <w:rsid w:val="006C6F56"/>
    <w:rsid w:val="006C77ED"/>
    <w:rsid w:val="006C7CB4"/>
    <w:rsid w:val="006C7E71"/>
    <w:rsid w:val="006D01EB"/>
    <w:rsid w:val="006D0525"/>
    <w:rsid w:val="006D06CA"/>
    <w:rsid w:val="006D0ACB"/>
    <w:rsid w:val="006D0B40"/>
    <w:rsid w:val="006D1001"/>
    <w:rsid w:val="006D1903"/>
    <w:rsid w:val="006D22AF"/>
    <w:rsid w:val="006D31A9"/>
    <w:rsid w:val="006D33EB"/>
    <w:rsid w:val="006D37F9"/>
    <w:rsid w:val="006D4201"/>
    <w:rsid w:val="006D44AC"/>
    <w:rsid w:val="006D52DB"/>
    <w:rsid w:val="006D578D"/>
    <w:rsid w:val="006D5F6C"/>
    <w:rsid w:val="006D603A"/>
    <w:rsid w:val="006D6968"/>
    <w:rsid w:val="006D6EB9"/>
    <w:rsid w:val="006D7163"/>
    <w:rsid w:val="006D76D7"/>
    <w:rsid w:val="006E047A"/>
    <w:rsid w:val="006E0E31"/>
    <w:rsid w:val="006E0ED1"/>
    <w:rsid w:val="006E115E"/>
    <w:rsid w:val="006E1226"/>
    <w:rsid w:val="006E1C2B"/>
    <w:rsid w:val="006E244D"/>
    <w:rsid w:val="006E266F"/>
    <w:rsid w:val="006E2728"/>
    <w:rsid w:val="006E2830"/>
    <w:rsid w:val="006E28CB"/>
    <w:rsid w:val="006E2AB9"/>
    <w:rsid w:val="006E32A3"/>
    <w:rsid w:val="006E32AE"/>
    <w:rsid w:val="006E3321"/>
    <w:rsid w:val="006E333B"/>
    <w:rsid w:val="006E3369"/>
    <w:rsid w:val="006E34F7"/>
    <w:rsid w:val="006E35DB"/>
    <w:rsid w:val="006E3717"/>
    <w:rsid w:val="006E37E0"/>
    <w:rsid w:val="006E382B"/>
    <w:rsid w:val="006E3BBF"/>
    <w:rsid w:val="006E48B1"/>
    <w:rsid w:val="006E4BAB"/>
    <w:rsid w:val="006E508D"/>
    <w:rsid w:val="006E58FF"/>
    <w:rsid w:val="006E5B33"/>
    <w:rsid w:val="006E5F43"/>
    <w:rsid w:val="006E619B"/>
    <w:rsid w:val="006E64D8"/>
    <w:rsid w:val="006E654E"/>
    <w:rsid w:val="006E6F56"/>
    <w:rsid w:val="006F0232"/>
    <w:rsid w:val="006F05E3"/>
    <w:rsid w:val="006F06CA"/>
    <w:rsid w:val="006F07E1"/>
    <w:rsid w:val="006F1459"/>
    <w:rsid w:val="006F19B7"/>
    <w:rsid w:val="006F1C0E"/>
    <w:rsid w:val="006F1E6C"/>
    <w:rsid w:val="006F2081"/>
    <w:rsid w:val="006F2379"/>
    <w:rsid w:val="006F2862"/>
    <w:rsid w:val="006F2A88"/>
    <w:rsid w:val="006F2DBC"/>
    <w:rsid w:val="006F2E27"/>
    <w:rsid w:val="006F3151"/>
    <w:rsid w:val="006F390A"/>
    <w:rsid w:val="006F3F96"/>
    <w:rsid w:val="006F476C"/>
    <w:rsid w:val="006F47C2"/>
    <w:rsid w:val="006F5327"/>
    <w:rsid w:val="006F556E"/>
    <w:rsid w:val="006F57A5"/>
    <w:rsid w:val="006F593C"/>
    <w:rsid w:val="006F5EB7"/>
    <w:rsid w:val="006F5F98"/>
    <w:rsid w:val="006F6017"/>
    <w:rsid w:val="006F6210"/>
    <w:rsid w:val="006F66A3"/>
    <w:rsid w:val="006F6D46"/>
    <w:rsid w:val="006F7621"/>
    <w:rsid w:val="006F7A5E"/>
    <w:rsid w:val="00700369"/>
    <w:rsid w:val="0070148B"/>
    <w:rsid w:val="00701A99"/>
    <w:rsid w:val="00701B96"/>
    <w:rsid w:val="00702A64"/>
    <w:rsid w:val="00703012"/>
    <w:rsid w:val="007032B7"/>
    <w:rsid w:val="0070368C"/>
    <w:rsid w:val="007036A4"/>
    <w:rsid w:val="00703B00"/>
    <w:rsid w:val="00703CA5"/>
    <w:rsid w:val="00703E4E"/>
    <w:rsid w:val="0070480D"/>
    <w:rsid w:val="00705A38"/>
    <w:rsid w:val="00705C8C"/>
    <w:rsid w:val="00705C9A"/>
    <w:rsid w:val="00705E3C"/>
    <w:rsid w:val="00705EDB"/>
    <w:rsid w:val="00705F9A"/>
    <w:rsid w:val="0070614F"/>
    <w:rsid w:val="007066AB"/>
    <w:rsid w:val="00706D01"/>
    <w:rsid w:val="00706EF5"/>
    <w:rsid w:val="007075EC"/>
    <w:rsid w:val="0070768D"/>
    <w:rsid w:val="007077AB"/>
    <w:rsid w:val="00707800"/>
    <w:rsid w:val="00707A54"/>
    <w:rsid w:val="0071018E"/>
    <w:rsid w:val="0071062F"/>
    <w:rsid w:val="007107C9"/>
    <w:rsid w:val="00711657"/>
    <w:rsid w:val="007117D5"/>
    <w:rsid w:val="007118D8"/>
    <w:rsid w:val="0071195F"/>
    <w:rsid w:val="00711A62"/>
    <w:rsid w:val="00711D06"/>
    <w:rsid w:val="0071201D"/>
    <w:rsid w:val="00712947"/>
    <w:rsid w:val="00712BA6"/>
    <w:rsid w:val="00712CEB"/>
    <w:rsid w:val="00712CF1"/>
    <w:rsid w:val="00712D0B"/>
    <w:rsid w:val="00712F70"/>
    <w:rsid w:val="00713033"/>
    <w:rsid w:val="00713175"/>
    <w:rsid w:val="00713771"/>
    <w:rsid w:val="00713B6D"/>
    <w:rsid w:val="00713CCF"/>
    <w:rsid w:val="007141AE"/>
    <w:rsid w:val="007142BC"/>
    <w:rsid w:val="00714656"/>
    <w:rsid w:val="007148B2"/>
    <w:rsid w:val="007157AD"/>
    <w:rsid w:val="007157CC"/>
    <w:rsid w:val="00715AAC"/>
    <w:rsid w:val="00715D30"/>
    <w:rsid w:val="00715F8E"/>
    <w:rsid w:val="00715FB6"/>
    <w:rsid w:val="00716219"/>
    <w:rsid w:val="00716930"/>
    <w:rsid w:val="0071785B"/>
    <w:rsid w:val="00717D92"/>
    <w:rsid w:val="0072007F"/>
    <w:rsid w:val="00720519"/>
    <w:rsid w:val="007208E1"/>
    <w:rsid w:val="00720C9B"/>
    <w:rsid w:val="00720F03"/>
    <w:rsid w:val="00720F9A"/>
    <w:rsid w:val="00721255"/>
    <w:rsid w:val="0072163F"/>
    <w:rsid w:val="00722012"/>
    <w:rsid w:val="0072203E"/>
    <w:rsid w:val="007225AF"/>
    <w:rsid w:val="007228AE"/>
    <w:rsid w:val="007229B6"/>
    <w:rsid w:val="007229CF"/>
    <w:rsid w:val="00723656"/>
    <w:rsid w:val="007236E5"/>
    <w:rsid w:val="007237A8"/>
    <w:rsid w:val="00723A45"/>
    <w:rsid w:val="007242F7"/>
    <w:rsid w:val="00724504"/>
    <w:rsid w:val="0072484F"/>
    <w:rsid w:val="00724C4F"/>
    <w:rsid w:val="00724E19"/>
    <w:rsid w:val="00724E8A"/>
    <w:rsid w:val="007254E3"/>
    <w:rsid w:val="00725AEB"/>
    <w:rsid w:val="00725AF9"/>
    <w:rsid w:val="00725EA4"/>
    <w:rsid w:val="007265EA"/>
    <w:rsid w:val="00726A26"/>
    <w:rsid w:val="0072710A"/>
    <w:rsid w:val="00727416"/>
    <w:rsid w:val="007277D0"/>
    <w:rsid w:val="007277DB"/>
    <w:rsid w:val="00727D5B"/>
    <w:rsid w:val="00727D9E"/>
    <w:rsid w:val="0073038A"/>
    <w:rsid w:val="00730408"/>
    <w:rsid w:val="00730B09"/>
    <w:rsid w:val="00730C87"/>
    <w:rsid w:val="00730F94"/>
    <w:rsid w:val="00731198"/>
    <w:rsid w:val="007314B7"/>
    <w:rsid w:val="007315B5"/>
    <w:rsid w:val="00731BC5"/>
    <w:rsid w:val="0073262C"/>
    <w:rsid w:val="00732838"/>
    <w:rsid w:val="00733059"/>
    <w:rsid w:val="007333C5"/>
    <w:rsid w:val="00733FB2"/>
    <w:rsid w:val="00733FFC"/>
    <w:rsid w:val="007340B0"/>
    <w:rsid w:val="007341A4"/>
    <w:rsid w:val="007344D6"/>
    <w:rsid w:val="00734DFC"/>
    <w:rsid w:val="00735166"/>
    <w:rsid w:val="00735B19"/>
    <w:rsid w:val="00735BF8"/>
    <w:rsid w:val="007361B9"/>
    <w:rsid w:val="00736681"/>
    <w:rsid w:val="00736CA4"/>
    <w:rsid w:val="00736FB3"/>
    <w:rsid w:val="00737124"/>
    <w:rsid w:val="00737161"/>
    <w:rsid w:val="00737486"/>
    <w:rsid w:val="00737775"/>
    <w:rsid w:val="00737961"/>
    <w:rsid w:val="007400EA"/>
    <w:rsid w:val="00740288"/>
    <w:rsid w:val="0074053B"/>
    <w:rsid w:val="0074060F"/>
    <w:rsid w:val="0074061E"/>
    <w:rsid w:val="0074067B"/>
    <w:rsid w:val="0074087A"/>
    <w:rsid w:val="00740A17"/>
    <w:rsid w:val="00740D80"/>
    <w:rsid w:val="00740DE2"/>
    <w:rsid w:val="00740F60"/>
    <w:rsid w:val="007418E5"/>
    <w:rsid w:val="00741A00"/>
    <w:rsid w:val="00741A03"/>
    <w:rsid w:val="00741D1E"/>
    <w:rsid w:val="0074221A"/>
    <w:rsid w:val="00742E02"/>
    <w:rsid w:val="007431EE"/>
    <w:rsid w:val="00743559"/>
    <w:rsid w:val="007435BB"/>
    <w:rsid w:val="007435F1"/>
    <w:rsid w:val="007437A8"/>
    <w:rsid w:val="007437BE"/>
    <w:rsid w:val="007439F4"/>
    <w:rsid w:val="00743AF1"/>
    <w:rsid w:val="00743AF5"/>
    <w:rsid w:val="0074409B"/>
    <w:rsid w:val="00744117"/>
    <w:rsid w:val="00744205"/>
    <w:rsid w:val="007443DC"/>
    <w:rsid w:val="00744571"/>
    <w:rsid w:val="007445C2"/>
    <w:rsid w:val="0074483F"/>
    <w:rsid w:val="00744EFE"/>
    <w:rsid w:val="00745294"/>
    <w:rsid w:val="007454C6"/>
    <w:rsid w:val="00745679"/>
    <w:rsid w:val="00745935"/>
    <w:rsid w:val="00745A87"/>
    <w:rsid w:val="00745F87"/>
    <w:rsid w:val="007462A3"/>
    <w:rsid w:val="00746485"/>
    <w:rsid w:val="00746AEF"/>
    <w:rsid w:val="00746E34"/>
    <w:rsid w:val="00746EBC"/>
    <w:rsid w:val="0074779F"/>
    <w:rsid w:val="00747B03"/>
    <w:rsid w:val="00747DFD"/>
    <w:rsid w:val="00750029"/>
    <w:rsid w:val="007503EB"/>
    <w:rsid w:val="00751718"/>
    <w:rsid w:val="00751BEC"/>
    <w:rsid w:val="00751F84"/>
    <w:rsid w:val="007520EB"/>
    <w:rsid w:val="00752195"/>
    <w:rsid w:val="007523DD"/>
    <w:rsid w:val="007525FC"/>
    <w:rsid w:val="00752B76"/>
    <w:rsid w:val="00752D62"/>
    <w:rsid w:val="00752E36"/>
    <w:rsid w:val="00752E66"/>
    <w:rsid w:val="00753112"/>
    <w:rsid w:val="007531E4"/>
    <w:rsid w:val="007532D7"/>
    <w:rsid w:val="007532E9"/>
    <w:rsid w:val="007533F6"/>
    <w:rsid w:val="00753D5F"/>
    <w:rsid w:val="007548E7"/>
    <w:rsid w:val="00754A4E"/>
    <w:rsid w:val="00754A8C"/>
    <w:rsid w:val="00754CB1"/>
    <w:rsid w:val="00755984"/>
    <w:rsid w:val="00755EBE"/>
    <w:rsid w:val="007560A2"/>
    <w:rsid w:val="007560EB"/>
    <w:rsid w:val="007569C2"/>
    <w:rsid w:val="0075700B"/>
    <w:rsid w:val="0075715A"/>
    <w:rsid w:val="00757458"/>
    <w:rsid w:val="007574A5"/>
    <w:rsid w:val="0075763F"/>
    <w:rsid w:val="007576F5"/>
    <w:rsid w:val="007577B7"/>
    <w:rsid w:val="0075787D"/>
    <w:rsid w:val="00760BA7"/>
    <w:rsid w:val="00760BB4"/>
    <w:rsid w:val="00760E64"/>
    <w:rsid w:val="00761509"/>
    <w:rsid w:val="00761AA9"/>
    <w:rsid w:val="00761B1D"/>
    <w:rsid w:val="00761E99"/>
    <w:rsid w:val="007620F6"/>
    <w:rsid w:val="00762251"/>
    <w:rsid w:val="007623BD"/>
    <w:rsid w:val="00762DBE"/>
    <w:rsid w:val="00763B1A"/>
    <w:rsid w:val="00763DCD"/>
    <w:rsid w:val="00764388"/>
    <w:rsid w:val="0076499B"/>
    <w:rsid w:val="00764A13"/>
    <w:rsid w:val="00764D8D"/>
    <w:rsid w:val="00764EB5"/>
    <w:rsid w:val="00765348"/>
    <w:rsid w:val="007653AD"/>
    <w:rsid w:val="00765972"/>
    <w:rsid w:val="00765D02"/>
    <w:rsid w:val="00765DAF"/>
    <w:rsid w:val="00765EA4"/>
    <w:rsid w:val="00765EDB"/>
    <w:rsid w:val="0076605F"/>
    <w:rsid w:val="00766109"/>
    <w:rsid w:val="0076659A"/>
    <w:rsid w:val="0076675B"/>
    <w:rsid w:val="00766961"/>
    <w:rsid w:val="00766D50"/>
    <w:rsid w:val="00766DB9"/>
    <w:rsid w:val="00766F94"/>
    <w:rsid w:val="0076741B"/>
    <w:rsid w:val="00767F1F"/>
    <w:rsid w:val="0077058C"/>
    <w:rsid w:val="0077063D"/>
    <w:rsid w:val="00770828"/>
    <w:rsid w:val="00770A8F"/>
    <w:rsid w:val="00770B7D"/>
    <w:rsid w:val="00770CD0"/>
    <w:rsid w:val="00770E37"/>
    <w:rsid w:val="00770F1E"/>
    <w:rsid w:val="00770FB4"/>
    <w:rsid w:val="007711CB"/>
    <w:rsid w:val="0077198E"/>
    <w:rsid w:val="00771A11"/>
    <w:rsid w:val="00771B04"/>
    <w:rsid w:val="00771D28"/>
    <w:rsid w:val="00771E0F"/>
    <w:rsid w:val="00771EE6"/>
    <w:rsid w:val="00771F60"/>
    <w:rsid w:val="0077259E"/>
    <w:rsid w:val="0077288C"/>
    <w:rsid w:val="007729D0"/>
    <w:rsid w:val="00772C9E"/>
    <w:rsid w:val="00773233"/>
    <w:rsid w:val="00773ACE"/>
    <w:rsid w:val="00773B05"/>
    <w:rsid w:val="007740C8"/>
    <w:rsid w:val="007744FE"/>
    <w:rsid w:val="007749CC"/>
    <w:rsid w:val="00774FCB"/>
    <w:rsid w:val="00775258"/>
    <w:rsid w:val="007753E5"/>
    <w:rsid w:val="007756D2"/>
    <w:rsid w:val="0077627D"/>
    <w:rsid w:val="007764F6"/>
    <w:rsid w:val="00776709"/>
    <w:rsid w:val="00776890"/>
    <w:rsid w:val="00776B7C"/>
    <w:rsid w:val="00776CA8"/>
    <w:rsid w:val="0077718C"/>
    <w:rsid w:val="007773DC"/>
    <w:rsid w:val="00777FA5"/>
    <w:rsid w:val="0078000C"/>
    <w:rsid w:val="007804F0"/>
    <w:rsid w:val="0078093F"/>
    <w:rsid w:val="00780CF7"/>
    <w:rsid w:val="00780D23"/>
    <w:rsid w:val="00780E0E"/>
    <w:rsid w:val="00781A1D"/>
    <w:rsid w:val="00781A62"/>
    <w:rsid w:val="00781B6D"/>
    <w:rsid w:val="00782238"/>
    <w:rsid w:val="00782604"/>
    <w:rsid w:val="00783149"/>
    <w:rsid w:val="007832B8"/>
    <w:rsid w:val="007834EB"/>
    <w:rsid w:val="007840F5"/>
    <w:rsid w:val="00784EAB"/>
    <w:rsid w:val="007851CA"/>
    <w:rsid w:val="00785582"/>
    <w:rsid w:val="0078678D"/>
    <w:rsid w:val="0078708C"/>
    <w:rsid w:val="007873F9"/>
    <w:rsid w:val="007901BF"/>
    <w:rsid w:val="0079025F"/>
    <w:rsid w:val="00791110"/>
    <w:rsid w:val="00791147"/>
    <w:rsid w:val="007918FC"/>
    <w:rsid w:val="00791DF2"/>
    <w:rsid w:val="00791E97"/>
    <w:rsid w:val="00792A36"/>
    <w:rsid w:val="00793755"/>
    <w:rsid w:val="00793912"/>
    <w:rsid w:val="00793923"/>
    <w:rsid w:val="00793B33"/>
    <w:rsid w:val="00793FC7"/>
    <w:rsid w:val="007941DF"/>
    <w:rsid w:val="00794575"/>
    <w:rsid w:val="00794628"/>
    <w:rsid w:val="007949FB"/>
    <w:rsid w:val="00794A3B"/>
    <w:rsid w:val="00794C69"/>
    <w:rsid w:val="00794EEB"/>
    <w:rsid w:val="007950E5"/>
    <w:rsid w:val="00795774"/>
    <w:rsid w:val="00795924"/>
    <w:rsid w:val="00795E0D"/>
    <w:rsid w:val="007967A3"/>
    <w:rsid w:val="007969AA"/>
    <w:rsid w:val="00796A9B"/>
    <w:rsid w:val="00796BEE"/>
    <w:rsid w:val="00796F66"/>
    <w:rsid w:val="00797799"/>
    <w:rsid w:val="00797C39"/>
    <w:rsid w:val="007A0437"/>
    <w:rsid w:val="007A0AB4"/>
    <w:rsid w:val="007A111D"/>
    <w:rsid w:val="007A13F7"/>
    <w:rsid w:val="007A1427"/>
    <w:rsid w:val="007A1733"/>
    <w:rsid w:val="007A179E"/>
    <w:rsid w:val="007A1B13"/>
    <w:rsid w:val="007A1CBE"/>
    <w:rsid w:val="007A1CE4"/>
    <w:rsid w:val="007A2418"/>
    <w:rsid w:val="007A27B7"/>
    <w:rsid w:val="007A2824"/>
    <w:rsid w:val="007A29A2"/>
    <w:rsid w:val="007A30F8"/>
    <w:rsid w:val="007A33B2"/>
    <w:rsid w:val="007A38F3"/>
    <w:rsid w:val="007A3959"/>
    <w:rsid w:val="007A3B5E"/>
    <w:rsid w:val="007A3DFE"/>
    <w:rsid w:val="007A4111"/>
    <w:rsid w:val="007A4A30"/>
    <w:rsid w:val="007A4DE6"/>
    <w:rsid w:val="007A4FE1"/>
    <w:rsid w:val="007A51C3"/>
    <w:rsid w:val="007A526F"/>
    <w:rsid w:val="007A57EE"/>
    <w:rsid w:val="007A6031"/>
    <w:rsid w:val="007A629E"/>
    <w:rsid w:val="007A63CB"/>
    <w:rsid w:val="007A665C"/>
    <w:rsid w:val="007A6779"/>
    <w:rsid w:val="007A6B54"/>
    <w:rsid w:val="007A6BFB"/>
    <w:rsid w:val="007A7180"/>
    <w:rsid w:val="007A728E"/>
    <w:rsid w:val="007A764A"/>
    <w:rsid w:val="007A7A43"/>
    <w:rsid w:val="007B04E6"/>
    <w:rsid w:val="007B052C"/>
    <w:rsid w:val="007B0E92"/>
    <w:rsid w:val="007B1385"/>
    <w:rsid w:val="007B13A1"/>
    <w:rsid w:val="007B165F"/>
    <w:rsid w:val="007B17ED"/>
    <w:rsid w:val="007B1CD7"/>
    <w:rsid w:val="007B1E1F"/>
    <w:rsid w:val="007B23B0"/>
    <w:rsid w:val="007B2697"/>
    <w:rsid w:val="007B3338"/>
    <w:rsid w:val="007B34D6"/>
    <w:rsid w:val="007B35D9"/>
    <w:rsid w:val="007B36B9"/>
    <w:rsid w:val="007B3902"/>
    <w:rsid w:val="007B3A6B"/>
    <w:rsid w:val="007B3C0B"/>
    <w:rsid w:val="007B3DF0"/>
    <w:rsid w:val="007B4493"/>
    <w:rsid w:val="007B46AB"/>
    <w:rsid w:val="007B4965"/>
    <w:rsid w:val="007B49D4"/>
    <w:rsid w:val="007B4C22"/>
    <w:rsid w:val="007B4C7F"/>
    <w:rsid w:val="007B4FD4"/>
    <w:rsid w:val="007B53AE"/>
    <w:rsid w:val="007B667A"/>
    <w:rsid w:val="007B6A38"/>
    <w:rsid w:val="007B6F0B"/>
    <w:rsid w:val="007B7005"/>
    <w:rsid w:val="007B71A4"/>
    <w:rsid w:val="007B71EF"/>
    <w:rsid w:val="007B7476"/>
    <w:rsid w:val="007B7925"/>
    <w:rsid w:val="007B7CC8"/>
    <w:rsid w:val="007B7F8A"/>
    <w:rsid w:val="007C00A3"/>
    <w:rsid w:val="007C044F"/>
    <w:rsid w:val="007C0CA2"/>
    <w:rsid w:val="007C0D0D"/>
    <w:rsid w:val="007C0E93"/>
    <w:rsid w:val="007C1090"/>
    <w:rsid w:val="007C1404"/>
    <w:rsid w:val="007C1650"/>
    <w:rsid w:val="007C1DE1"/>
    <w:rsid w:val="007C21F6"/>
    <w:rsid w:val="007C2370"/>
    <w:rsid w:val="007C2E0C"/>
    <w:rsid w:val="007C339A"/>
    <w:rsid w:val="007C37C7"/>
    <w:rsid w:val="007C3900"/>
    <w:rsid w:val="007C3A0C"/>
    <w:rsid w:val="007C3B98"/>
    <w:rsid w:val="007C40B0"/>
    <w:rsid w:val="007C4D8B"/>
    <w:rsid w:val="007C4EE5"/>
    <w:rsid w:val="007C5381"/>
    <w:rsid w:val="007C5663"/>
    <w:rsid w:val="007C566B"/>
    <w:rsid w:val="007C58CA"/>
    <w:rsid w:val="007C5942"/>
    <w:rsid w:val="007C62B5"/>
    <w:rsid w:val="007C66ED"/>
    <w:rsid w:val="007C675C"/>
    <w:rsid w:val="007C67A5"/>
    <w:rsid w:val="007C6E5C"/>
    <w:rsid w:val="007C74EB"/>
    <w:rsid w:val="007D00A8"/>
    <w:rsid w:val="007D0460"/>
    <w:rsid w:val="007D074A"/>
    <w:rsid w:val="007D07A7"/>
    <w:rsid w:val="007D08BA"/>
    <w:rsid w:val="007D0A67"/>
    <w:rsid w:val="007D1102"/>
    <w:rsid w:val="007D13A7"/>
    <w:rsid w:val="007D1C3C"/>
    <w:rsid w:val="007D1CEB"/>
    <w:rsid w:val="007D20A0"/>
    <w:rsid w:val="007D214D"/>
    <w:rsid w:val="007D242B"/>
    <w:rsid w:val="007D24B8"/>
    <w:rsid w:val="007D2890"/>
    <w:rsid w:val="007D2C44"/>
    <w:rsid w:val="007D3422"/>
    <w:rsid w:val="007D3785"/>
    <w:rsid w:val="007D3820"/>
    <w:rsid w:val="007D39AD"/>
    <w:rsid w:val="007D3DA9"/>
    <w:rsid w:val="007D418A"/>
    <w:rsid w:val="007D475E"/>
    <w:rsid w:val="007D4E4D"/>
    <w:rsid w:val="007D5720"/>
    <w:rsid w:val="007D57F2"/>
    <w:rsid w:val="007D5C73"/>
    <w:rsid w:val="007D610C"/>
    <w:rsid w:val="007D632F"/>
    <w:rsid w:val="007D6569"/>
    <w:rsid w:val="007D6641"/>
    <w:rsid w:val="007D6670"/>
    <w:rsid w:val="007D6706"/>
    <w:rsid w:val="007D67A1"/>
    <w:rsid w:val="007D680B"/>
    <w:rsid w:val="007D726F"/>
    <w:rsid w:val="007D748C"/>
    <w:rsid w:val="007D7B96"/>
    <w:rsid w:val="007D7D59"/>
    <w:rsid w:val="007D7DB9"/>
    <w:rsid w:val="007E02E4"/>
    <w:rsid w:val="007E072E"/>
    <w:rsid w:val="007E0835"/>
    <w:rsid w:val="007E0D05"/>
    <w:rsid w:val="007E0D7D"/>
    <w:rsid w:val="007E1177"/>
    <w:rsid w:val="007E135F"/>
    <w:rsid w:val="007E1361"/>
    <w:rsid w:val="007E13D3"/>
    <w:rsid w:val="007E177B"/>
    <w:rsid w:val="007E17B5"/>
    <w:rsid w:val="007E19C4"/>
    <w:rsid w:val="007E1E72"/>
    <w:rsid w:val="007E2413"/>
    <w:rsid w:val="007E30B8"/>
    <w:rsid w:val="007E3146"/>
    <w:rsid w:val="007E333F"/>
    <w:rsid w:val="007E3558"/>
    <w:rsid w:val="007E3622"/>
    <w:rsid w:val="007E372C"/>
    <w:rsid w:val="007E39D7"/>
    <w:rsid w:val="007E446F"/>
    <w:rsid w:val="007E4529"/>
    <w:rsid w:val="007E469D"/>
    <w:rsid w:val="007E4D28"/>
    <w:rsid w:val="007E50A0"/>
    <w:rsid w:val="007E577B"/>
    <w:rsid w:val="007E58ED"/>
    <w:rsid w:val="007E5CC2"/>
    <w:rsid w:val="007E5FCA"/>
    <w:rsid w:val="007E5FE6"/>
    <w:rsid w:val="007E645B"/>
    <w:rsid w:val="007E67E8"/>
    <w:rsid w:val="007E6A0D"/>
    <w:rsid w:val="007E713D"/>
    <w:rsid w:val="007E7667"/>
    <w:rsid w:val="007EA469"/>
    <w:rsid w:val="007F001F"/>
    <w:rsid w:val="007F01FC"/>
    <w:rsid w:val="007F0C9E"/>
    <w:rsid w:val="007F1243"/>
    <w:rsid w:val="007F162B"/>
    <w:rsid w:val="007F1711"/>
    <w:rsid w:val="007F2663"/>
    <w:rsid w:val="007F27C4"/>
    <w:rsid w:val="007F31BD"/>
    <w:rsid w:val="007F31E2"/>
    <w:rsid w:val="007F34A3"/>
    <w:rsid w:val="007F3595"/>
    <w:rsid w:val="007F38DF"/>
    <w:rsid w:val="007F43F5"/>
    <w:rsid w:val="007F46EB"/>
    <w:rsid w:val="007F4771"/>
    <w:rsid w:val="007F4BD1"/>
    <w:rsid w:val="007F4D0A"/>
    <w:rsid w:val="007F4F60"/>
    <w:rsid w:val="007F5070"/>
    <w:rsid w:val="007F56E8"/>
    <w:rsid w:val="007F5803"/>
    <w:rsid w:val="007F598F"/>
    <w:rsid w:val="007F5CD6"/>
    <w:rsid w:val="007F602A"/>
    <w:rsid w:val="007F66AB"/>
    <w:rsid w:val="007F697B"/>
    <w:rsid w:val="007F6C98"/>
    <w:rsid w:val="007F7094"/>
    <w:rsid w:val="007F70BC"/>
    <w:rsid w:val="007F7341"/>
    <w:rsid w:val="007F737D"/>
    <w:rsid w:val="007F7548"/>
    <w:rsid w:val="007F7764"/>
    <w:rsid w:val="007F7AD6"/>
    <w:rsid w:val="007F7E25"/>
    <w:rsid w:val="007F7EA5"/>
    <w:rsid w:val="008003B5"/>
    <w:rsid w:val="0080057B"/>
    <w:rsid w:val="00800713"/>
    <w:rsid w:val="00800DEB"/>
    <w:rsid w:val="00800E5E"/>
    <w:rsid w:val="0080103C"/>
    <w:rsid w:val="008011D4"/>
    <w:rsid w:val="008014CA"/>
    <w:rsid w:val="008016D6"/>
    <w:rsid w:val="0080176C"/>
    <w:rsid w:val="00801AD3"/>
    <w:rsid w:val="00801ED9"/>
    <w:rsid w:val="0080213C"/>
    <w:rsid w:val="008024AF"/>
    <w:rsid w:val="008025DF"/>
    <w:rsid w:val="008026ED"/>
    <w:rsid w:val="008029FA"/>
    <w:rsid w:val="008032EF"/>
    <w:rsid w:val="00803952"/>
    <w:rsid w:val="00803D1E"/>
    <w:rsid w:val="008043B2"/>
    <w:rsid w:val="00804562"/>
    <w:rsid w:val="00804931"/>
    <w:rsid w:val="00804C02"/>
    <w:rsid w:val="008051C9"/>
    <w:rsid w:val="0080575B"/>
    <w:rsid w:val="008059AB"/>
    <w:rsid w:val="0080608A"/>
    <w:rsid w:val="0080608D"/>
    <w:rsid w:val="00806329"/>
    <w:rsid w:val="0080670F"/>
    <w:rsid w:val="00807DE6"/>
    <w:rsid w:val="00810070"/>
    <w:rsid w:val="008100B6"/>
    <w:rsid w:val="00810333"/>
    <w:rsid w:val="0081045E"/>
    <w:rsid w:val="00810593"/>
    <w:rsid w:val="0081083B"/>
    <w:rsid w:val="00810AB5"/>
    <w:rsid w:val="00810CF9"/>
    <w:rsid w:val="00810ED5"/>
    <w:rsid w:val="00811209"/>
    <w:rsid w:val="00811E95"/>
    <w:rsid w:val="00811F3A"/>
    <w:rsid w:val="008120B4"/>
    <w:rsid w:val="0081217C"/>
    <w:rsid w:val="008138B7"/>
    <w:rsid w:val="00813B84"/>
    <w:rsid w:val="00813D0D"/>
    <w:rsid w:val="00814089"/>
    <w:rsid w:val="00814205"/>
    <w:rsid w:val="00814252"/>
    <w:rsid w:val="008143F4"/>
    <w:rsid w:val="00814CA6"/>
    <w:rsid w:val="00814DA5"/>
    <w:rsid w:val="008152AA"/>
    <w:rsid w:val="008155B6"/>
    <w:rsid w:val="0081579E"/>
    <w:rsid w:val="008158F1"/>
    <w:rsid w:val="00815A93"/>
    <w:rsid w:val="008163FD"/>
    <w:rsid w:val="0081644B"/>
    <w:rsid w:val="00816E05"/>
    <w:rsid w:val="00816EDE"/>
    <w:rsid w:val="0081703F"/>
    <w:rsid w:val="008173BA"/>
    <w:rsid w:val="00817BFA"/>
    <w:rsid w:val="00817EFD"/>
    <w:rsid w:val="00820856"/>
    <w:rsid w:val="0082093C"/>
    <w:rsid w:val="00820AA7"/>
    <w:rsid w:val="00820C05"/>
    <w:rsid w:val="00820CC9"/>
    <w:rsid w:val="00820E70"/>
    <w:rsid w:val="0082100D"/>
    <w:rsid w:val="00821091"/>
    <w:rsid w:val="00821597"/>
    <w:rsid w:val="00821C6F"/>
    <w:rsid w:val="00821DA2"/>
    <w:rsid w:val="00821F62"/>
    <w:rsid w:val="00822082"/>
    <w:rsid w:val="0082239B"/>
    <w:rsid w:val="00822404"/>
    <w:rsid w:val="00822501"/>
    <w:rsid w:val="00822731"/>
    <w:rsid w:val="008227D0"/>
    <w:rsid w:val="00822D6D"/>
    <w:rsid w:val="00822FF7"/>
    <w:rsid w:val="008230B9"/>
    <w:rsid w:val="008234B6"/>
    <w:rsid w:val="00823BAB"/>
    <w:rsid w:val="00824A09"/>
    <w:rsid w:val="00824D1E"/>
    <w:rsid w:val="00824D61"/>
    <w:rsid w:val="00825055"/>
    <w:rsid w:val="008251B6"/>
    <w:rsid w:val="0082521D"/>
    <w:rsid w:val="008256AA"/>
    <w:rsid w:val="0082626D"/>
    <w:rsid w:val="008264C6"/>
    <w:rsid w:val="00826633"/>
    <w:rsid w:val="008267D5"/>
    <w:rsid w:val="008271F5"/>
    <w:rsid w:val="008274B2"/>
    <w:rsid w:val="00827EF9"/>
    <w:rsid w:val="00827F68"/>
    <w:rsid w:val="00830307"/>
    <w:rsid w:val="00830392"/>
    <w:rsid w:val="00830CB1"/>
    <w:rsid w:val="00830FE3"/>
    <w:rsid w:val="00830FFF"/>
    <w:rsid w:val="00831155"/>
    <w:rsid w:val="008314D1"/>
    <w:rsid w:val="0083164F"/>
    <w:rsid w:val="0083172E"/>
    <w:rsid w:val="0083183F"/>
    <w:rsid w:val="00831B1F"/>
    <w:rsid w:val="00831C35"/>
    <w:rsid w:val="00832BF2"/>
    <w:rsid w:val="00832C10"/>
    <w:rsid w:val="00832E77"/>
    <w:rsid w:val="00832EEB"/>
    <w:rsid w:val="00833039"/>
    <w:rsid w:val="008339C8"/>
    <w:rsid w:val="00833A1E"/>
    <w:rsid w:val="00833A58"/>
    <w:rsid w:val="00833CC4"/>
    <w:rsid w:val="0083470D"/>
    <w:rsid w:val="0083510B"/>
    <w:rsid w:val="008353F3"/>
    <w:rsid w:val="00835EA0"/>
    <w:rsid w:val="008361A0"/>
    <w:rsid w:val="008364B1"/>
    <w:rsid w:val="00836735"/>
    <w:rsid w:val="008367B6"/>
    <w:rsid w:val="00836A06"/>
    <w:rsid w:val="00836B4B"/>
    <w:rsid w:val="00836BC8"/>
    <w:rsid w:val="0083748B"/>
    <w:rsid w:val="008378D0"/>
    <w:rsid w:val="00837A7C"/>
    <w:rsid w:val="00837C42"/>
    <w:rsid w:val="00837C9C"/>
    <w:rsid w:val="0084086B"/>
    <w:rsid w:val="00840985"/>
    <w:rsid w:val="00840A93"/>
    <w:rsid w:val="00840DAF"/>
    <w:rsid w:val="008410DB"/>
    <w:rsid w:val="0084128F"/>
    <w:rsid w:val="00841661"/>
    <w:rsid w:val="008418CD"/>
    <w:rsid w:val="00841BB9"/>
    <w:rsid w:val="00841CDF"/>
    <w:rsid w:val="0084208C"/>
    <w:rsid w:val="008420D5"/>
    <w:rsid w:val="0084225D"/>
    <w:rsid w:val="008422E8"/>
    <w:rsid w:val="00842332"/>
    <w:rsid w:val="00842978"/>
    <w:rsid w:val="00842C9D"/>
    <w:rsid w:val="00842CE3"/>
    <w:rsid w:val="00842F36"/>
    <w:rsid w:val="008430F9"/>
    <w:rsid w:val="008434E3"/>
    <w:rsid w:val="008435A1"/>
    <w:rsid w:val="008435A7"/>
    <w:rsid w:val="00843BE2"/>
    <w:rsid w:val="00843CBD"/>
    <w:rsid w:val="00843D60"/>
    <w:rsid w:val="00844025"/>
    <w:rsid w:val="008441A4"/>
    <w:rsid w:val="00844245"/>
    <w:rsid w:val="00844C6F"/>
    <w:rsid w:val="008454E2"/>
    <w:rsid w:val="00845AAD"/>
    <w:rsid w:val="00845B91"/>
    <w:rsid w:val="00845D06"/>
    <w:rsid w:val="0084668D"/>
    <w:rsid w:val="00846AD1"/>
    <w:rsid w:val="00846C61"/>
    <w:rsid w:val="00846D96"/>
    <w:rsid w:val="008503A8"/>
    <w:rsid w:val="008505F8"/>
    <w:rsid w:val="00851059"/>
    <w:rsid w:val="008510E1"/>
    <w:rsid w:val="0085120E"/>
    <w:rsid w:val="0085135C"/>
    <w:rsid w:val="00851450"/>
    <w:rsid w:val="00851E93"/>
    <w:rsid w:val="00852210"/>
    <w:rsid w:val="008525B1"/>
    <w:rsid w:val="0085292F"/>
    <w:rsid w:val="00852DEC"/>
    <w:rsid w:val="00852F93"/>
    <w:rsid w:val="008535C4"/>
    <w:rsid w:val="00854025"/>
    <w:rsid w:val="0085426C"/>
    <w:rsid w:val="00854530"/>
    <w:rsid w:val="0085454D"/>
    <w:rsid w:val="00854598"/>
    <w:rsid w:val="008546FA"/>
    <w:rsid w:val="00854E7C"/>
    <w:rsid w:val="008555B2"/>
    <w:rsid w:val="00855761"/>
    <w:rsid w:val="00855AEA"/>
    <w:rsid w:val="00855BF2"/>
    <w:rsid w:val="00855E46"/>
    <w:rsid w:val="00856136"/>
    <w:rsid w:val="00856B10"/>
    <w:rsid w:val="00856CDA"/>
    <w:rsid w:val="0085711E"/>
    <w:rsid w:val="008572AD"/>
    <w:rsid w:val="0085737F"/>
    <w:rsid w:val="00857439"/>
    <w:rsid w:val="008576CF"/>
    <w:rsid w:val="00857A92"/>
    <w:rsid w:val="00857C7D"/>
    <w:rsid w:val="00857CDE"/>
    <w:rsid w:val="00857F42"/>
    <w:rsid w:val="00860210"/>
    <w:rsid w:val="0086029F"/>
    <w:rsid w:val="00860E7E"/>
    <w:rsid w:val="00860E82"/>
    <w:rsid w:val="00861202"/>
    <w:rsid w:val="008615AB"/>
    <w:rsid w:val="008616C2"/>
    <w:rsid w:val="00861F41"/>
    <w:rsid w:val="0086226C"/>
    <w:rsid w:val="0086231A"/>
    <w:rsid w:val="00862B34"/>
    <w:rsid w:val="00862C1A"/>
    <w:rsid w:val="00863398"/>
    <w:rsid w:val="00863843"/>
    <w:rsid w:val="00864577"/>
    <w:rsid w:val="00864B8E"/>
    <w:rsid w:val="00864C76"/>
    <w:rsid w:val="00864DD0"/>
    <w:rsid w:val="00864F07"/>
    <w:rsid w:val="00864FCE"/>
    <w:rsid w:val="008659E2"/>
    <w:rsid w:val="00865A88"/>
    <w:rsid w:val="00866053"/>
    <w:rsid w:val="0086624B"/>
    <w:rsid w:val="008667A4"/>
    <w:rsid w:val="00866B47"/>
    <w:rsid w:val="00866ED1"/>
    <w:rsid w:val="0086755F"/>
    <w:rsid w:val="0086762A"/>
    <w:rsid w:val="008676C6"/>
    <w:rsid w:val="00867909"/>
    <w:rsid w:val="008707FC"/>
    <w:rsid w:val="00870D8A"/>
    <w:rsid w:val="00871081"/>
    <w:rsid w:val="00871426"/>
    <w:rsid w:val="0087147D"/>
    <w:rsid w:val="00871583"/>
    <w:rsid w:val="00871648"/>
    <w:rsid w:val="00871790"/>
    <w:rsid w:val="00871888"/>
    <w:rsid w:val="00871CE7"/>
    <w:rsid w:val="00872115"/>
    <w:rsid w:val="008722FD"/>
    <w:rsid w:val="00872624"/>
    <w:rsid w:val="00872BF8"/>
    <w:rsid w:val="00872F08"/>
    <w:rsid w:val="00872F46"/>
    <w:rsid w:val="008731C1"/>
    <w:rsid w:val="008732EF"/>
    <w:rsid w:val="008733B8"/>
    <w:rsid w:val="00873510"/>
    <w:rsid w:val="00873814"/>
    <w:rsid w:val="00873B65"/>
    <w:rsid w:val="00873BB3"/>
    <w:rsid w:val="00873C0E"/>
    <w:rsid w:val="00873D5B"/>
    <w:rsid w:val="00874084"/>
    <w:rsid w:val="0087479B"/>
    <w:rsid w:val="0087498C"/>
    <w:rsid w:val="00874E8E"/>
    <w:rsid w:val="008750EB"/>
    <w:rsid w:val="008753D2"/>
    <w:rsid w:val="0087589C"/>
    <w:rsid w:val="0087595B"/>
    <w:rsid w:val="00876322"/>
    <w:rsid w:val="0087679A"/>
    <w:rsid w:val="00876C8A"/>
    <w:rsid w:val="00877873"/>
    <w:rsid w:val="0087793D"/>
    <w:rsid w:val="00877AE4"/>
    <w:rsid w:val="00877B9F"/>
    <w:rsid w:val="00877C53"/>
    <w:rsid w:val="008803C6"/>
    <w:rsid w:val="0088048B"/>
    <w:rsid w:val="0088088A"/>
    <w:rsid w:val="00880CD6"/>
    <w:rsid w:val="00880DE4"/>
    <w:rsid w:val="00881433"/>
    <w:rsid w:val="00881510"/>
    <w:rsid w:val="0088151A"/>
    <w:rsid w:val="008815F0"/>
    <w:rsid w:val="008818A4"/>
    <w:rsid w:val="00881916"/>
    <w:rsid w:val="0088225B"/>
    <w:rsid w:val="008825AE"/>
    <w:rsid w:val="00882AC6"/>
    <w:rsid w:val="0088350B"/>
    <w:rsid w:val="00883600"/>
    <w:rsid w:val="00883682"/>
    <w:rsid w:val="00884736"/>
    <w:rsid w:val="00884E4A"/>
    <w:rsid w:val="008853BE"/>
    <w:rsid w:val="008856A3"/>
    <w:rsid w:val="008857AA"/>
    <w:rsid w:val="0088592A"/>
    <w:rsid w:val="00885D2F"/>
    <w:rsid w:val="00885D8F"/>
    <w:rsid w:val="0088644B"/>
    <w:rsid w:val="00886701"/>
    <w:rsid w:val="008869A3"/>
    <w:rsid w:val="008869B7"/>
    <w:rsid w:val="00886B19"/>
    <w:rsid w:val="00886E44"/>
    <w:rsid w:val="00886F11"/>
    <w:rsid w:val="00887632"/>
    <w:rsid w:val="008878DA"/>
    <w:rsid w:val="00887947"/>
    <w:rsid w:val="00887AA5"/>
    <w:rsid w:val="00887DBE"/>
    <w:rsid w:val="0089069D"/>
    <w:rsid w:val="00890ABE"/>
    <w:rsid w:val="00890AE1"/>
    <w:rsid w:val="00891398"/>
    <w:rsid w:val="008913B4"/>
    <w:rsid w:val="00891608"/>
    <w:rsid w:val="0089231C"/>
    <w:rsid w:val="008927CD"/>
    <w:rsid w:val="00892826"/>
    <w:rsid w:val="00892C7A"/>
    <w:rsid w:val="00892C95"/>
    <w:rsid w:val="0089319F"/>
    <w:rsid w:val="0089377B"/>
    <w:rsid w:val="008938A6"/>
    <w:rsid w:val="00893B28"/>
    <w:rsid w:val="00893C20"/>
    <w:rsid w:val="00893D27"/>
    <w:rsid w:val="00893E69"/>
    <w:rsid w:val="008945B0"/>
    <w:rsid w:val="008946B7"/>
    <w:rsid w:val="00894974"/>
    <w:rsid w:val="00894B31"/>
    <w:rsid w:val="00894B3E"/>
    <w:rsid w:val="00894C0B"/>
    <w:rsid w:val="00894D5F"/>
    <w:rsid w:val="0089536A"/>
    <w:rsid w:val="00895871"/>
    <w:rsid w:val="008959B4"/>
    <w:rsid w:val="00896CB1"/>
    <w:rsid w:val="0089709D"/>
    <w:rsid w:val="00897654"/>
    <w:rsid w:val="008979FA"/>
    <w:rsid w:val="00897A4A"/>
    <w:rsid w:val="00897D96"/>
    <w:rsid w:val="00897FEC"/>
    <w:rsid w:val="008A0453"/>
    <w:rsid w:val="008A0813"/>
    <w:rsid w:val="008A1256"/>
    <w:rsid w:val="008A12AB"/>
    <w:rsid w:val="008A18A0"/>
    <w:rsid w:val="008A18B6"/>
    <w:rsid w:val="008A234E"/>
    <w:rsid w:val="008A2C6B"/>
    <w:rsid w:val="008A2D68"/>
    <w:rsid w:val="008A2F89"/>
    <w:rsid w:val="008A31E0"/>
    <w:rsid w:val="008A32DA"/>
    <w:rsid w:val="008A356E"/>
    <w:rsid w:val="008A36D1"/>
    <w:rsid w:val="008A3DD8"/>
    <w:rsid w:val="008A3EB6"/>
    <w:rsid w:val="008A3F14"/>
    <w:rsid w:val="008A419F"/>
    <w:rsid w:val="008A44AE"/>
    <w:rsid w:val="008A4D53"/>
    <w:rsid w:val="008A4F21"/>
    <w:rsid w:val="008A516C"/>
    <w:rsid w:val="008A543F"/>
    <w:rsid w:val="008A56AB"/>
    <w:rsid w:val="008A57FD"/>
    <w:rsid w:val="008A583C"/>
    <w:rsid w:val="008A58C5"/>
    <w:rsid w:val="008A5C69"/>
    <w:rsid w:val="008A5D95"/>
    <w:rsid w:val="008A5DED"/>
    <w:rsid w:val="008A62F6"/>
    <w:rsid w:val="008A63EB"/>
    <w:rsid w:val="008A6410"/>
    <w:rsid w:val="008A6678"/>
    <w:rsid w:val="008A6797"/>
    <w:rsid w:val="008A698B"/>
    <w:rsid w:val="008A6D89"/>
    <w:rsid w:val="008A7057"/>
    <w:rsid w:val="008A70AD"/>
    <w:rsid w:val="008A7BF3"/>
    <w:rsid w:val="008A7C3D"/>
    <w:rsid w:val="008A7C96"/>
    <w:rsid w:val="008B08DC"/>
    <w:rsid w:val="008B0981"/>
    <w:rsid w:val="008B0BA1"/>
    <w:rsid w:val="008B105B"/>
    <w:rsid w:val="008B162B"/>
    <w:rsid w:val="008B1818"/>
    <w:rsid w:val="008B19EE"/>
    <w:rsid w:val="008B2456"/>
    <w:rsid w:val="008B381E"/>
    <w:rsid w:val="008B3986"/>
    <w:rsid w:val="008B3C07"/>
    <w:rsid w:val="008B3E00"/>
    <w:rsid w:val="008B3EED"/>
    <w:rsid w:val="008B45CD"/>
    <w:rsid w:val="008B4633"/>
    <w:rsid w:val="008B4BE4"/>
    <w:rsid w:val="008B5950"/>
    <w:rsid w:val="008B5CE1"/>
    <w:rsid w:val="008B6004"/>
    <w:rsid w:val="008B61C2"/>
    <w:rsid w:val="008B68CE"/>
    <w:rsid w:val="008B6A97"/>
    <w:rsid w:val="008B6F4A"/>
    <w:rsid w:val="008B7554"/>
    <w:rsid w:val="008B77DB"/>
    <w:rsid w:val="008B7BCA"/>
    <w:rsid w:val="008B7CBB"/>
    <w:rsid w:val="008C006A"/>
    <w:rsid w:val="008C0179"/>
    <w:rsid w:val="008C02F6"/>
    <w:rsid w:val="008C037B"/>
    <w:rsid w:val="008C05FF"/>
    <w:rsid w:val="008C1229"/>
    <w:rsid w:val="008C12B1"/>
    <w:rsid w:val="008C16AB"/>
    <w:rsid w:val="008C1740"/>
    <w:rsid w:val="008C17C4"/>
    <w:rsid w:val="008C2321"/>
    <w:rsid w:val="008C349A"/>
    <w:rsid w:val="008C47C4"/>
    <w:rsid w:val="008C49DF"/>
    <w:rsid w:val="008C4B45"/>
    <w:rsid w:val="008C50B6"/>
    <w:rsid w:val="008C5444"/>
    <w:rsid w:val="008C54AA"/>
    <w:rsid w:val="008C5C31"/>
    <w:rsid w:val="008C5CD4"/>
    <w:rsid w:val="008C621E"/>
    <w:rsid w:val="008C6775"/>
    <w:rsid w:val="008C6B7E"/>
    <w:rsid w:val="008C7308"/>
    <w:rsid w:val="008C73B5"/>
    <w:rsid w:val="008C751E"/>
    <w:rsid w:val="008C7859"/>
    <w:rsid w:val="008C79C9"/>
    <w:rsid w:val="008C7C6C"/>
    <w:rsid w:val="008C7D35"/>
    <w:rsid w:val="008C7E2A"/>
    <w:rsid w:val="008D0042"/>
    <w:rsid w:val="008D05C4"/>
    <w:rsid w:val="008D0D21"/>
    <w:rsid w:val="008D0D69"/>
    <w:rsid w:val="008D0F53"/>
    <w:rsid w:val="008D10AE"/>
    <w:rsid w:val="008D1419"/>
    <w:rsid w:val="008D1658"/>
    <w:rsid w:val="008D16E8"/>
    <w:rsid w:val="008D1B4B"/>
    <w:rsid w:val="008D1D3A"/>
    <w:rsid w:val="008D22AE"/>
    <w:rsid w:val="008D276C"/>
    <w:rsid w:val="008D2A73"/>
    <w:rsid w:val="008D2C0B"/>
    <w:rsid w:val="008D358C"/>
    <w:rsid w:val="008D4D6A"/>
    <w:rsid w:val="008D53C4"/>
    <w:rsid w:val="008D5873"/>
    <w:rsid w:val="008D5FD5"/>
    <w:rsid w:val="008D60C6"/>
    <w:rsid w:val="008D61B6"/>
    <w:rsid w:val="008D62AB"/>
    <w:rsid w:val="008D639D"/>
    <w:rsid w:val="008D6A4A"/>
    <w:rsid w:val="008D6AA0"/>
    <w:rsid w:val="008D6EF4"/>
    <w:rsid w:val="008D7065"/>
    <w:rsid w:val="008D75AC"/>
    <w:rsid w:val="008D767E"/>
    <w:rsid w:val="008D7BC4"/>
    <w:rsid w:val="008D7F11"/>
    <w:rsid w:val="008E0174"/>
    <w:rsid w:val="008E039D"/>
    <w:rsid w:val="008E098B"/>
    <w:rsid w:val="008E0AE2"/>
    <w:rsid w:val="008E0FC4"/>
    <w:rsid w:val="008E1797"/>
    <w:rsid w:val="008E1845"/>
    <w:rsid w:val="008E1CDB"/>
    <w:rsid w:val="008E1D99"/>
    <w:rsid w:val="008E22AA"/>
    <w:rsid w:val="008E2BED"/>
    <w:rsid w:val="008E2D9F"/>
    <w:rsid w:val="008E2F73"/>
    <w:rsid w:val="008E2FD8"/>
    <w:rsid w:val="008E3210"/>
    <w:rsid w:val="008E34E3"/>
    <w:rsid w:val="008E351C"/>
    <w:rsid w:val="008E3520"/>
    <w:rsid w:val="008E367E"/>
    <w:rsid w:val="008E3F15"/>
    <w:rsid w:val="008E3F47"/>
    <w:rsid w:val="008E3F83"/>
    <w:rsid w:val="008E460B"/>
    <w:rsid w:val="008E4849"/>
    <w:rsid w:val="008E4E9E"/>
    <w:rsid w:val="008E4F86"/>
    <w:rsid w:val="008E4FA6"/>
    <w:rsid w:val="008E59BB"/>
    <w:rsid w:val="008E635E"/>
    <w:rsid w:val="008E6A9B"/>
    <w:rsid w:val="008E6AA7"/>
    <w:rsid w:val="008E6C9E"/>
    <w:rsid w:val="008E70B7"/>
    <w:rsid w:val="008E74BE"/>
    <w:rsid w:val="008E772E"/>
    <w:rsid w:val="008E78F9"/>
    <w:rsid w:val="008ECA53"/>
    <w:rsid w:val="008F004E"/>
    <w:rsid w:val="008F064F"/>
    <w:rsid w:val="008F0D0A"/>
    <w:rsid w:val="008F19E3"/>
    <w:rsid w:val="008F1A75"/>
    <w:rsid w:val="008F2ADB"/>
    <w:rsid w:val="008F385A"/>
    <w:rsid w:val="008F3937"/>
    <w:rsid w:val="008F420A"/>
    <w:rsid w:val="008F4285"/>
    <w:rsid w:val="008F43E1"/>
    <w:rsid w:val="008F447B"/>
    <w:rsid w:val="008F484C"/>
    <w:rsid w:val="008F5087"/>
    <w:rsid w:val="008F52AF"/>
    <w:rsid w:val="008F56FD"/>
    <w:rsid w:val="008F58D6"/>
    <w:rsid w:val="008F5A28"/>
    <w:rsid w:val="008F6370"/>
    <w:rsid w:val="008F63FC"/>
    <w:rsid w:val="008F66AF"/>
    <w:rsid w:val="008F6B04"/>
    <w:rsid w:val="008F6C28"/>
    <w:rsid w:val="008F6DF0"/>
    <w:rsid w:val="008F6E74"/>
    <w:rsid w:val="008F6E7C"/>
    <w:rsid w:val="008F7168"/>
    <w:rsid w:val="008F7312"/>
    <w:rsid w:val="008F74C5"/>
    <w:rsid w:val="008F761F"/>
    <w:rsid w:val="008F79B1"/>
    <w:rsid w:val="008F7D69"/>
    <w:rsid w:val="008F7F05"/>
    <w:rsid w:val="008F7FA4"/>
    <w:rsid w:val="00900389"/>
    <w:rsid w:val="00900416"/>
    <w:rsid w:val="009005FE"/>
    <w:rsid w:val="00900925"/>
    <w:rsid w:val="00900AB3"/>
    <w:rsid w:val="0090187C"/>
    <w:rsid w:val="00901915"/>
    <w:rsid w:val="00901E95"/>
    <w:rsid w:val="00902329"/>
    <w:rsid w:val="009023C6"/>
    <w:rsid w:val="0090263A"/>
    <w:rsid w:val="00902D0F"/>
    <w:rsid w:val="00902D8F"/>
    <w:rsid w:val="00902E2C"/>
    <w:rsid w:val="009033EE"/>
    <w:rsid w:val="00903E11"/>
    <w:rsid w:val="0090409C"/>
    <w:rsid w:val="00904156"/>
    <w:rsid w:val="00904F86"/>
    <w:rsid w:val="00904FD1"/>
    <w:rsid w:val="009058D9"/>
    <w:rsid w:val="009069A0"/>
    <w:rsid w:val="00906ADE"/>
    <w:rsid w:val="00906B85"/>
    <w:rsid w:val="00907004"/>
    <w:rsid w:val="009073CE"/>
    <w:rsid w:val="00907737"/>
    <w:rsid w:val="009077A8"/>
    <w:rsid w:val="00907959"/>
    <w:rsid w:val="00907D8F"/>
    <w:rsid w:val="00907E9F"/>
    <w:rsid w:val="00910311"/>
    <w:rsid w:val="00910632"/>
    <w:rsid w:val="0091077D"/>
    <w:rsid w:val="0091083F"/>
    <w:rsid w:val="009108FC"/>
    <w:rsid w:val="00910D4A"/>
    <w:rsid w:val="00910D98"/>
    <w:rsid w:val="00911429"/>
    <w:rsid w:val="00911B91"/>
    <w:rsid w:val="00911C97"/>
    <w:rsid w:val="00911D9A"/>
    <w:rsid w:val="00912014"/>
    <w:rsid w:val="00912115"/>
    <w:rsid w:val="00912427"/>
    <w:rsid w:val="009125D3"/>
    <w:rsid w:val="00912636"/>
    <w:rsid w:val="00912ED1"/>
    <w:rsid w:val="00912FCA"/>
    <w:rsid w:val="0091307D"/>
    <w:rsid w:val="009131C9"/>
    <w:rsid w:val="009135E9"/>
    <w:rsid w:val="009136C2"/>
    <w:rsid w:val="00913E78"/>
    <w:rsid w:val="00913E7C"/>
    <w:rsid w:val="00913FB7"/>
    <w:rsid w:val="00914178"/>
    <w:rsid w:val="009142CF"/>
    <w:rsid w:val="00914596"/>
    <w:rsid w:val="009145CA"/>
    <w:rsid w:val="009149A2"/>
    <w:rsid w:val="00914A67"/>
    <w:rsid w:val="00915105"/>
    <w:rsid w:val="0091518E"/>
    <w:rsid w:val="00915341"/>
    <w:rsid w:val="009153DC"/>
    <w:rsid w:val="00915D97"/>
    <w:rsid w:val="00916417"/>
    <w:rsid w:val="00916CD2"/>
    <w:rsid w:val="00916E17"/>
    <w:rsid w:val="00916F0F"/>
    <w:rsid w:val="00917011"/>
    <w:rsid w:val="00917890"/>
    <w:rsid w:val="00917AD7"/>
    <w:rsid w:val="00917AF1"/>
    <w:rsid w:val="009201C7"/>
    <w:rsid w:val="00920F26"/>
    <w:rsid w:val="0092153C"/>
    <w:rsid w:val="00921D61"/>
    <w:rsid w:val="00921FE7"/>
    <w:rsid w:val="00922627"/>
    <w:rsid w:val="009226FD"/>
    <w:rsid w:val="009237D0"/>
    <w:rsid w:val="009239E2"/>
    <w:rsid w:val="00923F02"/>
    <w:rsid w:val="00924465"/>
    <w:rsid w:val="00924690"/>
    <w:rsid w:val="00924A65"/>
    <w:rsid w:val="00924C1E"/>
    <w:rsid w:val="00924F87"/>
    <w:rsid w:val="009250C2"/>
    <w:rsid w:val="00925209"/>
    <w:rsid w:val="0092550E"/>
    <w:rsid w:val="00926050"/>
    <w:rsid w:val="00926A47"/>
    <w:rsid w:val="00926BFD"/>
    <w:rsid w:val="00927038"/>
    <w:rsid w:val="0092708A"/>
    <w:rsid w:val="0092751F"/>
    <w:rsid w:val="00927676"/>
    <w:rsid w:val="009277A1"/>
    <w:rsid w:val="00927FAE"/>
    <w:rsid w:val="009300EF"/>
    <w:rsid w:val="009301CC"/>
    <w:rsid w:val="009303B8"/>
    <w:rsid w:val="009303FF"/>
    <w:rsid w:val="009306A6"/>
    <w:rsid w:val="00930702"/>
    <w:rsid w:val="00930AFC"/>
    <w:rsid w:val="00930E6D"/>
    <w:rsid w:val="00931307"/>
    <w:rsid w:val="00931AE9"/>
    <w:rsid w:val="009320DE"/>
    <w:rsid w:val="009320FF"/>
    <w:rsid w:val="00932187"/>
    <w:rsid w:val="009322E4"/>
    <w:rsid w:val="00932942"/>
    <w:rsid w:val="00932A79"/>
    <w:rsid w:val="00932CAB"/>
    <w:rsid w:val="00932FD3"/>
    <w:rsid w:val="00933013"/>
    <w:rsid w:val="009330B2"/>
    <w:rsid w:val="00933267"/>
    <w:rsid w:val="00933279"/>
    <w:rsid w:val="00933329"/>
    <w:rsid w:val="009333DC"/>
    <w:rsid w:val="00933659"/>
    <w:rsid w:val="0093469B"/>
    <w:rsid w:val="0093484A"/>
    <w:rsid w:val="00934BF9"/>
    <w:rsid w:val="00934C06"/>
    <w:rsid w:val="00934F11"/>
    <w:rsid w:val="00934F7B"/>
    <w:rsid w:val="0093529F"/>
    <w:rsid w:val="00935857"/>
    <w:rsid w:val="00935E57"/>
    <w:rsid w:val="00936496"/>
    <w:rsid w:val="009365FF"/>
    <w:rsid w:val="00936F53"/>
    <w:rsid w:val="00937C64"/>
    <w:rsid w:val="00940004"/>
    <w:rsid w:val="00940184"/>
    <w:rsid w:val="0094061D"/>
    <w:rsid w:val="00940B5A"/>
    <w:rsid w:val="009412C9"/>
    <w:rsid w:val="00941364"/>
    <w:rsid w:val="009413BA"/>
    <w:rsid w:val="00941562"/>
    <w:rsid w:val="00941805"/>
    <w:rsid w:val="009419C8"/>
    <w:rsid w:val="009423C2"/>
    <w:rsid w:val="00942443"/>
    <w:rsid w:val="00942A3A"/>
    <w:rsid w:val="00942AD8"/>
    <w:rsid w:val="00942C19"/>
    <w:rsid w:val="00943015"/>
    <w:rsid w:val="00943109"/>
    <w:rsid w:val="009431C8"/>
    <w:rsid w:val="009432CF"/>
    <w:rsid w:val="00943C0B"/>
    <w:rsid w:val="00943CBE"/>
    <w:rsid w:val="00943FF0"/>
    <w:rsid w:val="00944194"/>
    <w:rsid w:val="009442CB"/>
    <w:rsid w:val="00944374"/>
    <w:rsid w:val="009443CA"/>
    <w:rsid w:val="00944AB9"/>
    <w:rsid w:val="00944B00"/>
    <w:rsid w:val="009462A6"/>
    <w:rsid w:val="00946DFF"/>
    <w:rsid w:val="00947193"/>
    <w:rsid w:val="0094764D"/>
    <w:rsid w:val="0094776B"/>
    <w:rsid w:val="0095002C"/>
    <w:rsid w:val="00950539"/>
    <w:rsid w:val="009506AF"/>
    <w:rsid w:val="009507C6"/>
    <w:rsid w:val="009508D9"/>
    <w:rsid w:val="00950A29"/>
    <w:rsid w:val="00950F24"/>
    <w:rsid w:val="009511D6"/>
    <w:rsid w:val="00951224"/>
    <w:rsid w:val="0095126D"/>
    <w:rsid w:val="009516A9"/>
    <w:rsid w:val="009519AE"/>
    <w:rsid w:val="00951B07"/>
    <w:rsid w:val="00951FC7"/>
    <w:rsid w:val="009521FC"/>
    <w:rsid w:val="00952563"/>
    <w:rsid w:val="00952904"/>
    <w:rsid w:val="00952955"/>
    <w:rsid w:val="00952958"/>
    <w:rsid w:val="00952978"/>
    <w:rsid w:val="00952CF3"/>
    <w:rsid w:val="00952D6E"/>
    <w:rsid w:val="0095308D"/>
    <w:rsid w:val="00953182"/>
    <w:rsid w:val="0095349B"/>
    <w:rsid w:val="0095362C"/>
    <w:rsid w:val="009537CB"/>
    <w:rsid w:val="00953AAD"/>
    <w:rsid w:val="00953D3D"/>
    <w:rsid w:val="00953D95"/>
    <w:rsid w:val="00953DFD"/>
    <w:rsid w:val="00954418"/>
    <w:rsid w:val="0095493B"/>
    <w:rsid w:val="00954D02"/>
    <w:rsid w:val="0095587D"/>
    <w:rsid w:val="00955942"/>
    <w:rsid w:val="00955D9C"/>
    <w:rsid w:val="00956067"/>
    <w:rsid w:val="009569AC"/>
    <w:rsid w:val="00956AAD"/>
    <w:rsid w:val="00956B52"/>
    <w:rsid w:val="00956B8C"/>
    <w:rsid w:val="00956E01"/>
    <w:rsid w:val="00956EE8"/>
    <w:rsid w:val="00957050"/>
    <w:rsid w:val="00957893"/>
    <w:rsid w:val="00957D7A"/>
    <w:rsid w:val="00957FBD"/>
    <w:rsid w:val="00960225"/>
    <w:rsid w:val="009608BE"/>
    <w:rsid w:val="0096225B"/>
    <w:rsid w:val="009622B1"/>
    <w:rsid w:val="00962566"/>
    <w:rsid w:val="009626B5"/>
    <w:rsid w:val="00962CCD"/>
    <w:rsid w:val="00962DF2"/>
    <w:rsid w:val="0096310E"/>
    <w:rsid w:val="009633D6"/>
    <w:rsid w:val="009634DC"/>
    <w:rsid w:val="00963793"/>
    <w:rsid w:val="009637B3"/>
    <w:rsid w:val="009637D3"/>
    <w:rsid w:val="0096398F"/>
    <w:rsid w:val="00963C8A"/>
    <w:rsid w:val="009643E4"/>
    <w:rsid w:val="00964530"/>
    <w:rsid w:val="00964737"/>
    <w:rsid w:val="0096487D"/>
    <w:rsid w:val="00964B98"/>
    <w:rsid w:val="00964DBC"/>
    <w:rsid w:val="00964F13"/>
    <w:rsid w:val="00964F49"/>
    <w:rsid w:val="00964FA8"/>
    <w:rsid w:val="00965F02"/>
    <w:rsid w:val="009661E1"/>
    <w:rsid w:val="00966329"/>
    <w:rsid w:val="009666AE"/>
    <w:rsid w:val="009669FD"/>
    <w:rsid w:val="00967068"/>
    <w:rsid w:val="009670BB"/>
    <w:rsid w:val="0096724E"/>
    <w:rsid w:val="009672B3"/>
    <w:rsid w:val="009673C0"/>
    <w:rsid w:val="0096751D"/>
    <w:rsid w:val="00967C09"/>
    <w:rsid w:val="00970319"/>
    <w:rsid w:val="009703E7"/>
    <w:rsid w:val="009706CB"/>
    <w:rsid w:val="009706EC"/>
    <w:rsid w:val="00970728"/>
    <w:rsid w:val="009708C5"/>
    <w:rsid w:val="009708F0"/>
    <w:rsid w:val="00970998"/>
    <w:rsid w:val="00970A7F"/>
    <w:rsid w:val="00970A8D"/>
    <w:rsid w:val="00971472"/>
    <w:rsid w:val="009715C4"/>
    <w:rsid w:val="009716C0"/>
    <w:rsid w:val="00971895"/>
    <w:rsid w:val="00971BC2"/>
    <w:rsid w:val="0097215D"/>
    <w:rsid w:val="009729DB"/>
    <w:rsid w:val="00972A4F"/>
    <w:rsid w:val="00972C21"/>
    <w:rsid w:val="00972C79"/>
    <w:rsid w:val="00972CC7"/>
    <w:rsid w:val="00973631"/>
    <w:rsid w:val="00973690"/>
    <w:rsid w:val="009736CA"/>
    <w:rsid w:val="00974198"/>
    <w:rsid w:val="00974273"/>
    <w:rsid w:val="009747DC"/>
    <w:rsid w:val="009748BF"/>
    <w:rsid w:val="00974980"/>
    <w:rsid w:val="00974C4B"/>
    <w:rsid w:val="00974C96"/>
    <w:rsid w:val="00974CA6"/>
    <w:rsid w:val="00974E81"/>
    <w:rsid w:val="00974F3C"/>
    <w:rsid w:val="0097527E"/>
    <w:rsid w:val="009752FB"/>
    <w:rsid w:val="0097565B"/>
    <w:rsid w:val="009756B8"/>
    <w:rsid w:val="009756C2"/>
    <w:rsid w:val="009756CF"/>
    <w:rsid w:val="00975ABD"/>
    <w:rsid w:val="00975D5C"/>
    <w:rsid w:val="00975EC6"/>
    <w:rsid w:val="00976303"/>
    <w:rsid w:val="009769FE"/>
    <w:rsid w:val="00976A71"/>
    <w:rsid w:val="009770A7"/>
    <w:rsid w:val="00977133"/>
    <w:rsid w:val="009773A2"/>
    <w:rsid w:val="00977535"/>
    <w:rsid w:val="00977565"/>
    <w:rsid w:val="009777F0"/>
    <w:rsid w:val="00977B5D"/>
    <w:rsid w:val="00977D9B"/>
    <w:rsid w:val="0098039E"/>
    <w:rsid w:val="009806A4"/>
    <w:rsid w:val="00980738"/>
    <w:rsid w:val="009808A2"/>
    <w:rsid w:val="00980ED6"/>
    <w:rsid w:val="00980EE0"/>
    <w:rsid w:val="00980F53"/>
    <w:rsid w:val="009812FB"/>
    <w:rsid w:val="00981603"/>
    <w:rsid w:val="009816E0"/>
    <w:rsid w:val="00981706"/>
    <w:rsid w:val="00981985"/>
    <w:rsid w:val="00981C6C"/>
    <w:rsid w:val="00981D15"/>
    <w:rsid w:val="00981F89"/>
    <w:rsid w:val="0098224A"/>
    <w:rsid w:val="009822F1"/>
    <w:rsid w:val="009826D2"/>
    <w:rsid w:val="00982755"/>
    <w:rsid w:val="00982D60"/>
    <w:rsid w:val="00983385"/>
    <w:rsid w:val="0098366A"/>
    <w:rsid w:val="0098379C"/>
    <w:rsid w:val="00983DF1"/>
    <w:rsid w:val="00984445"/>
    <w:rsid w:val="00984557"/>
    <w:rsid w:val="00984860"/>
    <w:rsid w:val="009848BB"/>
    <w:rsid w:val="00984AF9"/>
    <w:rsid w:val="00985423"/>
    <w:rsid w:val="0098561F"/>
    <w:rsid w:val="009857A5"/>
    <w:rsid w:val="009859BE"/>
    <w:rsid w:val="00985ABC"/>
    <w:rsid w:val="00985D12"/>
    <w:rsid w:val="00985F32"/>
    <w:rsid w:val="00986423"/>
    <w:rsid w:val="00986436"/>
    <w:rsid w:val="00987099"/>
    <w:rsid w:val="009870C1"/>
    <w:rsid w:val="00987402"/>
    <w:rsid w:val="0098749E"/>
    <w:rsid w:val="00987DE2"/>
    <w:rsid w:val="00989B50"/>
    <w:rsid w:val="009905C2"/>
    <w:rsid w:val="00990626"/>
    <w:rsid w:val="00990F02"/>
    <w:rsid w:val="00991192"/>
    <w:rsid w:val="009914DE"/>
    <w:rsid w:val="00991565"/>
    <w:rsid w:val="00991637"/>
    <w:rsid w:val="0099189F"/>
    <w:rsid w:val="009922F4"/>
    <w:rsid w:val="0099234B"/>
    <w:rsid w:val="009923CA"/>
    <w:rsid w:val="00993135"/>
    <w:rsid w:val="009935E2"/>
    <w:rsid w:val="00993ACE"/>
    <w:rsid w:val="00993C3E"/>
    <w:rsid w:val="00993CA1"/>
    <w:rsid w:val="00993DB9"/>
    <w:rsid w:val="00993E33"/>
    <w:rsid w:val="00994030"/>
    <w:rsid w:val="00994036"/>
    <w:rsid w:val="00994247"/>
    <w:rsid w:val="00994520"/>
    <w:rsid w:val="00994674"/>
    <w:rsid w:val="009947CC"/>
    <w:rsid w:val="00994840"/>
    <w:rsid w:val="00994E84"/>
    <w:rsid w:val="00995244"/>
    <w:rsid w:val="00995299"/>
    <w:rsid w:val="00995B29"/>
    <w:rsid w:val="00996178"/>
    <w:rsid w:val="009962E4"/>
    <w:rsid w:val="0099643C"/>
    <w:rsid w:val="00996528"/>
    <w:rsid w:val="009965F4"/>
    <w:rsid w:val="00997658"/>
    <w:rsid w:val="009976E2"/>
    <w:rsid w:val="00997E02"/>
    <w:rsid w:val="009A03E5"/>
    <w:rsid w:val="009A06A7"/>
    <w:rsid w:val="009A0AFB"/>
    <w:rsid w:val="009A0B21"/>
    <w:rsid w:val="009A2466"/>
    <w:rsid w:val="009A2659"/>
    <w:rsid w:val="009A29B0"/>
    <w:rsid w:val="009A2D95"/>
    <w:rsid w:val="009A2FF0"/>
    <w:rsid w:val="009A3280"/>
    <w:rsid w:val="009A33FD"/>
    <w:rsid w:val="009A3412"/>
    <w:rsid w:val="009A3D30"/>
    <w:rsid w:val="009A3E16"/>
    <w:rsid w:val="009A4139"/>
    <w:rsid w:val="009A41F0"/>
    <w:rsid w:val="009A4215"/>
    <w:rsid w:val="009A45E4"/>
    <w:rsid w:val="009A4734"/>
    <w:rsid w:val="009A49C2"/>
    <w:rsid w:val="009A4D68"/>
    <w:rsid w:val="009A4E06"/>
    <w:rsid w:val="009A5817"/>
    <w:rsid w:val="009A5B9F"/>
    <w:rsid w:val="009A5CB1"/>
    <w:rsid w:val="009A5D3E"/>
    <w:rsid w:val="009A5D6C"/>
    <w:rsid w:val="009A6751"/>
    <w:rsid w:val="009A6AE9"/>
    <w:rsid w:val="009A6E24"/>
    <w:rsid w:val="009A6E37"/>
    <w:rsid w:val="009A7584"/>
    <w:rsid w:val="009A7F06"/>
    <w:rsid w:val="009A7F75"/>
    <w:rsid w:val="009B1002"/>
    <w:rsid w:val="009B1070"/>
    <w:rsid w:val="009B122C"/>
    <w:rsid w:val="009B1875"/>
    <w:rsid w:val="009B1AE4"/>
    <w:rsid w:val="009B1E9B"/>
    <w:rsid w:val="009B20B4"/>
    <w:rsid w:val="009B2261"/>
    <w:rsid w:val="009B2448"/>
    <w:rsid w:val="009B2472"/>
    <w:rsid w:val="009B2854"/>
    <w:rsid w:val="009B29E3"/>
    <w:rsid w:val="009B2DBC"/>
    <w:rsid w:val="009B2EC1"/>
    <w:rsid w:val="009B311F"/>
    <w:rsid w:val="009B3864"/>
    <w:rsid w:val="009B3A32"/>
    <w:rsid w:val="009B3A9D"/>
    <w:rsid w:val="009B3F8A"/>
    <w:rsid w:val="009B40E0"/>
    <w:rsid w:val="009B50AE"/>
    <w:rsid w:val="009B5263"/>
    <w:rsid w:val="009B539B"/>
    <w:rsid w:val="009B593C"/>
    <w:rsid w:val="009B5972"/>
    <w:rsid w:val="009B59CE"/>
    <w:rsid w:val="009B5A5D"/>
    <w:rsid w:val="009B5B4E"/>
    <w:rsid w:val="009B5CBD"/>
    <w:rsid w:val="009B5CCA"/>
    <w:rsid w:val="009B5EDA"/>
    <w:rsid w:val="009B6318"/>
    <w:rsid w:val="009B671F"/>
    <w:rsid w:val="009B6794"/>
    <w:rsid w:val="009B6A53"/>
    <w:rsid w:val="009B6ECA"/>
    <w:rsid w:val="009B6F63"/>
    <w:rsid w:val="009B711E"/>
    <w:rsid w:val="009B73F6"/>
    <w:rsid w:val="009B7A19"/>
    <w:rsid w:val="009C15A2"/>
    <w:rsid w:val="009C1B39"/>
    <w:rsid w:val="009C1C3F"/>
    <w:rsid w:val="009C1EFB"/>
    <w:rsid w:val="009C20DA"/>
    <w:rsid w:val="009C2609"/>
    <w:rsid w:val="009C2788"/>
    <w:rsid w:val="009C27B6"/>
    <w:rsid w:val="009C289E"/>
    <w:rsid w:val="009C39D0"/>
    <w:rsid w:val="009C3FB2"/>
    <w:rsid w:val="009C431A"/>
    <w:rsid w:val="009C43DE"/>
    <w:rsid w:val="009C466C"/>
    <w:rsid w:val="009C4AC1"/>
    <w:rsid w:val="009C4BE4"/>
    <w:rsid w:val="009C5983"/>
    <w:rsid w:val="009C5D9C"/>
    <w:rsid w:val="009C606C"/>
    <w:rsid w:val="009C60BB"/>
    <w:rsid w:val="009C613E"/>
    <w:rsid w:val="009C69DF"/>
    <w:rsid w:val="009C6A7D"/>
    <w:rsid w:val="009C7013"/>
    <w:rsid w:val="009C71D2"/>
    <w:rsid w:val="009C7598"/>
    <w:rsid w:val="009C7853"/>
    <w:rsid w:val="009C7DF8"/>
    <w:rsid w:val="009D0033"/>
    <w:rsid w:val="009D0664"/>
    <w:rsid w:val="009D071E"/>
    <w:rsid w:val="009D0914"/>
    <w:rsid w:val="009D10BE"/>
    <w:rsid w:val="009D1688"/>
    <w:rsid w:val="009D1DB7"/>
    <w:rsid w:val="009D22EC"/>
    <w:rsid w:val="009D2A01"/>
    <w:rsid w:val="009D2B68"/>
    <w:rsid w:val="009D2D14"/>
    <w:rsid w:val="009D2F94"/>
    <w:rsid w:val="009D300C"/>
    <w:rsid w:val="009D3312"/>
    <w:rsid w:val="009D3A81"/>
    <w:rsid w:val="009D3CD6"/>
    <w:rsid w:val="009D3EFE"/>
    <w:rsid w:val="009D42E0"/>
    <w:rsid w:val="009D4474"/>
    <w:rsid w:val="009D44F9"/>
    <w:rsid w:val="009D4875"/>
    <w:rsid w:val="009D4AE6"/>
    <w:rsid w:val="009D4AE9"/>
    <w:rsid w:val="009D599B"/>
    <w:rsid w:val="009D5AA4"/>
    <w:rsid w:val="009D5DA7"/>
    <w:rsid w:val="009D5DAC"/>
    <w:rsid w:val="009D5FEE"/>
    <w:rsid w:val="009D69CE"/>
    <w:rsid w:val="009D6B6C"/>
    <w:rsid w:val="009D6D05"/>
    <w:rsid w:val="009D6F69"/>
    <w:rsid w:val="009D723A"/>
    <w:rsid w:val="009D7399"/>
    <w:rsid w:val="009D778C"/>
    <w:rsid w:val="009D7817"/>
    <w:rsid w:val="009D7AAF"/>
    <w:rsid w:val="009D7C65"/>
    <w:rsid w:val="009D7D1C"/>
    <w:rsid w:val="009E0630"/>
    <w:rsid w:val="009E0993"/>
    <w:rsid w:val="009E10D6"/>
    <w:rsid w:val="009E11EE"/>
    <w:rsid w:val="009E1247"/>
    <w:rsid w:val="009E1315"/>
    <w:rsid w:val="009E13E1"/>
    <w:rsid w:val="009E1878"/>
    <w:rsid w:val="009E1A8D"/>
    <w:rsid w:val="009E1B09"/>
    <w:rsid w:val="009E1BC9"/>
    <w:rsid w:val="009E1E36"/>
    <w:rsid w:val="009E2104"/>
    <w:rsid w:val="009E2190"/>
    <w:rsid w:val="009E26C6"/>
    <w:rsid w:val="009E295B"/>
    <w:rsid w:val="009E299A"/>
    <w:rsid w:val="009E2A80"/>
    <w:rsid w:val="009E2AE4"/>
    <w:rsid w:val="009E2FD6"/>
    <w:rsid w:val="009E32C6"/>
    <w:rsid w:val="009E355E"/>
    <w:rsid w:val="009E35C3"/>
    <w:rsid w:val="009E3720"/>
    <w:rsid w:val="009E3A02"/>
    <w:rsid w:val="009E3A29"/>
    <w:rsid w:val="009E3B4C"/>
    <w:rsid w:val="009E3BD9"/>
    <w:rsid w:val="009E3FC3"/>
    <w:rsid w:val="009E49B0"/>
    <w:rsid w:val="009E4B01"/>
    <w:rsid w:val="009E4DA1"/>
    <w:rsid w:val="009E4DBA"/>
    <w:rsid w:val="009E4DF3"/>
    <w:rsid w:val="009E55E7"/>
    <w:rsid w:val="009E5775"/>
    <w:rsid w:val="009E5C5E"/>
    <w:rsid w:val="009E60BC"/>
    <w:rsid w:val="009E6B31"/>
    <w:rsid w:val="009E7247"/>
    <w:rsid w:val="009E766A"/>
    <w:rsid w:val="009E7CDF"/>
    <w:rsid w:val="009E7E3B"/>
    <w:rsid w:val="009E7F69"/>
    <w:rsid w:val="009E7FDE"/>
    <w:rsid w:val="009F0433"/>
    <w:rsid w:val="009F05F6"/>
    <w:rsid w:val="009F0644"/>
    <w:rsid w:val="009F08A0"/>
    <w:rsid w:val="009F0998"/>
    <w:rsid w:val="009F09A7"/>
    <w:rsid w:val="009F10AD"/>
    <w:rsid w:val="009F1317"/>
    <w:rsid w:val="009F1778"/>
    <w:rsid w:val="009F1817"/>
    <w:rsid w:val="009F19FC"/>
    <w:rsid w:val="009F1C27"/>
    <w:rsid w:val="009F1E8E"/>
    <w:rsid w:val="009F21CE"/>
    <w:rsid w:val="009F21F7"/>
    <w:rsid w:val="009F2A70"/>
    <w:rsid w:val="009F2B75"/>
    <w:rsid w:val="009F2E83"/>
    <w:rsid w:val="009F32FD"/>
    <w:rsid w:val="009F33D2"/>
    <w:rsid w:val="009F3982"/>
    <w:rsid w:val="009F3B14"/>
    <w:rsid w:val="009F3D79"/>
    <w:rsid w:val="009F452D"/>
    <w:rsid w:val="009F462A"/>
    <w:rsid w:val="009F4B97"/>
    <w:rsid w:val="009F4C55"/>
    <w:rsid w:val="009F527B"/>
    <w:rsid w:val="009F553A"/>
    <w:rsid w:val="009F5750"/>
    <w:rsid w:val="009F577F"/>
    <w:rsid w:val="009F58C5"/>
    <w:rsid w:val="009F6148"/>
    <w:rsid w:val="009F6349"/>
    <w:rsid w:val="009F682D"/>
    <w:rsid w:val="009F6AAD"/>
    <w:rsid w:val="009F6C89"/>
    <w:rsid w:val="009F6E3F"/>
    <w:rsid w:val="009F79A9"/>
    <w:rsid w:val="009F7AD8"/>
    <w:rsid w:val="009F7AF3"/>
    <w:rsid w:val="00A0004D"/>
    <w:rsid w:val="00A006D9"/>
    <w:rsid w:val="00A0085A"/>
    <w:rsid w:val="00A00BE1"/>
    <w:rsid w:val="00A00F74"/>
    <w:rsid w:val="00A010B3"/>
    <w:rsid w:val="00A01BCC"/>
    <w:rsid w:val="00A01C57"/>
    <w:rsid w:val="00A01F81"/>
    <w:rsid w:val="00A0221E"/>
    <w:rsid w:val="00A0296C"/>
    <w:rsid w:val="00A029FD"/>
    <w:rsid w:val="00A0310F"/>
    <w:rsid w:val="00A03480"/>
    <w:rsid w:val="00A036F1"/>
    <w:rsid w:val="00A03B8C"/>
    <w:rsid w:val="00A04172"/>
    <w:rsid w:val="00A04B53"/>
    <w:rsid w:val="00A05265"/>
    <w:rsid w:val="00A056AE"/>
    <w:rsid w:val="00A060B1"/>
    <w:rsid w:val="00A06333"/>
    <w:rsid w:val="00A0633B"/>
    <w:rsid w:val="00A0694E"/>
    <w:rsid w:val="00A06AF4"/>
    <w:rsid w:val="00A06D9D"/>
    <w:rsid w:val="00A0749F"/>
    <w:rsid w:val="00A07530"/>
    <w:rsid w:val="00A0753B"/>
    <w:rsid w:val="00A07ABC"/>
    <w:rsid w:val="00A07FFB"/>
    <w:rsid w:val="00A09695"/>
    <w:rsid w:val="00A100CE"/>
    <w:rsid w:val="00A101BD"/>
    <w:rsid w:val="00A10504"/>
    <w:rsid w:val="00A10806"/>
    <w:rsid w:val="00A10C1A"/>
    <w:rsid w:val="00A10F62"/>
    <w:rsid w:val="00A11787"/>
    <w:rsid w:val="00A11857"/>
    <w:rsid w:val="00A1192A"/>
    <w:rsid w:val="00A11ABA"/>
    <w:rsid w:val="00A11AD0"/>
    <w:rsid w:val="00A11BC1"/>
    <w:rsid w:val="00A11E6B"/>
    <w:rsid w:val="00A11EB8"/>
    <w:rsid w:val="00A12D06"/>
    <w:rsid w:val="00A130FF"/>
    <w:rsid w:val="00A132BC"/>
    <w:rsid w:val="00A134D4"/>
    <w:rsid w:val="00A1448B"/>
    <w:rsid w:val="00A15318"/>
    <w:rsid w:val="00A154DF"/>
    <w:rsid w:val="00A15540"/>
    <w:rsid w:val="00A155E1"/>
    <w:rsid w:val="00A156CE"/>
    <w:rsid w:val="00A157C0"/>
    <w:rsid w:val="00A159CF"/>
    <w:rsid w:val="00A15AED"/>
    <w:rsid w:val="00A15C12"/>
    <w:rsid w:val="00A15CEA"/>
    <w:rsid w:val="00A1614D"/>
    <w:rsid w:val="00A161AF"/>
    <w:rsid w:val="00A16B72"/>
    <w:rsid w:val="00A1711E"/>
    <w:rsid w:val="00A172A8"/>
    <w:rsid w:val="00A174A4"/>
    <w:rsid w:val="00A176DB"/>
    <w:rsid w:val="00A176E6"/>
    <w:rsid w:val="00A1774C"/>
    <w:rsid w:val="00A17A32"/>
    <w:rsid w:val="00A200A3"/>
    <w:rsid w:val="00A20D33"/>
    <w:rsid w:val="00A21710"/>
    <w:rsid w:val="00A21811"/>
    <w:rsid w:val="00A21918"/>
    <w:rsid w:val="00A21A84"/>
    <w:rsid w:val="00A22726"/>
    <w:rsid w:val="00A2279E"/>
    <w:rsid w:val="00A22A78"/>
    <w:rsid w:val="00A22E07"/>
    <w:rsid w:val="00A2301B"/>
    <w:rsid w:val="00A23092"/>
    <w:rsid w:val="00A234F5"/>
    <w:rsid w:val="00A2384F"/>
    <w:rsid w:val="00A24353"/>
    <w:rsid w:val="00A24703"/>
    <w:rsid w:val="00A2490A"/>
    <w:rsid w:val="00A24DF4"/>
    <w:rsid w:val="00A24F57"/>
    <w:rsid w:val="00A254E7"/>
    <w:rsid w:val="00A25AE6"/>
    <w:rsid w:val="00A25B66"/>
    <w:rsid w:val="00A25EE3"/>
    <w:rsid w:val="00A262D1"/>
    <w:rsid w:val="00A263C5"/>
    <w:rsid w:val="00A269DA"/>
    <w:rsid w:val="00A26AF1"/>
    <w:rsid w:val="00A26C79"/>
    <w:rsid w:val="00A26E44"/>
    <w:rsid w:val="00A27287"/>
    <w:rsid w:val="00A275E4"/>
    <w:rsid w:val="00A278A2"/>
    <w:rsid w:val="00A27B27"/>
    <w:rsid w:val="00A3026E"/>
    <w:rsid w:val="00A305F7"/>
    <w:rsid w:val="00A3066A"/>
    <w:rsid w:val="00A30A80"/>
    <w:rsid w:val="00A30ADD"/>
    <w:rsid w:val="00A30AF5"/>
    <w:rsid w:val="00A30BB5"/>
    <w:rsid w:val="00A30D54"/>
    <w:rsid w:val="00A30DC1"/>
    <w:rsid w:val="00A30E5F"/>
    <w:rsid w:val="00A3145B"/>
    <w:rsid w:val="00A31475"/>
    <w:rsid w:val="00A31538"/>
    <w:rsid w:val="00A315E4"/>
    <w:rsid w:val="00A3191B"/>
    <w:rsid w:val="00A31CED"/>
    <w:rsid w:val="00A321DB"/>
    <w:rsid w:val="00A32220"/>
    <w:rsid w:val="00A3249E"/>
    <w:rsid w:val="00A324A2"/>
    <w:rsid w:val="00A32671"/>
    <w:rsid w:val="00A32B94"/>
    <w:rsid w:val="00A32D17"/>
    <w:rsid w:val="00A32D9B"/>
    <w:rsid w:val="00A332E4"/>
    <w:rsid w:val="00A33583"/>
    <w:rsid w:val="00A33BDE"/>
    <w:rsid w:val="00A33F7C"/>
    <w:rsid w:val="00A33FC8"/>
    <w:rsid w:val="00A34472"/>
    <w:rsid w:val="00A346DC"/>
    <w:rsid w:val="00A34887"/>
    <w:rsid w:val="00A34E65"/>
    <w:rsid w:val="00A34FE5"/>
    <w:rsid w:val="00A354A2"/>
    <w:rsid w:val="00A357C5"/>
    <w:rsid w:val="00A36F33"/>
    <w:rsid w:val="00A371DE"/>
    <w:rsid w:val="00A377F4"/>
    <w:rsid w:val="00A37AC3"/>
    <w:rsid w:val="00A37C7A"/>
    <w:rsid w:val="00A37D23"/>
    <w:rsid w:val="00A37E97"/>
    <w:rsid w:val="00A40434"/>
    <w:rsid w:val="00A40668"/>
    <w:rsid w:val="00A40B1D"/>
    <w:rsid w:val="00A4136D"/>
    <w:rsid w:val="00A4161E"/>
    <w:rsid w:val="00A4186E"/>
    <w:rsid w:val="00A41ADB"/>
    <w:rsid w:val="00A41B44"/>
    <w:rsid w:val="00A41E8B"/>
    <w:rsid w:val="00A41ED2"/>
    <w:rsid w:val="00A420E0"/>
    <w:rsid w:val="00A42381"/>
    <w:rsid w:val="00A423DD"/>
    <w:rsid w:val="00A428D0"/>
    <w:rsid w:val="00A42982"/>
    <w:rsid w:val="00A42D40"/>
    <w:rsid w:val="00A42D4C"/>
    <w:rsid w:val="00A42D7B"/>
    <w:rsid w:val="00A43609"/>
    <w:rsid w:val="00A43BEA"/>
    <w:rsid w:val="00A43C2D"/>
    <w:rsid w:val="00A43F88"/>
    <w:rsid w:val="00A43FD7"/>
    <w:rsid w:val="00A442B6"/>
    <w:rsid w:val="00A4471F"/>
    <w:rsid w:val="00A447C8"/>
    <w:rsid w:val="00A4644D"/>
    <w:rsid w:val="00A46513"/>
    <w:rsid w:val="00A46D53"/>
    <w:rsid w:val="00A46F8B"/>
    <w:rsid w:val="00A47BC4"/>
    <w:rsid w:val="00A47BD3"/>
    <w:rsid w:val="00A47DB3"/>
    <w:rsid w:val="00A47E43"/>
    <w:rsid w:val="00A500A6"/>
    <w:rsid w:val="00A50189"/>
    <w:rsid w:val="00A5049C"/>
    <w:rsid w:val="00A50932"/>
    <w:rsid w:val="00A512A8"/>
    <w:rsid w:val="00A513AA"/>
    <w:rsid w:val="00A513E7"/>
    <w:rsid w:val="00A52255"/>
    <w:rsid w:val="00A52C64"/>
    <w:rsid w:val="00A52E76"/>
    <w:rsid w:val="00A52EC3"/>
    <w:rsid w:val="00A52FA7"/>
    <w:rsid w:val="00A53368"/>
    <w:rsid w:val="00A53A56"/>
    <w:rsid w:val="00A53A69"/>
    <w:rsid w:val="00A53BE0"/>
    <w:rsid w:val="00A53EF1"/>
    <w:rsid w:val="00A54139"/>
    <w:rsid w:val="00A54189"/>
    <w:rsid w:val="00A543CA"/>
    <w:rsid w:val="00A5441F"/>
    <w:rsid w:val="00A54787"/>
    <w:rsid w:val="00A547BB"/>
    <w:rsid w:val="00A55596"/>
    <w:rsid w:val="00A55641"/>
    <w:rsid w:val="00A55654"/>
    <w:rsid w:val="00A55DE9"/>
    <w:rsid w:val="00A56294"/>
    <w:rsid w:val="00A5681F"/>
    <w:rsid w:val="00A56962"/>
    <w:rsid w:val="00A57185"/>
    <w:rsid w:val="00A57DBA"/>
    <w:rsid w:val="00A60446"/>
    <w:rsid w:val="00A605C5"/>
    <w:rsid w:val="00A60C1E"/>
    <w:rsid w:val="00A612E6"/>
    <w:rsid w:val="00A61D80"/>
    <w:rsid w:val="00A62147"/>
    <w:rsid w:val="00A627DC"/>
    <w:rsid w:val="00A6296C"/>
    <w:rsid w:val="00A63119"/>
    <w:rsid w:val="00A633DE"/>
    <w:rsid w:val="00A63CC9"/>
    <w:rsid w:val="00A63D21"/>
    <w:rsid w:val="00A63F4C"/>
    <w:rsid w:val="00A64419"/>
    <w:rsid w:val="00A647D1"/>
    <w:rsid w:val="00A64DD5"/>
    <w:rsid w:val="00A64DEB"/>
    <w:rsid w:val="00A64FBF"/>
    <w:rsid w:val="00A65233"/>
    <w:rsid w:val="00A65660"/>
    <w:rsid w:val="00A65789"/>
    <w:rsid w:val="00A6592F"/>
    <w:rsid w:val="00A659F4"/>
    <w:rsid w:val="00A65A5F"/>
    <w:rsid w:val="00A65B7C"/>
    <w:rsid w:val="00A65D7C"/>
    <w:rsid w:val="00A665E3"/>
    <w:rsid w:val="00A665F1"/>
    <w:rsid w:val="00A670A8"/>
    <w:rsid w:val="00A6753E"/>
    <w:rsid w:val="00A675A5"/>
    <w:rsid w:val="00A6771D"/>
    <w:rsid w:val="00A67B87"/>
    <w:rsid w:val="00A700D4"/>
    <w:rsid w:val="00A70CEE"/>
    <w:rsid w:val="00A70D50"/>
    <w:rsid w:val="00A70D7E"/>
    <w:rsid w:val="00A71542"/>
    <w:rsid w:val="00A718AD"/>
    <w:rsid w:val="00A72044"/>
    <w:rsid w:val="00A729F9"/>
    <w:rsid w:val="00A72E26"/>
    <w:rsid w:val="00A72EB1"/>
    <w:rsid w:val="00A733F6"/>
    <w:rsid w:val="00A73440"/>
    <w:rsid w:val="00A73514"/>
    <w:rsid w:val="00A73CB0"/>
    <w:rsid w:val="00A73E21"/>
    <w:rsid w:val="00A74788"/>
    <w:rsid w:val="00A74C15"/>
    <w:rsid w:val="00A7517B"/>
    <w:rsid w:val="00A7524B"/>
    <w:rsid w:val="00A756C8"/>
    <w:rsid w:val="00A75A3F"/>
    <w:rsid w:val="00A75B5A"/>
    <w:rsid w:val="00A769F8"/>
    <w:rsid w:val="00A770CD"/>
    <w:rsid w:val="00A772C4"/>
    <w:rsid w:val="00A7750B"/>
    <w:rsid w:val="00A775C9"/>
    <w:rsid w:val="00A7795A"/>
    <w:rsid w:val="00A7796C"/>
    <w:rsid w:val="00A77E35"/>
    <w:rsid w:val="00A803E7"/>
    <w:rsid w:val="00A808C5"/>
    <w:rsid w:val="00A811BF"/>
    <w:rsid w:val="00A81320"/>
    <w:rsid w:val="00A818DC"/>
    <w:rsid w:val="00A81AA1"/>
    <w:rsid w:val="00A81C9A"/>
    <w:rsid w:val="00A82371"/>
    <w:rsid w:val="00A8258D"/>
    <w:rsid w:val="00A82712"/>
    <w:rsid w:val="00A82AB3"/>
    <w:rsid w:val="00A83B6A"/>
    <w:rsid w:val="00A83D5E"/>
    <w:rsid w:val="00A83E14"/>
    <w:rsid w:val="00A8437E"/>
    <w:rsid w:val="00A843D8"/>
    <w:rsid w:val="00A8441D"/>
    <w:rsid w:val="00A844CC"/>
    <w:rsid w:val="00A84A15"/>
    <w:rsid w:val="00A84F60"/>
    <w:rsid w:val="00A85854"/>
    <w:rsid w:val="00A859D1"/>
    <w:rsid w:val="00A8658E"/>
    <w:rsid w:val="00A867C8"/>
    <w:rsid w:val="00A86D70"/>
    <w:rsid w:val="00A8714E"/>
    <w:rsid w:val="00A874BF"/>
    <w:rsid w:val="00A87E2B"/>
    <w:rsid w:val="00A903BB"/>
    <w:rsid w:val="00A906F5"/>
    <w:rsid w:val="00A90A7C"/>
    <w:rsid w:val="00A90B14"/>
    <w:rsid w:val="00A90B80"/>
    <w:rsid w:val="00A90D09"/>
    <w:rsid w:val="00A90EA1"/>
    <w:rsid w:val="00A9130A"/>
    <w:rsid w:val="00A91837"/>
    <w:rsid w:val="00A91AEA"/>
    <w:rsid w:val="00A91AF2"/>
    <w:rsid w:val="00A91DC7"/>
    <w:rsid w:val="00A920C3"/>
    <w:rsid w:val="00A921C4"/>
    <w:rsid w:val="00A921DD"/>
    <w:rsid w:val="00A92C4B"/>
    <w:rsid w:val="00A92D40"/>
    <w:rsid w:val="00A935CC"/>
    <w:rsid w:val="00A936AC"/>
    <w:rsid w:val="00A9399A"/>
    <w:rsid w:val="00A93C86"/>
    <w:rsid w:val="00A940F9"/>
    <w:rsid w:val="00A9492B"/>
    <w:rsid w:val="00A94964"/>
    <w:rsid w:val="00A94B8E"/>
    <w:rsid w:val="00A94DD3"/>
    <w:rsid w:val="00A95D48"/>
    <w:rsid w:val="00A95D64"/>
    <w:rsid w:val="00A96104"/>
    <w:rsid w:val="00A96185"/>
    <w:rsid w:val="00A961BE"/>
    <w:rsid w:val="00A965E0"/>
    <w:rsid w:val="00A96A6D"/>
    <w:rsid w:val="00A96AC2"/>
    <w:rsid w:val="00A96B41"/>
    <w:rsid w:val="00A96F96"/>
    <w:rsid w:val="00A97354"/>
    <w:rsid w:val="00A9762F"/>
    <w:rsid w:val="00A97BEE"/>
    <w:rsid w:val="00A97D8D"/>
    <w:rsid w:val="00A97FBD"/>
    <w:rsid w:val="00AA0287"/>
    <w:rsid w:val="00AA0371"/>
    <w:rsid w:val="00AA0432"/>
    <w:rsid w:val="00AA09F5"/>
    <w:rsid w:val="00AA17F7"/>
    <w:rsid w:val="00AA1876"/>
    <w:rsid w:val="00AA18E4"/>
    <w:rsid w:val="00AA1A34"/>
    <w:rsid w:val="00AA1D32"/>
    <w:rsid w:val="00AA2978"/>
    <w:rsid w:val="00AA3206"/>
    <w:rsid w:val="00AA343E"/>
    <w:rsid w:val="00AA376C"/>
    <w:rsid w:val="00AA38BD"/>
    <w:rsid w:val="00AA3FEF"/>
    <w:rsid w:val="00AA4577"/>
    <w:rsid w:val="00AA4AE9"/>
    <w:rsid w:val="00AA4CED"/>
    <w:rsid w:val="00AA4D74"/>
    <w:rsid w:val="00AA4EFD"/>
    <w:rsid w:val="00AA54AB"/>
    <w:rsid w:val="00AA568B"/>
    <w:rsid w:val="00AA5831"/>
    <w:rsid w:val="00AA585C"/>
    <w:rsid w:val="00AA59EA"/>
    <w:rsid w:val="00AA5A07"/>
    <w:rsid w:val="00AA6232"/>
    <w:rsid w:val="00AA66D9"/>
    <w:rsid w:val="00AA6BB2"/>
    <w:rsid w:val="00AA6BDC"/>
    <w:rsid w:val="00AA6FD9"/>
    <w:rsid w:val="00AA7071"/>
    <w:rsid w:val="00AA72FB"/>
    <w:rsid w:val="00AA765F"/>
    <w:rsid w:val="00AA7951"/>
    <w:rsid w:val="00AA79B7"/>
    <w:rsid w:val="00AA7BDF"/>
    <w:rsid w:val="00AB05D5"/>
    <w:rsid w:val="00AB0690"/>
    <w:rsid w:val="00AB0935"/>
    <w:rsid w:val="00AB0A76"/>
    <w:rsid w:val="00AB0AA4"/>
    <w:rsid w:val="00AB1337"/>
    <w:rsid w:val="00AB136A"/>
    <w:rsid w:val="00AB154B"/>
    <w:rsid w:val="00AB158E"/>
    <w:rsid w:val="00AB1B30"/>
    <w:rsid w:val="00AB1EB4"/>
    <w:rsid w:val="00AB1F8A"/>
    <w:rsid w:val="00AB2368"/>
    <w:rsid w:val="00AB251A"/>
    <w:rsid w:val="00AB2B64"/>
    <w:rsid w:val="00AB2CA1"/>
    <w:rsid w:val="00AB2E6E"/>
    <w:rsid w:val="00AB2EC8"/>
    <w:rsid w:val="00AB32CE"/>
    <w:rsid w:val="00AB3382"/>
    <w:rsid w:val="00AB3917"/>
    <w:rsid w:val="00AB3D19"/>
    <w:rsid w:val="00AB3FD9"/>
    <w:rsid w:val="00AB4AB6"/>
    <w:rsid w:val="00AB4D04"/>
    <w:rsid w:val="00AB4D3F"/>
    <w:rsid w:val="00AB4ED4"/>
    <w:rsid w:val="00AB53BA"/>
    <w:rsid w:val="00AB54EA"/>
    <w:rsid w:val="00AB5984"/>
    <w:rsid w:val="00AB5B69"/>
    <w:rsid w:val="00AB5FAA"/>
    <w:rsid w:val="00AB6114"/>
    <w:rsid w:val="00AB68D5"/>
    <w:rsid w:val="00AB6C89"/>
    <w:rsid w:val="00AB6D0E"/>
    <w:rsid w:val="00AB70D6"/>
    <w:rsid w:val="00AB73D8"/>
    <w:rsid w:val="00AB75F0"/>
    <w:rsid w:val="00AB7658"/>
    <w:rsid w:val="00AB7D3D"/>
    <w:rsid w:val="00AC0112"/>
    <w:rsid w:val="00AC0589"/>
    <w:rsid w:val="00AC0BBA"/>
    <w:rsid w:val="00AC1019"/>
    <w:rsid w:val="00AC1114"/>
    <w:rsid w:val="00AC1388"/>
    <w:rsid w:val="00AC14C2"/>
    <w:rsid w:val="00AC18D1"/>
    <w:rsid w:val="00AC1A45"/>
    <w:rsid w:val="00AC1CA9"/>
    <w:rsid w:val="00AC1CF5"/>
    <w:rsid w:val="00AC2034"/>
    <w:rsid w:val="00AC21B4"/>
    <w:rsid w:val="00AC2461"/>
    <w:rsid w:val="00AC268C"/>
    <w:rsid w:val="00AC2BF2"/>
    <w:rsid w:val="00AC2E43"/>
    <w:rsid w:val="00AC2EE6"/>
    <w:rsid w:val="00AC309D"/>
    <w:rsid w:val="00AC3C1D"/>
    <w:rsid w:val="00AC3C31"/>
    <w:rsid w:val="00AC4286"/>
    <w:rsid w:val="00AC4602"/>
    <w:rsid w:val="00AC5149"/>
    <w:rsid w:val="00AC5542"/>
    <w:rsid w:val="00AC56A2"/>
    <w:rsid w:val="00AC5A61"/>
    <w:rsid w:val="00AC5F7D"/>
    <w:rsid w:val="00AC60FD"/>
    <w:rsid w:val="00AC6618"/>
    <w:rsid w:val="00AC6A7F"/>
    <w:rsid w:val="00AC6FEA"/>
    <w:rsid w:val="00AC732A"/>
    <w:rsid w:val="00AC7434"/>
    <w:rsid w:val="00AC7B3F"/>
    <w:rsid w:val="00AC7C2B"/>
    <w:rsid w:val="00AC7F0A"/>
    <w:rsid w:val="00AC7F12"/>
    <w:rsid w:val="00AC7F13"/>
    <w:rsid w:val="00AD0724"/>
    <w:rsid w:val="00AD0F4D"/>
    <w:rsid w:val="00AD113F"/>
    <w:rsid w:val="00AD1159"/>
    <w:rsid w:val="00AD1475"/>
    <w:rsid w:val="00AD1A8D"/>
    <w:rsid w:val="00AD1B45"/>
    <w:rsid w:val="00AD1BCE"/>
    <w:rsid w:val="00AD1EA6"/>
    <w:rsid w:val="00AD20EB"/>
    <w:rsid w:val="00AD20F5"/>
    <w:rsid w:val="00AD28E7"/>
    <w:rsid w:val="00AD2B35"/>
    <w:rsid w:val="00AD2E05"/>
    <w:rsid w:val="00AD36C1"/>
    <w:rsid w:val="00AD39EE"/>
    <w:rsid w:val="00AD3EC6"/>
    <w:rsid w:val="00AD43D0"/>
    <w:rsid w:val="00AD4A80"/>
    <w:rsid w:val="00AD4D31"/>
    <w:rsid w:val="00AD4DBF"/>
    <w:rsid w:val="00AD51D3"/>
    <w:rsid w:val="00AD5479"/>
    <w:rsid w:val="00AD5579"/>
    <w:rsid w:val="00AD5B88"/>
    <w:rsid w:val="00AD6078"/>
    <w:rsid w:val="00AD6115"/>
    <w:rsid w:val="00AD62F9"/>
    <w:rsid w:val="00AD6641"/>
    <w:rsid w:val="00AD6738"/>
    <w:rsid w:val="00AD6D87"/>
    <w:rsid w:val="00AD6F2F"/>
    <w:rsid w:val="00AD710C"/>
    <w:rsid w:val="00AD7817"/>
    <w:rsid w:val="00AD7A10"/>
    <w:rsid w:val="00AD7E05"/>
    <w:rsid w:val="00AE007D"/>
    <w:rsid w:val="00AE0495"/>
    <w:rsid w:val="00AE0704"/>
    <w:rsid w:val="00AE0AC1"/>
    <w:rsid w:val="00AE0B71"/>
    <w:rsid w:val="00AE0C8C"/>
    <w:rsid w:val="00AE0FCF"/>
    <w:rsid w:val="00AE1278"/>
    <w:rsid w:val="00AE12B6"/>
    <w:rsid w:val="00AE1714"/>
    <w:rsid w:val="00AE18BE"/>
    <w:rsid w:val="00AE18E6"/>
    <w:rsid w:val="00AE1920"/>
    <w:rsid w:val="00AE1D6A"/>
    <w:rsid w:val="00AE1DBD"/>
    <w:rsid w:val="00AE21EB"/>
    <w:rsid w:val="00AE2540"/>
    <w:rsid w:val="00AE2ADA"/>
    <w:rsid w:val="00AE3009"/>
    <w:rsid w:val="00AE30B9"/>
    <w:rsid w:val="00AE3BE3"/>
    <w:rsid w:val="00AE4267"/>
    <w:rsid w:val="00AE49AD"/>
    <w:rsid w:val="00AE49BD"/>
    <w:rsid w:val="00AE4E04"/>
    <w:rsid w:val="00AE57B1"/>
    <w:rsid w:val="00AE5C21"/>
    <w:rsid w:val="00AE5C5A"/>
    <w:rsid w:val="00AE63AE"/>
    <w:rsid w:val="00AE641F"/>
    <w:rsid w:val="00AE6C41"/>
    <w:rsid w:val="00AE6C67"/>
    <w:rsid w:val="00AE72C7"/>
    <w:rsid w:val="00AE74C7"/>
    <w:rsid w:val="00AE75EB"/>
    <w:rsid w:val="00AE773E"/>
    <w:rsid w:val="00AE794D"/>
    <w:rsid w:val="00AE7BB1"/>
    <w:rsid w:val="00AF0006"/>
    <w:rsid w:val="00AF0828"/>
    <w:rsid w:val="00AF0B69"/>
    <w:rsid w:val="00AF0DC3"/>
    <w:rsid w:val="00AF1048"/>
    <w:rsid w:val="00AF10FF"/>
    <w:rsid w:val="00AF121B"/>
    <w:rsid w:val="00AF1295"/>
    <w:rsid w:val="00AF16CB"/>
    <w:rsid w:val="00AF1806"/>
    <w:rsid w:val="00AF18DA"/>
    <w:rsid w:val="00AF1AC4"/>
    <w:rsid w:val="00AF200D"/>
    <w:rsid w:val="00AF2037"/>
    <w:rsid w:val="00AF20BC"/>
    <w:rsid w:val="00AF21AB"/>
    <w:rsid w:val="00AF21ED"/>
    <w:rsid w:val="00AF2582"/>
    <w:rsid w:val="00AF2BA1"/>
    <w:rsid w:val="00AF2C51"/>
    <w:rsid w:val="00AF318A"/>
    <w:rsid w:val="00AF346B"/>
    <w:rsid w:val="00AF369C"/>
    <w:rsid w:val="00AF36D3"/>
    <w:rsid w:val="00AF38E2"/>
    <w:rsid w:val="00AF3A9B"/>
    <w:rsid w:val="00AF415E"/>
    <w:rsid w:val="00AF4BBA"/>
    <w:rsid w:val="00AF4CE2"/>
    <w:rsid w:val="00AF5667"/>
    <w:rsid w:val="00AF6941"/>
    <w:rsid w:val="00AF6AFD"/>
    <w:rsid w:val="00AF714A"/>
    <w:rsid w:val="00AF76EC"/>
    <w:rsid w:val="00AF7A79"/>
    <w:rsid w:val="00AF7B5A"/>
    <w:rsid w:val="00AF7E57"/>
    <w:rsid w:val="00AF7FCB"/>
    <w:rsid w:val="00B00110"/>
    <w:rsid w:val="00B00190"/>
    <w:rsid w:val="00B006AC"/>
    <w:rsid w:val="00B007D6"/>
    <w:rsid w:val="00B00980"/>
    <w:rsid w:val="00B00DB9"/>
    <w:rsid w:val="00B00F06"/>
    <w:rsid w:val="00B014F1"/>
    <w:rsid w:val="00B0152C"/>
    <w:rsid w:val="00B0162B"/>
    <w:rsid w:val="00B01B7F"/>
    <w:rsid w:val="00B01BAE"/>
    <w:rsid w:val="00B025BC"/>
    <w:rsid w:val="00B033D1"/>
    <w:rsid w:val="00B033F8"/>
    <w:rsid w:val="00B03B9E"/>
    <w:rsid w:val="00B03CDC"/>
    <w:rsid w:val="00B03D01"/>
    <w:rsid w:val="00B04004"/>
    <w:rsid w:val="00B041D7"/>
    <w:rsid w:val="00B042D1"/>
    <w:rsid w:val="00B04505"/>
    <w:rsid w:val="00B04B28"/>
    <w:rsid w:val="00B04B59"/>
    <w:rsid w:val="00B0507E"/>
    <w:rsid w:val="00B051EE"/>
    <w:rsid w:val="00B05ACC"/>
    <w:rsid w:val="00B060FB"/>
    <w:rsid w:val="00B06672"/>
    <w:rsid w:val="00B06E59"/>
    <w:rsid w:val="00B07805"/>
    <w:rsid w:val="00B079B3"/>
    <w:rsid w:val="00B079C9"/>
    <w:rsid w:val="00B07A66"/>
    <w:rsid w:val="00B09879"/>
    <w:rsid w:val="00B100BD"/>
    <w:rsid w:val="00B102DA"/>
    <w:rsid w:val="00B10347"/>
    <w:rsid w:val="00B103EA"/>
    <w:rsid w:val="00B10480"/>
    <w:rsid w:val="00B1059C"/>
    <w:rsid w:val="00B106D1"/>
    <w:rsid w:val="00B10767"/>
    <w:rsid w:val="00B10777"/>
    <w:rsid w:val="00B108F0"/>
    <w:rsid w:val="00B10C49"/>
    <w:rsid w:val="00B1194C"/>
    <w:rsid w:val="00B119C6"/>
    <w:rsid w:val="00B11B4A"/>
    <w:rsid w:val="00B11C24"/>
    <w:rsid w:val="00B1204E"/>
    <w:rsid w:val="00B12412"/>
    <w:rsid w:val="00B12543"/>
    <w:rsid w:val="00B126CD"/>
    <w:rsid w:val="00B129E1"/>
    <w:rsid w:val="00B12BC3"/>
    <w:rsid w:val="00B133F3"/>
    <w:rsid w:val="00B13430"/>
    <w:rsid w:val="00B13BFD"/>
    <w:rsid w:val="00B13E28"/>
    <w:rsid w:val="00B13F8A"/>
    <w:rsid w:val="00B1430E"/>
    <w:rsid w:val="00B14AB0"/>
    <w:rsid w:val="00B155A7"/>
    <w:rsid w:val="00B161CE"/>
    <w:rsid w:val="00B1626E"/>
    <w:rsid w:val="00B164B0"/>
    <w:rsid w:val="00B16CCD"/>
    <w:rsid w:val="00B16D45"/>
    <w:rsid w:val="00B16D9C"/>
    <w:rsid w:val="00B1757F"/>
    <w:rsid w:val="00B17B90"/>
    <w:rsid w:val="00B17C45"/>
    <w:rsid w:val="00B17DBC"/>
    <w:rsid w:val="00B17F00"/>
    <w:rsid w:val="00B2052D"/>
    <w:rsid w:val="00B2091E"/>
    <w:rsid w:val="00B20A0E"/>
    <w:rsid w:val="00B20AFA"/>
    <w:rsid w:val="00B20EEC"/>
    <w:rsid w:val="00B210AC"/>
    <w:rsid w:val="00B21425"/>
    <w:rsid w:val="00B218A2"/>
    <w:rsid w:val="00B21C09"/>
    <w:rsid w:val="00B21C1D"/>
    <w:rsid w:val="00B21C78"/>
    <w:rsid w:val="00B21D74"/>
    <w:rsid w:val="00B21FDE"/>
    <w:rsid w:val="00B224BE"/>
    <w:rsid w:val="00B22A45"/>
    <w:rsid w:val="00B22B62"/>
    <w:rsid w:val="00B2322D"/>
    <w:rsid w:val="00B2346F"/>
    <w:rsid w:val="00B23808"/>
    <w:rsid w:val="00B23837"/>
    <w:rsid w:val="00B2404D"/>
    <w:rsid w:val="00B243B2"/>
    <w:rsid w:val="00B24C7C"/>
    <w:rsid w:val="00B24C8B"/>
    <w:rsid w:val="00B24FCB"/>
    <w:rsid w:val="00B25013"/>
    <w:rsid w:val="00B25390"/>
    <w:rsid w:val="00B25575"/>
    <w:rsid w:val="00B25AEB"/>
    <w:rsid w:val="00B25CB1"/>
    <w:rsid w:val="00B25D96"/>
    <w:rsid w:val="00B25E82"/>
    <w:rsid w:val="00B260BE"/>
    <w:rsid w:val="00B262E7"/>
    <w:rsid w:val="00B26559"/>
    <w:rsid w:val="00B26661"/>
    <w:rsid w:val="00B26A9E"/>
    <w:rsid w:val="00B26C7E"/>
    <w:rsid w:val="00B26EC9"/>
    <w:rsid w:val="00B2712A"/>
    <w:rsid w:val="00B2740F"/>
    <w:rsid w:val="00B277A2"/>
    <w:rsid w:val="00B279FB"/>
    <w:rsid w:val="00B27C3D"/>
    <w:rsid w:val="00B300C3"/>
    <w:rsid w:val="00B305CD"/>
    <w:rsid w:val="00B30A68"/>
    <w:rsid w:val="00B30B0B"/>
    <w:rsid w:val="00B30E62"/>
    <w:rsid w:val="00B30F99"/>
    <w:rsid w:val="00B31013"/>
    <w:rsid w:val="00B313AD"/>
    <w:rsid w:val="00B3149F"/>
    <w:rsid w:val="00B314F8"/>
    <w:rsid w:val="00B314F9"/>
    <w:rsid w:val="00B3152A"/>
    <w:rsid w:val="00B3190B"/>
    <w:rsid w:val="00B31BCE"/>
    <w:rsid w:val="00B325A1"/>
    <w:rsid w:val="00B32A31"/>
    <w:rsid w:val="00B32B24"/>
    <w:rsid w:val="00B32B48"/>
    <w:rsid w:val="00B32E69"/>
    <w:rsid w:val="00B33108"/>
    <w:rsid w:val="00B332F2"/>
    <w:rsid w:val="00B334A3"/>
    <w:rsid w:val="00B33EEB"/>
    <w:rsid w:val="00B3435D"/>
    <w:rsid w:val="00B344BE"/>
    <w:rsid w:val="00B346DC"/>
    <w:rsid w:val="00B3480C"/>
    <w:rsid w:val="00B34920"/>
    <w:rsid w:val="00B3493A"/>
    <w:rsid w:val="00B34E93"/>
    <w:rsid w:val="00B3519E"/>
    <w:rsid w:val="00B352B7"/>
    <w:rsid w:val="00B3580B"/>
    <w:rsid w:val="00B35A55"/>
    <w:rsid w:val="00B35C82"/>
    <w:rsid w:val="00B35F7A"/>
    <w:rsid w:val="00B363ED"/>
    <w:rsid w:val="00B367CA"/>
    <w:rsid w:val="00B36962"/>
    <w:rsid w:val="00B36A40"/>
    <w:rsid w:val="00B36DFC"/>
    <w:rsid w:val="00B37ED5"/>
    <w:rsid w:val="00B40129"/>
    <w:rsid w:val="00B4023D"/>
    <w:rsid w:val="00B40BCB"/>
    <w:rsid w:val="00B40C00"/>
    <w:rsid w:val="00B4105D"/>
    <w:rsid w:val="00B410C4"/>
    <w:rsid w:val="00B410CC"/>
    <w:rsid w:val="00B4142B"/>
    <w:rsid w:val="00B41598"/>
    <w:rsid w:val="00B415E5"/>
    <w:rsid w:val="00B4181A"/>
    <w:rsid w:val="00B418E0"/>
    <w:rsid w:val="00B41947"/>
    <w:rsid w:val="00B41A13"/>
    <w:rsid w:val="00B41AD3"/>
    <w:rsid w:val="00B41E94"/>
    <w:rsid w:val="00B42012"/>
    <w:rsid w:val="00B4265D"/>
    <w:rsid w:val="00B427CB"/>
    <w:rsid w:val="00B42BBE"/>
    <w:rsid w:val="00B42D38"/>
    <w:rsid w:val="00B438D1"/>
    <w:rsid w:val="00B43913"/>
    <w:rsid w:val="00B43AE4"/>
    <w:rsid w:val="00B43B77"/>
    <w:rsid w:val="00B448F5"/>
    <w:rsid w:val="00B451FB"/>
    <w:rsid w:val="00B452F6"/>
    <w:rsid w:val="00B45308"/>
    <w:rsid w:val="00B45385"/>
    <w:rsid w:val="00B45420"/>
    <w:rsid w:val="00B456DE"/>
    <w:rsid w:val="00B45881"/>
    <w:rsid w:val="00B46209"/>
    <w:rsid w:val="00B46334"/>
    <w:rsid w:val="00B463F9"/>
    <w:rsid w:val="00B46846"/>
    <w:rsid w:val="00B46B06"/>
    <w:rsid w:val="00B46BD3"/>
    <w:rsid w:val="00B46F7D"/>
    <w:rsid w:val="00B471D8"/>
    <w:rsid w:val="00B47502"/>
    <w:rsid w:val="00B4759B"/>
    <w:rsid w:val="00B47B2C"/>
    <w:rsid w:val="00B500FC"/>
    <w:rsid w:val="00B5024A"/>
    <w:rsid w:val="00B505DF"/>
    <w:rsid w:val="00B50B03"/>
    <w:rsid w:val="00B50F08"/>
    <w:rsid w:val="00B50F56"/>
    <w:rsid w:val="00B50FB4"/>
    <w:rsid w:val="00B5116D"/>
    <w:rsid w:val="00B51950"/>
    <w:rsid w:val="00B51A14"/>
    <w:rsid w:val="00B51B44"/>
    <w:rsid w:val="00B51C21"/>
    <w:rsid w:val="00B52248"/>
    <w:rsid w:val="00B5285F"/>
    <w:rsid w:val="00B5287B"/>
    <w:rsid w:val="00B52A25"/>
    <w:rsid w:val="00B52A3F"/>
    <w:rsid w:val="00B52C12"/>
    <w:rsid w:val="00B52D74"/>
    <w:rsid w:val="00B532AF"/>
    <w:rsid w:val="00B534A5"/>
    <w:rsid w:val="00B538EE"/>
    <w:rsid w:val="00B53A9D"/>
    <w:rsid w:val="00B53E1C"/>
    <w:rsid w:val="00B53E8B"/>
    <w:rsid w:val="00B546A0"/>
    <w:rsid w:val="00B54DBE"/>
    <w:rsid w:val="00B5503D"/>
    <w:rsid w:val="00B552B6"/>
    <w:rsid w:val="00B55478"/>
    <w:rsid w:val="00B55831"/>
    <w:rsid w:val="00B558B5"/>
    <w:rsid w:val="00B558E0"/>
    <w:rsid w:val="00B55FBE"/>
    <w:rsid w:val="00B56781"/>
    <w:rsid w:val="00B575D0"/>
    <w:rsid w:val="00B57C62"/>
    <w:rsid w:val="00B57D7C"/>
    <w:rsid w:val="00B57D8A"/>
    <w:rsid w:val="00B60147"/>
    <w:rsid w:val="00B6051E"/>
    <w:rsid w:val="00B60595"/>
    <w:rsid w:val="00B607D8"/>
    <w:rsid w:val="00B60990"/>
    <w:rsid w:val="00B609AD"/>
    <w:rsid w:val="00B60CF4"/>
    <w:rsid w:val="00B60D32"/>
    <w:rsid w:val="00B60F70"/>
    <w:rsid w:val="00B61155"/>
    <w:rsid w:val="00B613D5"/>
    <w:rsid w:val="00B6168F"/>
    <w:rsid w:val="00B61C4E"/>
    <w:rsid w:val="00B61FAC"/>
    <w:rsid w:val="00B625E5"/>
    <w:rsid w:val="00B629C7"/>
    <w:rsid w:val="00B62FA4"/>
    <w:rsid w:val="00B630DE"/>
    <w:rsid w:val="00B631EE"/>
    <w:rsid w:val="00B637F5"/>
    <w:rsid w:val="00B63DEA"/>
    <w:rsid w:val="00B63EF3"/>
    <w:rsid w:val="00B64279"/>
    <w:rsid w:val="00B64488"/>
    <w:rsid w:val="00B644D8"/>
    <w:rsid w:val="00B645C8"/>
    <w:rsid w:val="00B6469B"/>
    <w:rsid w:val="00B646D8"/>
    <w:rsid w:val="00B64D6E"/>
    <w:rsid w:val="00B64F61"/>
    <w:rsid w:val="00B64FD9"/>
    <w:rsid w:val="00B65489"/>
    <w:rsid w:val="00B6571D"/>
    <w:rsid w:val="00B657D7"/>
    <w:rsid w:val="00B65D90"/>
    <w:rsid w:val="00B65F2D"/>
    <w:rsid w:val="00B660D1"/>
    <w:rsid w:val="00B66265"/>
    <w:rsid w:val="00B666BC"/>
    <w:rsid w:val="00B666F2"/>
    <w:rsid w:val="00B66782"/>
    <w:rsid w:val="00B667D5"/>
    <w:rsid w:val="00B66B01"/>
    <w:rsid w:val="00B66C90"/>
    <w:rsid w:val="00B66E88"/>
    <w:rsid w:val="00B673E9"/>
    <w:rsid w:val="00B67479"/>
    <w:rsid w:val="00B67ED3"/>
    <w:rsid w:val="00B700E2"/>
    <w:rsid w:val="00B702C1"/>
    <w:rsid w:val="00B702C8"/>
    <w:rsid w:val="00B705FF"/>
    <w:rsid w:val="00B70E2B"/>
    <w:rsid w:val="00B71176"/>
    <w:rsid w:val="00B71638"/>
    <w:rsid w:val="00B717CB"/>
    <w:rsid w:val="00B71A64"/>
    <w:rsid w:val="00B71EB3"/>
    <w:rsid w:val="00B724E2"/>
    <w:rsid w:val="00B724E8"/>
    <w:rsid w:val="00B72C70"/>
    <w:rsid w:val="00B72DC2"/>
    <w:rsid w:val="00B72FAF"/>
    <w:rsid w:val="00B730F7"/>
    <w:rsid w:val="00B73EBB"/>
    <w:rsid w:val="00B740AE"/>
    <w:rsid w:val="00B74295"/>
    <w:rsid w:val="00B74496"/>
    <w:rsid w:val="00B744AD"/>
    <w:rsid w:val="00B74664"/>
    <w:rsid w:val="00B74C7B"/>
    <w:rsid w:val="00B74C99"/>
    <w:rsid w:val="00B75781"/>
    <w:rsid w:val="00B758FE"/>
    <w:rsid w:val="00B75CAE"/>
    <w:rsid w:val="00B75F89"/>
    <w:rsid w:val="00B75FBC"/>
    <w:rsid w:val="00B75FF3"/>
    <w:rsid w:val="00B76688"/>
    <w:rsid w:val="00B7686B"/>
    <w:rsid w:val="00B76AAD"/>
    <w:rsid w:val="00B76B05"/>
    <w:rsid w:val="00B76B65"/>
    <w:rsid w:val="00B76E76"/>
    <w:rsid w:val="00B76F0E"/>
    <w:rsid w:val="00B77149"/>
    <w:rsid w:val="00B773E7"/>
    <w:rsid w:val="00B774BF"/>
    <w:rsid w:val="00B7757F"/>
    <w:rsid w:val="00B77668"/>
    <w:rsid w:val="00B77707"/>
    <w:rsid w:val="00B778FD"/>
    <w:rsid w:val="00B77A2D"/>
    <w:rsid w:val="00B77BA3"/>
    <w:rsid w:val="00B77E29"/>
    <w:rsid w:val="00B8037C"/>
    <w:rsid w:val="00B8045A"/>
    <w:rsid w:val="00B804E6"/>
    <w:rsid w:val="00B80B1D"/>
    <w:rsid w:val="00B80B4D"/>
    <w:rsid w:val="00B818CA"/>
    <w:rsid w:val="00B81C97"/>
    <w:rsid w:val="00B81D7B"/>
    <w:rsid w:val="00B81F11"/>
    <w:rsid w:val="00B82150"/>
    <w:rsid w:val="00B824A1"/>
    <w:rsid w:val="00B82655"/>
    <w:rsid w:val="00B82664"/>
    <w:rsid w:val="00B826DC"/>
    <w:rsid w:val="00B827D1"/>
    <w:rsid w:val="00B82C1C"/>
    <w:rsid w:val="00B82CF4"/>
    <w:rsid w:val="00B835C0"/>
    <w:rsid w:val="00B835C7"/>
    <w:rsid w:val="00B8444D"/>
    <w:rsid w:val="00B845D2"/>
    <w:rsid w:val="00B846D9"/>
    <w:rsid w:val="00B84C88"/>
    <w:rsid w:val="00B84DC7"/>
    <w:rsid w:val="00B84E01"/>
    <w:rsid w:val="00B84E0C"/>
    <w:rsid w:val="00B84F18"/>
    <w:rsid w:val="00B85164"/>
    <w:rsid w:val="00B85201"/>
    <w:rsid w:val="00B85665"/>
    <w:rsid w:val="00B85CEF"/>
    <w:rsid w:val="00B86B37"/>
    <w:rsid w:val="00B86B77"/>
    <w:rsid w:val="00B86BA9"/>
    <w:rsid w:val="00B8723D"/>
    <w:rsid w:val="00B87252"/>
    <w:rsid w:val="00B87540"/>
    <w:rsid w:val="00B87793"/>
    <w:rsid w:val="00B8786E"/>
    <w:rsid w:val="00B8787C"/>
    <w:rsid w:val="00B87987"/>
    <w:rsid w:val="00B87A9B"/>
    <w:rsid w:val="00B90087"/>
    <w:rsid w:val="00B901A3"/>
    <w:rsid w:val="00B90265"/>
    <w:rsid w:val="00B904C6"/>
    <w:rsid w:val="00B90BBC"/>
    <w:rsid w:val="00B90CCD"/>
    <w:rsid w:val="00B90D45"/>
    <w:rsid w:val="00B90F03"/>
    <w:rsid w:val="00B911C4"/>
    <w:rsid w:val="00B911E8"/>
    <w:rsid w:val="00B921C8"/>
    <w:rsid w:val="00B92375"/>
    <w:rsid w:val="00B923D5"/>
    <w:rsid w:val="00B92628"/>
    <w:rsid w:val="00B92BB0"/>
    <w:rsid w:val="00B92F27"/>
    <w:rsid w:val="00B934C2"/>
    <w:rsid w:val="00B93815"/>
    <w:rsid w:val="00B93CAA"/>
    <w:rsid w:val="00B93E70"/>
    <w:rsid w:val="00B93F20"/>
    <w:rsid w:val="00B93FF0"/>
    <w:rsid w:val="00B9410F"/>
    <w:rsid w:val="00B94569"/>
    <w:rsid w:val="00B949CB"/>
    <w:rsid w:val="00B9539F"/>
    <w:rsid w:val="00B95514"/>
    <w:rsid w:val="00B955A9"/>
    <w:rsid w:val="00B957E6"/>
    <w:rsid w:val="00B95977"/>
    <w:rsid w:val="00B95AAE"/>
    <w:rsid w:val="00B95BAC"/>
    <w:rsid w:val="00B95E18"/>
    <w:rsid w:val="00B95F64"/>
    <w:rsid w:val="00B9668D"/>
    <w:rsid w:val="00B9670A"/>
    <w:rsid w:val="00B9700D"/>
    <w:rsid w:val="00B97035"/>
    <w:rsid w:val="00B97754"/>
    <w:rsid w:val="00B97935"/>
    <w:rsid w:val="00B97A11"/>
    <w:rsid w:val="00B97D2C"/>
    <w:rsid w:val="00B97F14"/>
    <w:rsid w:val="00B97FB0"/>
    <w:rsid w:val="00BA0035"/>
    <w:rsid w:val="00BA01D0"/>
    <w:rsid w:val="00BA0669"/>
    <w:rsid w:val="00BA0BA0"/>
    <w:rsid w:val="00BA0C62"/>
    <w:rsid w:val="00BA0C6B"/>
    <w:rsid w:val="00BA147D"/>
    <w:rsid w:val="00BA17F0"/>
    <w:rsid w:val="00BA1A0A"/>
    <w:rsid w:val="00BA1F47"/>
    <w:rsid w:val="00BA214D"/>
    <w:rsid w:val="00BA21CE"/>
    <w:rsid w:val="00BA2640"/>
    <w:rsid w:val="00BA2856"/>
    <w:rsid w:val="00BA287B"/>
    <w:rsid w:val="00BA2A44"/>
    <w:rsid w:val="00BA2C9C"/>
    <w:rsid w:val="00BA2DC0"/>
    <w:rsid w:val="00BA33A4"/>
    <w:rsid w:val="00BA348E"/>
    <w:rsid w:val="00BA36A8"/>
    <w:rsid w:val="00BA3712"/>
    <w:rsid w:val="00BA3833"/>
    <w:rsid w:val="00BA3B96"/>
    <w:rsid w:val="00BA3F38"/>
    <w:rsid w:val="00BA40CF"/>
    <w:rsid w:val="00BA47DC"/>
    <w:rsid w:val="00BA49B9"/>
    <w:rsid w:val="00BA4B0B"/>
    <w:rsid w:val="00BA4F41"/>
    <w:rsid w:val="00BA5555"/>
    <w:rsid w:val="00BA5594"/>
    <w:rsid w:val="00BA5681"/>
    <w:rsid w:val="00BA5685"/>
    <w:rsid w:val="00BA5E79"/>
    <w:rsid w:val="00BA5EA8"/>
    <w:rsid w:val="00BA5EAB"/>
    <w:rsid w:val="00BA6058"/>
    <w:rsid w:val="00BA63ED"/>
    <w:rsid w:val="00BA6B35"/>
    <w:rsid w:val="00BA6B66"/>
    <w:rsid w:val="00BA6C52"/>
    <w:rsid w:val="00BA6E29"/>
    <w:rsid w:val="00BA706B"/>
    <w:rsid w:val="00BA726E"/>
    <w:rsid w:val="00BA741E"/>
    <w:rsid w:val="00BA74CA"/>
    <w:rsid w:val="00BA753F"/>
    <w:rsid w:val="00BA771B"/>
    <w:rsid w:val="00BA7EC7"/>
    <w:rsid w:val="00BA7FD6"/>
    <w:rsid w:val="00BA7FF6"/>
    <w:rsid w:val="00BB01B7"/>
    <w:rsid w:val="00BB0A47"/>
    <w:rsid w:val="00BB0AFA"/>
    <w:rsid w:val="00BB0E68"/>
    <w:rsid w:val="00BB1093"/>
    <w:rsid w:val="00BB12D9"/>
    <w:rsid w:val="00BB1589"/>
    <w:rsid w:val="00BB17E6"/>
    <w:rsid w:val="00BB1974"/>
    <w:rsid w:val="00BB1AD1"/>
    <w:rsid w:val="00BB1B69"/>
    <w:rsid w:val="00BB2582"/>
    <w:rsid w:val="00BB2A5A"/>
    <w:rsid w:val="00BB2AD8"/>
    <w:rsid w:val="00BB327C"/>
    <w:rsid w:val="00BB33FC"/>
    <w:rsid w:val="00BB3769"/>
    <w:rsid w:val="00BB3D3F"/>
    <w:rsid w:val="00BB3D60"/>
    <w:rsid w:val="00BB405E"/>
    <w:rsid w:val="00BB4222"/>
    <w:rsid w:val="00BB44CD"/>
    <w:rsid w:val="00BB49CC"/>
    <w:rsid w:val="00BB4E84"/>
    <w:rsid w:val="00BB4FFF"/>
    <w:rsid w:val="00BB52FD"/>
    <w:rsid w:val="00BB5483"/>
    <w:rsid w:val="00BB5497"/>
    <w:rsid w:val="00BB5B25"/>
    <w:rsid w:val="00BB6503"/>
    <w:rsid w:val="00BB65F0"/>
    <w:rsid w:val="00BB6953"/>
    <w:rsid w:val="00BB697C"/>
    <w:rsid w:val="00BB6BAF"/>
    <w:rsid w:val="00BB6DDD"/>
    <w:rsid w:val="00BB73D0"/>
    <w:rsid w:val="00BB755A"/>
    <w:rsid w:val="00BB75A5"/>
    <w:rsid w:val="00BB7855"/>
    <w:rsid w:val="00BB78F6"/>
    <w:rsid w:val="00BB798E"/>
    <w:rsid w:val="00BB7BCE"/>
    <w:rsid w:val="00BB7C06"/>
    <w:rsid w:val="00BB7C2F"/>
    <w:rsid w:val="00BB7D05"/>
    <w:rsid w:val="00BB7D76"/>
    <w:rsid w:val="00BC0885"/>
    <w:rsid w:val="00BC0FA6"/>
    <w:rsid w:val="00BC1196"/>
    <w:rsid w:val="00BC1542"/>
    <w:rsid w:val="00BC1AB7"/>
    <w:rsid w:val="00BC1BFD"/>
    <w:rsid w:val="00BC1D64"/>
    <w:rsid w:val="00BC1DA2"/>
    <w:rsid w:val="00BC2089"/>
    <w:rsid w:val="00BC216F"/>
    <w:rsid w:val="00BC2337"/>
    <w:rsid w:val="00BC23B1"/>
    <w:rsid w:val="00BC26F4"/>
    <w:rsid w:val="00BC2912"/>
    <w:rsid w:val="00BC29B5"/>
    <w:rsid w:val="00BC2AE1"/>
    <w:rsid w:val="00BC2EAE"/>
    <w:rsid w:val="00BC3011"/>
    <w:rsid w:val="00BC35F1"/>
    <w:rsid w:val="00BC3AC5"/>
    <w:rsid w:val="00BC407E"/>
    <w:rsid w:val="00BC4B86"/>
    <w:rsid w:val="00BC4DA9"/>
    <w:rsid w:val="00BC4DB3"/>
    <w:rsid w:val="00BC4F2C"/>
    <w:rsid w:val="00BC536B"/>
    <w:rsid w:val="00BC56E6"/>
    <w:rsid w:val="00BC5816"/>
    <w:rsid w:val="00BC5A95"/>
    <w:rsid w:val="00BC5DDE"/>
    <w:rsid w:val="00BC636F"/>
    <w:rsid w:val="00BC63E2"/>
    <w:rsid w:val="00BC64E2"/>
    <w:rsid w:val="00BC6AEB"/>
    <w:rsid w:val="00BC6E56"/>
    <w:rsid w:val="00BC77D2"/>
    <w:rsid w:val="00BC7B4F"/>
    <w:rsid w:val="00BC7FF2"/>
    <w:rsid w:val="00BD009B"/>
    <w:rsid w:val="00BD052D"/>
    <w:rsid w:val="00BD0577"/>
    <w:rsid w:val="00BD0583"/>
    <w:rsid w:val="00BD0B70"/>
    <w:rsid w:val="00BD0BDE"/>
    <w:rsid w:val="00BD0E78"/>
    <w:rsid w:val="00BD1BB8"/>
    <w:rsid w:val="00BD1DC9"/>
    <w:rsid w:val="00BD2292"/>
    <w:rsid w:val="00BD2E4E"/>
    <w:rsid w:val="00BD3E8F"/>
    <w:rsid w:val="00BD4008"/>
    <w:rsid w:val="00BD40DA"/>
    <w:rsid w:val="00BD40EC"/>
    <w:rsid w:val="00BD44A4"/>
    <w:rsid w:val="00BD481A"/>
    <w:rsid w:val="00BD49C2"/>
    <w:rsid w:val="00BD4DEA"/>
    <w:rsid w:val="00BD504F"/>
    <w:rsid w:val="00BD5D1B"/>
    <w:rsid w:val="00BD5D5B"/>
    <w:rsid w:val="00BD5F18"/>
    <w:rsid w:val="00BD6189"/>
    <w:rsid w:val="00BD66C0"/>
    <w:rsid w:val="00BD67FF"/>
    <w:rsid w:val="00BD6ADB"/>
    <w:rsid w:val="00BD74F8"/>
    <w:rsid w:val="00BD7C34"/>
    <w:rsid w:val="00BD7DB8"/>
    <w:rsid w:val="00BD7E8C"/>
    <w:rsid w:val="00BD7F5B"/>
    <w:rsid w:val="00BE0523"/>
    <w:rsid w:val="00BE09DB"/>
    <w:rsid w:val="00BE09F2"/>
    <w:rsid w:val="00BE0F1E"/>
    <w:rsid w:val="00BE1D26"/>
    <w:rsid w:val="00BE2124"/>
    <w:rsid w:val="00BE2792"/>
    <w:rsid w:val="00BE32B0"/>
    <w:rsid w:val="00BE39B4"/>
    <w:rsid w:val="00BE3DD8"/>
    <w:rsid w:val="00BE405A"/>
    <w:rsid w:val="00BE40C2"/>
    <w:rsid w:val="00BE4363"/>
    <w:rsid w:val="00BE45C0"/>
    <w:rsid w:val="00BE4689"/>
    <w:rsid w:val="00BE4886"/>
    <w:rsid w:val="00BE51D3"/>
    <w:rsid w:val="00BE53F0"/>
    <w:rsid w:val="00BE543C"/>
    <w:rsid w:val="00BE55B0"/>
    <w:rsid w:val="00BE5798"/>
    <w:rsid w:val="00BE57FD"/>
    <w:rsid w:val="00BE5E90"/>
    <w:rsid w:val="00BE601E"/>
    <w:rsid w:val="00BE6833"/>
    <w:rsid w:val="00BE69D0"/>
    <w:rsid w:val="00BE6B59"/>
    <w:rsid w:val="00BE7278"/>
    <w:rsid w:val="00BE7BF8"/>
    <w:rsid w:val="00BE7E55"/>
    <w:rsid w:val="00BE7E74"/>
    <w:rsid w:val="00BE7EB5"/>
    <w:rsid w:val="00BF03EB"/>
    <w:rsid w:val="00BF05D5"/>
    <w:rsid w:val="00BF06CB"/>
    <w:rsid w:val="00BF07D8"/>
    <w:rsid w:val="00BF0936"/>
    <w:rsid w:val="00BF15E8"/>
    <w:rsid w:val="00BF1764"/>
    <w:rsid w:val="00BF1A17"/>
    <w:rsid w:val="00BF1AEA"/>
    <w:rsid w:val="00BF1B9F"/>
    <w:rsid w:val="00BF1DEC"/>
    <w:rsid w:val="00BF1DEE"/>
    <w:rsid w:val="00BF25A9"/>
    <w:rsid w:val="00BF2686"/>
    <w:rsid w:val="00BF30B7"/>
    <w:rsid w:val="00BF3895"/>
    <w:rsid w:val="00BF3BD2"/>
    <w:rsid w:val="00BF44AF"/>
    <w:rsid w:val="00BF4746"/>
    <w:rsid w:val="00BF47A5"/>
    <w:rsid w:val="00BF4851"/>
    <w:rsid w:val="00BF4D86"/>
    <w:rsid w:val="00BF4E0E"/>
    <w:rsid w:val="00BF504E"/>
    <w:rsid w:val="00BF54CB"/>
    <w:rsid w:val="00BF598B"/>
    <w:rsid w:val="00BF59F7"/>
    <w:rsid w:val="00BF6025"/>
    <w:rsid w:val="00BF6190"/>
    <w:rsid w:val="00BF6AF0"/>
    <w:rsid w:val="00BF7010"/>
    <w:rsid w:val="00BF7B5B"/>
    <w:rsid w:val="00BF7B92"/>
    <w:rsid w:val="00C0038F"/>
    <w:rsid w:val="00C0090C"/>
    <w:rsid w:val="00C01024"/>
    <w:rsid w:val="00C0120C"/>
    <w:rsid w:val="00C01433"/>
    <w:rsid w:val="00C0266E"/>
    <w:rsid w:val="00C02A96"/>
    <w:rsid w:val="00C02BDA"/>
    <w:rsid w:val="00C02C7E"/>
    <w:rsid w:val="00C034E4"/>
    <w:rsid w:val="00C035AB"/>
    <w:rsid w:val="00C03630"/>
    <w:rsid w:val="00C03663"/>
    <w:rsid w:val="00C0375C"/>
    <w:rsid w:val="00C0396A"/>
    <w:rsid w:val="00C04230"/>
    <w:rsid w:val="00C0472C"/>
    <w:rsid w:val="00C04879"/>
    <w:rsid w:val="00C04F70"/>
    <w:rsid w:val="00C0531D"/>
    <w:rsid w:val="00C0552A"/>
    <w:rsid w:val="00C0552E"/>
    <w:rsid w:val="00C057BA"/>
    <w:rsid w:val="00C060B7"/>
    <w:rsid w:val="00C0632A"/>
    <w:rsid w:val="00C063E6"/>
    <w:rsid w:val="00C0643F"/>
    <w:rsid w:val="00C064D1"/>
    <w:rsid w:val="00C06735"/>
    <w:rsid w:val="00C06A72"/>
    <w:rsid w:val="00C06C9D"/>
    <w:rsid w:val="00C06F21"/>
    <w:rsid w:val="00C071A1"/>
    <w:rsid w:val="00C0798E"/>
    <w:rsid w:val="00C10353"/>
    <w:rsid w:val="00C104EA"/>
    <w:rsid w:val="00C1066D"/>
    <w:rsid w:val="00C108CD"/>
    <w:rsid w:val="00C112C7"/>
    <w:rsid w:val="00C119A7"/>
    <w:rsid w:val="00C125F4"/>
    <w:rsid w:val="00C1268E"/>
    <w:rsid w:val="00C1275C"/>
    <w:rsid w:val="00C12A07"/>
    <w:rsid w:val="00C12D06"/>
    <w:rsid w:val="00C12DE0"/>
    <w:rsid w:val="00C13139"/>
    <w:rsid w:val="00C133C6"/>
    <w:rsid w:val="00C13404"/>
    <w:rsid w:val="00C13450"/>
    <w:rsid w:val="00C13601"/>
    <w:rsid w:val="00C136DA"/>
    <w:rsid w:val="00C13B72"/>
    <w:rsid w:val="00C13C49"/>
    <w:rsid w:val="00C1414C"/>
    <w:rsid w:val="00C14943"/>
    <w:rsid w:val="00C14B0A"/>
    <w:rsid w:val="00C14FEB"/>
    <w:rsid w:val="00C15FD8"/>
    <w:rsid w:val="00C160F5"/>
    <w:rsid w:val="00C160FE"/>
    <w:rsid w:val="00C163D8"/>
    <w:rsid w:val="00C16BCB"/>
    <w:rsid w:val="00C16C69"/>
    <w:rsid w:val="00C173CF"/>
    <w:rsid w:val="00C201F9"/>
    <w:rsid w:val="00C209A2"/>
    <w:rsid w:val="00C20C5F"/>
    <w:rsid w:val="00C20D2B"/>
    <w:rsid w:val="00C20DAB"/>
    <w:rsid w:val="00C20FD6"/>
    <w:rsid w:val="00C2103C"/>
    <w:rsid w:val="00C213ED"/>
    <w:rsid w:val="00C21A29"/>
    <w:rsid w:val="00C21AE0"/>
    <w:rsid w:val="00C21C9E"/>
    <w:rsid w:val="00C21F49"/>
    <w:rsid w:val="00C2231F"/>
    <w:rsid w:val="00C227B2"/>
    <w:rsid w:val="00C2284E"/>
    <w:rsid w:val="00C240E2"/>
    <w:rsid w:val="00C24235"/>
    <w:rsid w:val="00C242A6"/>
    <w:rsid w:val="00C244EA"/>
    <w:rsid w:val="00C245C7"/>
    <w:rsid w:val="00C2465F"/>
    <w:rsid w:val="00C24836"/>
    <w:rsid w:val="00C2507E"/>
    <w:rsid w:val="00C250DD"/>
    <w:rsid w:val="00C252A9"/>
    <w:rsid w:val="00C2614D"/>
    <w:rsid w:val="00C26F63"/>
    <w:rsid w:val="00C2751C"/>
    <w:rsid w:val="00C27DEC"/>
    <w:rsid w:val="00C30184"/>
    <w:rsid w:val="00C3064F"/>
    <w:rsid w:val="00C30F9C"/>
    <w:rsid w:val="00C3104C"/>
    <w:rsid w:val="00C31126"/>
    <w:rsid w:val="00C318B1"/>
    <w:rsid w:val="00C319F2"/>
    <w:rsid w:val="00C31C1F"/>
    <w:rsid w:val="00C31F92"/>
    <w:rsid w:val="00C320CA"/>
    <w:rsid w:val="00C32419"/>
    <w:rsid w:val="00C327A5"/>
    <w:rsid w:val="00C32A7F"/>
    <w:rsid w:val="00C32E20"/>
    <w:rsid w:val="00C32EF7"/>
    <w:rsid w:val="00C33A75"/>
    <w:rsid w:val="00C344F5"/>
    <w:rsid w:val="00C34599"/>
    <w:rsid w:val="00C34B37"/>
    <w:rsid w:val="00C34C10"/>
    <w:rsid w:val="00C3504F"/>
    <w:rsid w:val="00C351DD"/>
    <w:rsid w:val="00C356C2"/>
    <w:rsid w:val="00C35EF1"/>
    <w:rsid w:val="00C362FA"/>
    <w:rsid w:val="00C3664B"/>
    <w:rsid w:val="00C36FEC"/>
    <w:rsid w:val="00C371B9"/>
    <w:rsid w:val="00C37827"/>
    <w:rsid w:val="00C379F6"/>
    <w:rsid w:val="00C37C4D"/>
    <w:rsid w:val="00C406D4"/>
    <w:rsid w:val="00C40732"/>
    <w:rsid w:val="00C40B49"/>
    <w:rsid w:val="00C4118F"/>
    <w:rsid w:val="00C41919"/>
    <w:rsid w:val="00C4208A"/>
    <w:rsid w:val="00C420D5"/>
    <w:rsid w:val="00C422E1"/>
    <w:rsid w:val="00C42591"/>
    <w:rsid w:val="00C426EF"/>
    <w:rsid w:val="00C42C92"/>
    <w:rsid w:val="00C4310B"/>
    <w:rsid w:val="00C43A1F"/>
    <w:rsid w:val="00C4409F"/>
    <w:rsid w:val="00C4436E"/>
    <w:rsid w:val="00C449EB"/>
    <w:rsid w:val="00C44C69"/>
    <w:rsid w:val="00C45338"/>
    <w:rsid w:val="00C45926"/>
    <w:rsid w:val="00C45AAF"/>
    <w:rsid w:val="00C45B2E"/>
    <w:rsid w:val="00C45CCD"/>
    <w:rsid w:val="00C45F34"/>
    <w:rsid w:val="00C46159"/>
    <w:rsid w:val="00C468B4"/>
    <w:rsid w:val="00C468DD"/>
    <w:rsid w:val="00C46AC7"/>
    <w:rsid w:val="00C4721A"/>
    <w:rsid w:val="00C47704"/>
    <w:rsid w:val="00C47961"/>
    <w:rsid w:val="00C479AA"/>
    <w:rsid w:val="00C479FA"/>
    <w:rsid w:val="00C47C7C"/>
    <w:rsid w:val="00C47C87"/>
    <w:rsid w:val="00C47F60"/>
    <w:rsid w:val="00C50696"/>
    <w:rsid w:val="00C5083B"/>
    <w:rsid w:val="00C51044"/>
    <w:rsid w:val="00C51797"/>
    <w:rsid w:val="00C52343"/>
    <w:rsid w:val="00C52492"/>
    <w:rsid w:val="00C52684"/>
    <w:rsid w:val="00C526DC"/>
    <w:rsid w:val="00C5285D"/>
    <w:rsid w:val="00C529E3"/>
    <w:rsid w:val="00C52B91"/>
    <w:rsid w:val="00C53017"/>
    <w:rsid w:val="00C532FD"/>
    <w:rsid w:val="00C533DA"/>
    <w:rsid w:val="00C5358C"/>
    <w:rsid w:val="00C5362F"/>
    <w:rsid w:val="00C53876"/>
    <w:rsid w:val="00C53BD2"/>
    <w:rsid w:val="00C53C22"/>
    <w:rsid w:val="00C53DF7"/>
    <w:rsid w:val="00C54AB8"/>
    <w:rsid w:val="00C54E5D"/>
    <w:rsid w:val="00C5511E"/>
    <w:rsid w:val="00C551A6"/>
    <w:rsid w:val="00C558C2"/>
    <w:rsid w:val="00C55DFE"/>
    <w:rsid w:val="00C56562"/>
    <w:rsid w:val="00C5672F"/>
    <w:rsid w:val="00C56BEA"/>
    <w:rsid w:val="00C56F1B"/>
    <w:rsid w:val="00C57911"/>
    <w:rsid w:val="00C57C9C"/>
    <w:rsid w:val="00C6001C"/>
    <w:rsid w:val="00C602E5"/>
    <w:rsid w:val="00C60646"/>
    <w:rsid w:val="00C60CEB"/>
    <w:rsid w:val="00C60CF5"/>
    <w:rsid w:val="00C60E8C"/>
    <w:rsid w:val="00C617D0"/>
    <w:rsid w:val="00C61A4C"/>
    <w:rsid w:val="00C61BEC"/>
    <w:rsid w:val="00C61F10"/>
    <w:rsid w:val="00C61F98"/>
    <w:rsid w:val="00C622CF"/>
    <w:rsid w:val="00C624C8"/>
    <w:rsid w:val="00C62A41"/>
    <w:rsid w:val="00C62BE1"/>
    <w:rsid w:val="00C62CE8"/>
    <w:rsid w:val="00C6317A"/>
    <w:rsid w:val="00C632F9"/>
    <w:rsid w:val="00C63646"/>
    <w:rsid w:val="00C63B5A"/>
    <w:rsid w:val="00C63F25"/>
    <w:rsid w:val="00C63F65"/>
    <w:rsid w:val="00C64811"/>
    <w:rsid w:val="00C6484C"/>
    <w:rsid w:val="00C64AC1"/>
    <w:rsid w:val="00C64D44"/>
    <w:rsid w:val="00C64D82"/>
    <w:rsid w:val="00C6541E"/>
    <w:rsid w:val="00C6565B"/>
    <w:rsid w:val="00C65AC8"/>
    <w:rsid w:val="00C65F99"/>
    <w:rsid w:val="00C65FCC"/>
    <w:rsid w:val="00C661D5"/>
    <w:rsid w:val="00C661F6"/>
    <w:rsid w:val="00C662BA"/>
    <w:rsid w:val="00C66B1D"/>
    <w:rsid w:val="00C6764F"/>
    <w:rsid w:val="00C6766F"/>
    <w:rsid w:val="00C678B3"/>
    <w:rsid w:val="00C67EBC"/>
    <w:rsid w:val="00C70339"/>
    <w:rsid w:val="00C70382"/>
    <w:rsid w:val="00C703C7"/>
    <w:rsid w:val="00C703E5"/>
    <w:rsid w:val="00C705E2"/>
    <w:rsid w:val="00C705FD"/>
    <w:rsid w:val="00C708E4"/>
    <w:rsid w:val="00C70A3F"/>
    <w:rsid w:val="00C70B55"/>
    <w:rsid w:val="00C70C15"/>
    <w:rsid w:val="00C70D96"/>
    <w:rsid w:val="00C7114D"/>
    <w:rsid w:val="00C712DA"/>
    <w:rsid w:val="00C717DE"/>
    <w:rsid w:val="00C71A76"/>
    <w:rsid w:val="00C71ECF"/>
    <w:rsid w:val="00C71EE5"/>
    <w:rsid w:val="00C72299"/>
    <w:rsid w:val="00C72313"/>
    <w:rsid w:val="00C72416"/>
    <w:rsid w:val="00C7273A"/>
    <w:rsid w:val="00C72C1D"/>
    <w:rsid w:val="00C72DBD"/>
    <w:rsid w:val="00C72E00"/>
    <w:rsid w:val="00C72E31"/>
    <w:rsid w:val="00C730D6"/>
    <w:rsid w:val="00C731BC"/>
    <w:rsid w:val="00C7342C"/>
    <w:rsid w:val="00C735D4"/>
    <w:rsid w:val="00C7375F"/>
    <w:rsid w:val="00C7395E"/>
    <w:rsid w:val="00C73F3E"/>
    <w:rsid w:val="00C73FD2"/>
    <w:rsid w:val="00C73FF3"/>
    <w:rsid w:val="00C74070"/>
    <w:rsid w:val="00C74140"/>
    <w:rsid w:val="00C744BB"/>
    <w:rsid w:val="00C74884"/>
    <w:rsid w:val="00C74DBF"/>
    <w:rsid w:val="00C74F2C"/>
    <w:rsid w:val="00C75AB4"/>
    <w:rsid w:val="00C75C4D"/>
    <w:rsid w:val="00C75E74"/>
    <w:rsid w:val="00C7697C"/>
    <w:rsid w:val="00C76A50"/>
    <w:rsid w:val="00C76CFC"/>
    <w:rsid w:val="00C77EA7"/>
    <w:rsid w:val="00C77F3B"/>
    <w:rsid w:val="00C80994"/>
    <w:rsid w:val="00C80B56"/>
    <w:rsid w:val="00C822D5"/>
    <w:rsid w:val="00C8257A"/>
    <w:rsid w:val="00C82B3D"/>
    <w:rsid w:val="00C830F9"/>
    <w:rsid w:val="00C834E5"/>
    <w:rsid w:val="00C835C9"/>
    <w:rsid w:val="00C83A63"/>
    <w:rsid w:val="00C83D30"/>
    <w:rsid w:val="00C84378"/>
    <w:rsid w:val="00C84F38"/>
    <w:rsid w:val="00C8518B"/>
    <w:rsid w:val="00C851EB"/>
    <w:rsid w:val="00C857A5"/>
    <w:rsid w:val="00C857F3"/>
    <w:rsid w:val="00C8591B"/>
    <w:rsid w:val="00C85955"/>
    <w:rsid w:val="00C85962"/>
    <w:rsid w:val="00C85E10"/>
    <w:rsid w:val="00C86410"/>
    <w:rsid w:val="00C86725"/>
    <w:rsid w:val="00C87014"/>
    <w:rsid w:val="00C87121"/>
    <w:rsid w:val="00C87512"/>
    <w:rsid w:val="00C875DE"/>
    <w:rsid w:val="00C87660"/>
    <w:rsid w:val="00C87898"/>
    <w:rsid w:val="00C87A9C"/>
    <w:rsid w:val="00C90123"/>
    <w:rsid w:val="00C9029C"/>
    <w:rsid w:val="00C90373"/>
    <w:rsid w:val="00C90A07"/>
    <w:rsid w:val="00C912B8"/>
    <w:rsid w:val="00C920CC"/>
    <w:rsid w:val="00C921DC"/>
    <w:rsid w:val="00C9273A"/>
    <w:rsid w:val="00C92937"/>
    <w:rsid w:val="00C92FE7"/>
    <w:rsid w:val="00C9391C"/>
    <w:rsid w:val="00C93AF9"/>
    <w:rsid w:val="00C93EE9"/>
    <w:rsid w:val="00C94084"/>
    <w:rsid w:val="00C941A5"/>
    <w:rsid w:val="00C941E5"/>
    <w:rsid w:val="00C9427A"/>
    <w:rsid w:val="00C943C9"/>
    <w:rsid w:val="00C9481F"/>
    <w:rsid w:val="00C9490E"/>
    <w:rsid w:val="00C94B7F"/>
    <w:rsid w:val="00C94D93"/>
    <w:rsid w:val="00C9503D"/>
    <w:rsid w:val="00C953E1"/>
    <w:rsid w:val="00C95C25"/>
    <w:rsid w:val="00C95F25"/>
    <w:rsid w:val="00C964CB"/>
    <w:rsid w:val="00C965F0"/>
    <w:rsid w:val="00C968AB"/>
    <w:rsid w:val="00C96B81"/>
    <w:rsid w:val="00C96C25"/>
    <w:rsid w:val="00C96D2D"/>
    <w:rsid w:val="00C96DA9"/>
    <w:rsid w:val="00C9772F"/>
    <w:rsid w:val="00CA001F"/>
    <w:rsid w:val="00CA0C54"/>
    <w:rsid w:val="00CA111C"/>
    <w:rsid w:val="00CA144F"/>
    <w:rsid w:val="00CA1A70"/>
    <w:rsid w:val="00CA1EC0"/>
    <w:rsid w:val="00CA1F36"/>
    <w:rsid w:val="00CA2173"/>
    <w:rsid w:val="00CA23D6"/>
    <w:rsid w:val="00CA2CCE"/>
    <w:rsid w:val="00CA2FE5"/>
    <w:rsid w:val="00CA30DB"/>
    <w:rsid w:val="00CA3475"/>
    <w:rsid w:val="00CA3752"/>
    <w:rsid w:val="00CA496C"/>
    <w:rsid w:val="00CA52D5"/>
    <w:rsid w:val="00CA569A"/>
    <w:rsid w:val="00CA576D"/>
    <w:rsid w:val="00CA5C6A"/>
    <w:rsid w:val="00CA5CC2"/>
    <w:rsid w:val="00CA5DC4"/>
    <w:rsid w:val="00CA64DB"/>
    <w:rsid w:val="00CA6547"/>
    <w:rsid w:val="00CA658C"/>
    <w:rsid w:val="00CA6D87"/>
    <w:rsid w:val="00CA742C"/>
    <w:rsid w:val="00CA7A85"/>
    <w:rsid w:val="00CA7B8B"/>
    <w:rsid w:val="00CA7BFE"/>
    <w:rsid w:val="00CA7C43"/>
    <w:rsid w:val="00CA7D02"/>
    <w:rsid w:val="00CA7E1B"/>
    <w:rsid w:val="00CA7E67"/>
    <w:rsid w:val="00CA7F4B"/>
    <w:rsid w:val="00CA7FB4"/>
    <w:rsid w:val="00CB0217"/>
    <w:rsid w:val="00CB07B0"/>
    <w:rsid w:val="00CB0809"/>
    <w:rsid w:val="00CB0846"/>
    <w:rsid w:val="00CB0D40"/>
    <w:rsid w:val="00CB1023"/>
    <w:rsid w:val="00CB12CE"/>
    <w:rsid w:val="00CB18C3"/>
    <w:rsid w:val="00CB1AB3"/>
    <w:rsid w:val="00CB1F59"/>
    <w:rsid w:val="00CB1FFC"/>
    <w:rsid w:val="00CB24B3"/>
    <w:rsid w:val="00CB37A6"/>
    <w:rsid w:val="00CB3C47"/>
    <w:rsid w:val="00CB3EF3"/>
    <w:rsid w:val="00CB455E"/>
    <w:rsid w:val="00CB4921"/>
    <w:rsid w:val="00CB4A32"/>
    <w:rsid w:val="00CB5161"/>
    <w:rsid w:val="00CB52B0"/>
    <w:rsid w:val="00CB52B9"/>
    <w:rsid w:val="00CB5496"/>
    <w:rsid w:val="00CB54B9"/>
    <w:rsid w:val="00CB55F2"/>
    <w:rsid w:val="00CB5AF8"/>
    <w:rsid w:val="00CB5BBA"/>
    <w:rsid w:val="00CB5F2F"/>
    <w:rsid w:val="00CB69FA"/>
    <w:rsid w:val="00CB70A5"/>
    <w:rsid w:val="00CB7A96"/>
    <w:rsid w:val="00CB7AEF"/>
    <w:rsid w:val="00CB7C8C"/>
    <w:rsid w:val="00CB7D00"/>
    <w:rsid w:val="00CB7F9E"/>
    <w:rsid w:val="00CB7FDB"/>
    <w:rsid w:val="00CC0426"/>
    <w:rsid w:val="00CC0583"/>
    <w:rsid w:val="00CC063D"/>
    <w:rsid w:val="00CC0A75"/>
    <w:rsid w:val="00CC0E05"/>
    <w:rsid w:val="00CC11D7"/>
    <w:rsid w:val="00CC1239"/>
    <w:rsid w:val="00CC17F3"/>
    <w:rsid w:val="00CC1AD2"/>
    <w:rsid w:val="00CC1CC6"/>
    <w:rsid w:val="00CC21A8"/>
    <w:rsid w:val="00CC2570"/>
    <w:rsid w:val="00CC27A1"/>
    <w:rsid w:val="00CC2B32"/>
    <w:rsid w:val="00CC2BA6"/>
    <w:rsid w:val="00CC2D7D"/>
    <w:rsid w:val="00CC2E78"/>
    <w:rsid w:val="00CC34E9"/>
    <w:rsid w:val="00CC3740"/>
    <w:rsid w:val="00CC38EC"/>
    <w:rsid w:val="00CC390A"/>
    <w:rsid w:val="00CC3BBA"/>
    <w:rsid w:val="00CC3D5F"/>
    <w:rsid w:val="00CC45A8"/>
    <w:rsid w:val="00CC47D5"/>
    <w:rsid w:val="00CC4DC2"/>
    <w:rsid w:val="00CC4FA3"/>
    <w:rsid w:val="00CC5CB9"/>
    <w:rsid w:val="00CC5CC5"/>
    <w:rsid w:val="00CC5D7E"/>
    <w:rsid w:val="00CC5DAA"/>
    <w:rsid w:val="00CC62CA"/>
    <w:rsid w:val="00CC63C1"/>
    <w:rsid w:val="00CC6DE5"/>
    <w:rsid w:val="00CC7562"/>
    <w:rsid w:val="00CC790B"/>
    <w:rsid w:val="00CC7C83"/>
    <w:rsid w:val="00CC7E41"/>
    <w:rsid w:val="00CC7F78"/>
    <w:rsid w:val="00CD0340"/>
    <w:rsid w:val="00CD046C"/>
    <w:rsid w:val="00CD08EE"/>
    <w:rsid w:val="00CD0A61"/>
    <w:rsid w:val="00CD0D52"/>
    <w:rsid w:val="00CD1295"/>
    <w:rsid w:val="00CD1492"/>
    <w:rsid w:val="00CD1A94"/>
    <w:rsid w:val="00CD1AD8"/>
    <w:rsid w:val="00CD1C37"/>
    <w:rsid w:val="00CD2A77"/>
    <w:rsid w:val="00CD310C"/>
    <w:rsid w:val="00CD33BB"/>
    <w:rsid w:val="00CD343A"/>
    <w:rsid w:val="00CD3690"/>
    <w:rsid w:val="00CD37F7"/>
    <w:rsid w:val="00CD3B36"/>
    <w:rsid w:val="00CD41A9"/>
    <w:rsid w:val="00CD4870"/>
    <w:rsid w:val="00CD4891"/>
    <w:rsid w:val="00CD4CB2"/>
    <w:rsid w:val="00CD5766"/>
    <w:rsid w:val="00CD578E"/>
    <w:rsid w:val="00CD5A07"/>
    <w:rsid w:val="00CD6881"/>
    <w:rsid w:val="00CD6D49"/>
    <w:rsid w:val="00CD7079"/>
    <w:rsid w:val="00CD76E9"/>
    <w:rsid w:val="00CD7B22"/>
    <w:rsid w:val="00CE045B"/>
    <w:rsid w:val="00CE09C0"/>
    <w:rsid w:val="00CE09DB"/>
    <w:rsid w:val="00CE0BA5"/>
    <w:rsid w:val="00CE0CA1"/>
    <w:rsid w:val="00CE1612"/>
    <w:rsid w:val="00CE198E"/>
    <w:rsid w:val="00CE1A05"/>
    <w:rsid w:val="00CE1F76"/>
    <w:rsid w:val="00CE277C"/>
    <w:rsid w:val="00CE27FF"/>
    <w:rsid w:val="00CE2875"/>
    <w:rsid w:val="00CE3041"/>
    <w:rsid w:val="00CE31C1"/>
    <w:rsid w:val="00CE3597"/>
    <w:rsid w:val="00CE3682"/>
    <w:rsid w:val="00CE3D8F"/>
    <w:rsid w:val="00CE4085"/>
    <w:rsid w:val="00CE45DE"/>
    <w:rsid w:val="00CE46B4"/>
    <w:rsid w:val="00CE482C"/>
    <w:rsid w:val="00CE4DEC"/>
    <w:rsid w:val="00CE4F39"/>
    <w:rsid w:val="00CE5B93"/>
    <w:rsid w:val="00CE5D27"/>
    <w:rsid w:val="00CE5DA0"/>
    <w:rsid w:val="00CE715C"/>
    <w:rsid w:val="00CE7223"/>
    <w:rsid w:val="00CE7247"/>
    <w:rsid w:val="00CE737E"/>
    <w:rsid w:val="00CE739D"/>
    <w:rsid w:val="00CE73EE"/>
    <w:rsid w:val="00CE75C5"/>
    <w:rsid w:val="00CE76F2"/>
    <w:rsid w:val="00CE7B77"/>
    <w:rsid w:val="00CE7E78"/>
    <w:rsid w:val="00CF0173"/>
    <w:rsid w:val="00CF062F"/>
    <w:rsid w:val="00CF08CE"/>
    <w:rsid w:val="00CF0A94"/>
    <w:rsid w:val="00CF1661"/>
    <w:rsid w:val="00CF17CB"/>
    <w:rsid w:val="00CF18D4"/>
    <w:rsid w:val="00CF1D29"/>
    <w:rsid w:val="00CF1EBC"/>
    <w:rsid w:val="00CF2070"/>
    <w:rsid w:val="00CF2206"/>
    <w:rsid w:val="00CF2297"/>
    <w:rsid w:val="00CF259A"/>
    <w:rsid w:val="00CF2C9F"/>
    <w:rsid w:val="00CF2E6B"/>
    <w:rsid w:val="00CF2FCD"/>
    <w:rsid w:val="00CF3052"/>
    <w:rsid w:val="00CF314E"/>
    <w:rsid w:val="00CF31C3"/>
    <w:rsid w:val="00CF37E8"/>
    <w:rsid w:val="00CF3B40"/>
    <w:rsid w:val="00CF3B62"/>
    <w:rsid w:val="00CF4042"/>
    <w:rsid w:val="00CF44C0"/>
    <w:rsid w:val="00CF44D7"/>
    <w:rsid w:val="00CF455F"/>
    <w:rsid w:val="00CF4863"/>
    <w:rsid w:val="00CF4DC0"/>
    <w:rsid w:val="00CF4F33"/>
    <w:rsid w:val="00CF515D"/>
    <w:rsid w:val="00CF53A5"/>
    <w:rsid w:val="00CF55CD"/>
    <w:rsid w:val="00CF5927"/>
    <w:rsid w:val="00CF5BDD"/>
    <w:rsid w:val="00CF5DEC"/>
    <w:rsid w:val="00CF5DEF"/>
    <w:rsid w:val="00CF649A"/>
    <w:rsid w:val="00CF6547"/>
    <w:rsid w:val="00CF6594"/>
    <w:rsid w:val="00CF6944"/>
    <w:rsid w:val="00CF6BA9"/>
    <w:rsid w:val="00CF6E61"/>
    <w:rsid w:val="00CF7DCD"/>
    <w:rsid w:val="00CF7E18"/>
    <w:rsid w:val="00CF7EB0"/>
    <w:rsid w:val="00CF7F50"/>
    <w:rsid w:val="00D0021D"/>
    <w:rsid w:val="00D008B1"/>
    <w:rsid w:val="00D00DCA"/>
    <w:rsid w:val="00D00EEC"/>
    <w:rsid w:val="00D011C5"/>
    <w:rsid w:val="00D01207"/>
    <w:rsid w:val="00D01848"/>
    <w:rsid w:val="00D024A9"/>
    <w:rsid w:val="00D02D62"/>
    <w:rsid w:val="00D03267"/>
    <w:rsid w:val="00D0329B"/>
    <w:rsid w:val="00D042D6"/>
    <w:rsid w:val="00D0475D"/>
    <w:rsid w:val="00D0485C"/>
    <w:rsid w:val="00D04C05"/>
    <w:rsid w:val="00D06206"/>
    <w:rsid w:val="00D06374"/>
    <w:rsid w:val="00D068FE"/>
    <w:rsid w:val="00D071AE"/>
    <w:rsid w:val="00D07B1A"/>
    <w:rsid w:val="00D07FBA"/>
    <w:rsid w:val="00D1002B"/>
    <w:rsid w:val="00D10030"/>
    <w:rsid w:val="00D10314"/>
    <w:rsid w:val="00D10599"/>
    <w:rsid w:val="00D1068A"/>
    <w:rsid w:val="00D10692"/>
    <w:rsid w:val="00D1079E"/>
    <w:rsid w:val="00D107E6"/>
    <w:rsid w:val="00D10A4A"/>
    <w:rsid w:val="00D10B77"/>
    <w:rsid w:val="00D10BC9"/>
    <w:rsid w:val="00D112B2"/>
    <w:rsid w:val="00D1151F"/>
    <w:rsid w:val="00D11662"/>
    <w:rsid w:val="00D11713"/>
    <w:rsid w:val="00D1174E"/>
    <w:rsid w:val="00D11BFE"/>
    <w:rsid w:val="00D121F1"/>
    <w:rsid w:val="00D1220C"/>
    <w:rsid w:val="00D123D2"/>
    <w:rsid w:val="00D12763"/>
    <w:rsid w:val="00D12E79"/>
    <w:rsid w:val="00D12FE9"/>
    <w:rsid w:val="00D130A5"/>
    <w:rsid w:val="00D133B9"/>
    <w:rsid w:val="00D13406"/>
    <w:rsid w:val="00D13B3E"/>
    <w:rsid w:val="00D141F2"/>
    <w:rsid w:val="00D1482C"/>
    <w:rsid w:val="00D14E4A"/>
    <w:rsid w:val="00D1509D"/>
    <w:rsid w:val="00D15A27"/>
    <w:rsid w:val="00D1637E"/>
    <w:rsid w:val="00D168A4"/>
    <w:rsid w:val="00D169E3"/>
    <w:rsid w:val="00D16A44"/>
    <w:rsid w:val="00D16BD4"/>
    <w:rsid w:val="00D1777D"/>
    <w:rsid w:val="00D1777E"/>
    <w:rsid w:val="00D17C0B"/>
    <w:rsid w:val="00D17C32"/>
    <w:rsid w:val="00D17DB5"/>
    <w:rsid w:val="00D20216"/>
    <w:rsid w:val="00D20CB1"/>
    <w:rsid w:val="00D20E6E"/>
    <w:rsid w:val="00D20EB5"/>
    <w:rsid w:val="00D20F1E"/>
    <w:rsid w:val="00D20F44"/>
    <w:rsid w:val="00D214BB"/>
    <w:rsid w:val="00D217C2"/>
    <w:rsid w:val="00D21AB8"/>
    <w:rsid w:val="00D21D59"/>
    <w:rsid w:val="00D22219"/>
    <w:rsid w:val="00D22908"/>
    <w:rsid w:val="00D22911"/>
    <w:rsid w:val="00D22A66"/>
    <w:rsid w:val="00D22B7B"/>
    <w:rsid w:val="00D22CDF"/>
    <w:rsid w:val="00D248B6"/>
    <w:rsid w:val="00D25340"/>
    <w:rsid w:val="00D2594B"/>
    <w:rsid w:val="00D25B89"/>
    <w:rsid w:val="00D25F38"/>
    <w:rsid w:val="00D264EE"/>
    <w:rsid w:val="00D265BF"/>
    <w:rsid w:val="00D267B0"/>
    <w:rsid w:val="00D267CC"/>
    <w:rsid w:val="00D275CB"/>
    <w:rsid w:val="00D275E4"/>
    <w:rsid w:val="00D27697"/>
    <w:rsid w:val="00D27856"/>
    <w:rsid w:val="00D27A9D"/>
    <w:rsid w:val="00D27D8F"/>
    <w:rsid w:val="00D27FD8"/>
    <w:rsid w:val="00D304C9"/>
    <w:rsid w:val="00D30616"/>
    <w:rsid w:val="00D30C13"/>
    <w:rsid w:val="00D31078"/>
    <w:rsid w:val="00D31091"/>
    <w:rsid w:val="00D312F8"/>
    <w:rsid w:val="00D315D4"/>
    <w:rsid w:val="00D316C1"/>
    <w:rsid w:val="00D3193E"/>
    <w:rsid w:val="00D32633"/>
    <w:rsid w:val="00D3273B"/>
    <w:rsid w:val="00D328AD"/>
    <w:rsid w:val="00D329BA"/>
    <w:rsid w:val="00D3301E"/>
    <w:rsid w:val="00D33186"/>
    <w:rsid w:val="00D33A07"/>
    <w:rsid w:val="00D33A0D"/>
    <w:rsid w:val="00D33FEC"/>
    <w:rsid w:val="00D34547"/>
    <w:rsid w:val="00D346AC"/>
    <w:rsid w:val="00D34CC0"/>
    <w:rsid w:val="00D34DCF"/>
    <w:rsid w:val="00D35498"/>
    <w:rsid w:val="00D358AD"/>
    <w:rsid w:val="00D35A58"/>
    <w:rsid w:val="00D35B6C"/>
    <w:rsid w:val="00D35B9D"/>
    <w:rsid w:val="00D35FEB"/>
    <w:rsid w:val="00D36B11"/>
    <w:rsid w:val="00D36B40"/>
    <w:rsid w:val="00D36B48"/>
    <w:rsid w:val="00D36D77"/>
    <w:rsid w:val="00D37187"/>
    <w:rsid w:val="00D37247"/>
    <w:rsid w:val="00D37550"/>
    <w:rsid w:val="00D37BC8"/>
    <w:rsid w:val="00D37F29"/>
    <w:rsid w:val="00D401E7"/>
    <w:rsid w:val="00D40725"/>
    <w:rsid w:val="00D40A17"/>
    <w:rsid w:val="00D40B2B"/>
    <w:rsid w:val="00D40B4C"/>
    <w:rsid w:val="00D4161A"/>
    <w:rsid w:val="00D41935"/>
    <w:rsid w:val="00D41C4A"/>
    <w:rsid w:val="00D41CB3"/>
    <w:rsid w:val="00D41FEC"/>
    <w:rsid w:val="00D4247A"/>
    <w:rsid w:val="00D426F3"/>
    <w:rsid w:val="00D427AB"/>
    <w:rsid w:val="00D42B33"/>
    <w:rsid w:val="00D42B54"/>
    <w:rsid w:val="00D43416"/>
    <w:rsid w:val="00D44070"/>
    <w:rsid w:val="00D44657"/>
    <w:rsid w:val="00D44869"/>
    <w:rsid w:val="00D44A71"/>
    <w:rsid w:val="00D44C32"/>
    <w:rsid w:val="00D44CB8"/>
    <w:rsid w:val="00D44D19"/>
    <w:rsid w:val="00D44E7B"/>
    <w:rsid w:val="00D44EA2"/>
    <w:rsid w:val="00D45058"/>
    <w:rsid w:val="00D4564F"/>
    <w:rsid w:val="00D4589E"/>
    <w:rsid w:val="00D45963"/>
    <w:rsid w:val="00D45C1A"/>
    <w:rsid w:val="00D464C7"/>
    <w:rsid w:val="00D465C1"/>
    <w:rsid w:val="00D46678"/>
    <w:rsid w:val="00D466B7"/>
    <w:rsid w:val="00D46A01"/>
    <w:rsid w:val="00D46C0B"/>
    <w:rsid w:val="00D47426"/>
    <w:rsid w:val="00D47804"/>
    <w:rsid w:val="00D47903"/>
    <w:rsid w:val="00D4791F"/>
    <w:rsid w:val="00D47CF0"/>
    <w:rsid w:val="00D5037C"/>
    <w:rsid w:val="00D50BD1"/>
    <w:rsid w:val="00D50C51"/>
    <w:rsid w:val="00D50CA0"/>
    <w:rsid w:val="00D50CB0"/>
    <w:rsid w:val="00D50D9F"/>
    <w:rsid w:val="00D50F07"/>
    <w:rsid w:val="00D510F3"/>
    <w:rsid w:val="00D51983"/>
    <w:rsid w:val="00D519FC"/>
    <w:rsid w:val="00D51C39"/>
    <w:rsid w:val="00D522D0"/>
    <w:rsid w:val="00D52366"/>
    <w:rsid w:val="00D5264A"/>
    <w:rsid w:val="00D52B9A"/>
    <w:rsid w:val="00D530FF"/>
    <w:rsid w:val="00D532AE"/>
    <w:rsid w:val="00D533F7"/>
    <w:rsid w:val="00D5340D"/>
    <w:rsid w:val="00D53503"/>
    <w:rsid w:val="00D53662"/>
    <w:rsid w:val="00D53786"/>
    <w:rsid w:val="00D538A3"/>
    <w:rsid w:val="00D53BE7"/>
    <w:rsid w:val="00D53EBE"/>
    <w:rsid w:val="00D53F31"/>
    <w:rsid w:val="00D544BD"/>
    <w:rsid w:val="00D547C5"/>
    <w:rsid w:val="00D5537D"/>
    <w:rsid w:val="00D554C2"/>
    <w:rsid w:val="00D55687"/>
    <w:rsid w:val="00D55B3F"/>
    <w:rsid w:val="00D55CD4"/>
    <w:rsid w:val="00D55ECA"/>
    <w:rsid w:val="00D55F49"/>
    <w:rsid w:val="00D56060"/>
    <w:rsid w:val="00D569D5"/>
    <w:rsid w:val="00D56E33"/>
    <w:rsid w:val="00D56F3C"/>
    <w:rsid w:val="00D5700B"/>
    <w:rsid w:val="00D576C8"/>
    <w:rsid w:val="00D57C6C"/>
    <w:rsid w:val="00D6018C"/>
    <w:rsid w:val="00D60792"/>
    <w:rsid w:val="00D610E9"/>
    <w:rsid w:val="00D61227"/>
    <w:rsid w:val="00D622E4"/>
    <w:rsid w:val="00D62BE1"/>
    <w:rsid w:val="00D62E41"/>
    <w:rsid w:val="00D63011"/>
    <w:rsid w:val="00D63276"/>
    <w:rsid w:val="00D63389"/>
    <w:rsid w:val="00D635A8"/>
    <w:rsid w:val="00D63C58"/>
    <w:rsid w:val="00D64256"/>
    <w:rsid w:val="00D646E6"/>
    <w:rsid w:val="00D64ADC"/>
    <w:rsid w:val="00D64CB5"/>
    <w:rsid w:val="00D64E03"/>
    <w:rsid w:val="00D64FD1"/>
    <w:rsid w:val="00D65489"/>
    <w:rsid w:val="00D65BB5"/>
    <w:rsid w:val="00D6672E"/>
    <w:rsid w:val="00D668A5"/>
    <w:rsid w:val="00D668C4"/>
    <w:rsid w:val="00D66981"/>
    <w:rsid w:val="00D669C8"/>
    <w:rsid w:val="00D670A8"/>
    <w:rsid w:val="00D670D5"/>
    <w:rsid w:val="00D67451"/>
    <w:rsid w:val="00D677C1"/>
    <w:rsid w:val="00D67E0A"/>
    <w:rsid w:val="00D6B40D"/>
    <w:rsid w:val="00D701E0"/>
    <w:rsid w:val="00D7082D"/>
    <w:rsid w:val="00D70922"/>
    <w:rsid w:val="00D70D27"/>
    <w:rsid w:val="00D71213"/>
    <w:rsid w:val="00D712E8"/>
    <w:rsid w:val="00D71523"/>
    <w:rsid w:val="00D71A28"/>
    <w:rsid w:val="00D71C6E"/>
    <w:rsid w:val="00D729BF"/>
    <w:rsid w:val="00D72EB6"/>
    <w:rsid w:val="00D73837"/>
    <w:rsid w:val="00D73A74"/>
    <w:rsid w:val="00D73ABF"/>
    <w:rsid w:val="00D73C63"/>
    <w:rsid w:val="00D74068"/>
    <w:rsid w:val="00D7460B"/>
    <w:rsid w:val="00D74924"/>
    <w:rsid w:val="00D74981"/>
    <w:rsid w:val="00D74BDD"/>
    <w:rsid w:val="00D75149"/>
    <w:rsid w:val="00D75202"/>
    <w:rsid w:val="00D75808"/>
    <w:rsid w:val="00D75A65"/>
    <w:rsid w:val="00D75F5C"/>
    <w:rsid w:val="00D760F1"/>
    <w:rsid w:val="00D762F6"/>
    <w:rsid w:val="00D763D3"/>
    <w:rsid w:val="00D76669"/>
    <w:rsid w:val="00D7686D"/>
    <w:rsid w:val="00D76E3F"/>
    <w:rsid w:val="00D7726E"/>
    <w:rsid w:val="00D7779B"/>
    <w:rsid w:val="00D778EE"/>
    <w:rsid w:val="00D77D67"/>
    <w:rsid w:val="00D77E5E"/>
    <w:rsid w:val="00D80054"/>
    <w:rsid w:val="00D8006D"/>
    <w:rsid w:val="00D8016C"/>
    <w:rsid w:val="00D807B2"/>
    <w:rsid w:val="00D8140D"/>
    <w:rsid w:val="00D817D6"/>
    <w:rsid w:val="00D81F5C"/>
    <w:rsid w:val="00D82769"/>
    <w:rsid w:val="00D832DA"/>
    <w:rsid w:val="00D8348F"/>
    <w:rsid w:val="00D83AE5"/>
    <w:rsid w:val="00D83CE2"/>
    <w:rsid w:val="00D83DAB"/>
    <w:rsid w:val="00D841EC"/>
    <w:rsid w:val="00D8434F"/>
    <w:rsid w:val="00D8468D"/>
    <w:rsid w:val="00D84BC2"/>
    <w:rsid w:val="00D85211"/>
    <w:rsid w:val="00D85256"/>
    <w:rsid w:val="00D8566B"/>
    <w:rsid w:val="00D85E29"/>
    <w:rsid w:val="00D85F2A"/>
    <w:rsid w:val="00D86451"/>
    <w:rsid w:val="00D864A1"/>
    <w:rsid w:val="00D867C7"/>
    <w:rsid w:val="00D86F9D"/>
    <w:rsid w:val="00D8743C"/>
    <w:rsid w:val="00D87BAC"/>
    <w:rsid w:val="00D88309"/>
    <w:rsid w:val="00D9048A"/>
    <w:rsid w:val="00D90760"/>
    <w:rsid w:val="00D908E3"/>
    <w:rsid w:val="00D90AE6"/>
    <w:rsid w:val="00D90D19"/>
    <w:rsid w:val="00D90E71"/>
    <w:rsid w:val="00D90FD4"/>
    <w:rsid w:val="00D90FF0"/>
    <w:rsid w:val="00D9110F"/>
    <w:rsid w:val="00D9154D"/>
    <w:rsid w:val="00D91802"/>
    <w:rsid w:val="00D9182D"/>
    <w:rsid w:val="00D91E1C"/>
    <w:rsid w:val="00D9203C"/>
    <w:rsid w:val="00D92398"/>
    <w:rsid w:val="00D92948"/>
    <w:rsid w:val="00D92E51"/>
    <w:rsid w:val="00D9317A"/>
    <w:rsid w:val="00D932A3"/>
    <w:rsid w:val="00D93934"/>
    <w:rsid w:val="00D93B82"/>
    <w:rsid w:val="00D93FD5"/>
    <w:rsid w:val="00D93FFF"/>
    <w:rsid w:val="00D942A3"/>
    <w:rsid w:val="00D9472E"/>
    <w:rsid w:val="00D94B61"/>
    <w:rsid w:val="00D94E14"/>
    <w:rsid w:val="00D94E38"/>
    <w:rsid w:val="00D954C2"/>
    <w:rsid w:val="00D95650"/>
    <w:rsid w:val="00D95FD7"/>
    <w:rsid w:val="00D96368"/>
    <w:rsid w:val="00D96804"/>
    <w:rsid w:val="00D96824"/>
    <w:rsid w:val="00D97049"/>
    <w:rsid w:val="00D97A4B"/>
    <w:rsid w:val="00D97CB3"/>
    <w:rsid w:val="00D97CDC"/>
    <w:rsid w:val="00DA0421"/>
    <w:rsid w:val="00DA05F6"/>
    <w:rsid w:val="00DA07AD"/>
    <w:rsid w:val="00DA0A1C"/>
    <w:rsid w:val="00DA0A9E"/>
    <w:rsid w:val="00DA1EEF"/>
    <w:rsid w:val="00DA20CD"/>
    <w:rsid w:val="00DA2362"/>
    <w:rsid w:val="00DA2A63"/>
    <w:rsid w:val="00DA2C2C"/>
    <w:rsid w:val="00DA31A0"/>
    <w:rsid w:val="00DA31CA"/>
    <w:rsid w:val="00DA34F2"/>
    <w:rsid w:val="00DA35D8"/>
    <w:rsid w:val="00DA3691"/>
    <w:rsid w:val="00DA3853"/>
    <w:rsid w:val="00DA40DB"/>
    <w:rsid w:val="00DA4707"/>
    <w:rsid w:val="00DA4BCD"/>
    <w:rsid w:val="00DA4E14"/>
    <w:rsid w:val="00DA54B8"/>
    <w:rsid w:val="00DA5762"/>
    <w:rsid w:val="00DA5820"/>
    <w:rsid w:val="00DA5951"/>
    <w:rsid w:val="00DA5AFB"/>
    <w:rsid w:val="00DA5DF8"/>
    <w:rsid w:val="00DA5E6B"/>
    <w:rsid w:val="00DA62A6"/>
    <w:rsid w:val="00DA6350"/>
    <w:rsid w:val="00DA63DF"/>
    <w:rsid w:val="00DA6605"/>
    <w:rsid w:val="00DA6B7F"/>
    <w:rsid w:val="00DA6C93"/>
    <w:rsid w:val="00DA6CDD"/>
    <w:rsid w:val="00DA731C"/>
    <w:rsid w:val="00DA78CC"/>
    <w:rsid w:val="00DA7B6A"/>
    <w:rsid w:val="00DA7BDA"/>
    <w:rsid w:val="00DA7F42"/>
    <w:rsid w:val="00DB005D"/>
    <w:rsid w:val="00DB03F4"/>
    <w:rsid w:val="00DB043B"/>
    <w:rsid w:val="00DB0765"/>
    <w:rsid w:val="00DB0846"/>
    <w:rsid w:val="00DB12A3"/>
    <w:rsid w:val="00DB12CD"/>
    <w:rsid w:val="00DB1340"/>
    <w:rsid w:val="00DB1AE2"/>
    <w:rsid w:val="00DB1BCA"/>
    <w:rsid w:val="00DB1C59"/>
    <w:rsid w:val="00DB1C92"/>
    <w:rsid w:val="00DB22DE"/>
    <w:rsid w:val="00DB2B7B"/>
    <w:rsid w:val="00DB3ABD"/>
    <w:rsid w:val="00DB3C47"/>
    <w:rsid w:val="00DB3EFB"/>
    <w:rsid w:val="00DB3F9D"/>
    <w:rsid w:val="00DB409D"/>
    <w:rsid w:val="00DB46F6"/>
    <w:rsid w:val="00DB4BD9"/>
    <w:rsid w:val="00DB4DF0"/>
    <w:rsid w:val="00DB53CD"/>
    <w:rsid w:val="00DB549B"/>
    <w:rsid w:val="00DB58D5"/>
    <w:rsid w:val="00DB5AFB"/>
    <w:rsid w:val="00DB5EA6"/>
    <w:rsid w:val="00DB6DC4"/>
    <w:rsid w:val="00DB6FBC"/>
    <w:rsid w:val="00DB73C1"/>
    <w:rsid w:val="00DB73D9"/>
    <w:rsid w:val="00DB780F"/>
    <w:rsid w:val="00DB7B93"/>
    <w:rsid w:val="00DB7D8E"/>
    <w:rsid w:val="00DB7E0C"/>
    <w:rsid w:val="00DC0058"/>
    <w:rsid w:val="00DC069C"/>
    <w:rsid w:val="00DC07FC"/>
    <w:rsid w:val="00DC1418"/>
    <w:rsid w:val="00DC1555"/>
    <w:rsid w:val="00DC1636"/>
    <w:rsid w:val="00DC17AE"/>
    <w:rsid w:val="00DC1BCE"/>
    <w:rsid w:val="00DC1D16"/>
    <w:rsid w:val="00DC1EA2"/>
    <w:rsid w:val="00DC20CF"/>
    <w:rsid w:val="00DC21FA"/>
    <w:rsid w:val="00DC2416"/>
    <w:rsid w:val="00DC24B7"/>
    <w:rsid w:val="00DC262E"/>
    <w:rsid w:val="00DC2680"/>
    <w:rsid w:val="00DC2757"/>
    <w:rsid w:val="00DC2918"/>
    <w:rsid w:val="00DC2A2A"/>
    <w:rsid w:val="00DC2D94"/>
    <w:rsid w:val="00DC2FDA"/>
    <w:rsid w:val="00DC3092"/>
    <w:rsid w:val="00DC3482"/>
    <w:rsid w:val="00DC3BC1"/>
    <w:rsid w:val="00DC3CC0"/>
    <w:rsid w:val="00DC4742"/>
    <w:rsid w:val="00DC4C5A"/>
    <w:rsid w:val="00DC5227"/>
    <w:rsid w:val="00DC56F6"/>
    <w:rsid w:val="00DC58D4"/>
    <w:rsid w:val="00DC5AEA"/>
    <w:rsid w:val="00DC5DE7"/>
    <w:rsid w:val="00DC61AF"/>
    <w:rsid w:val="00DC6462"/>
    <w:rsid w:val="00DC649C"/>
    <w:rsid w:val="00DC6558"/>
    <w:rsid w:val="00DC6929"/>
    <w:rsid w:val="00DC692D"/>
    <w:rsid w:val="00DC6A49"/>
    <w:rsid w:val="00DC6B5F"/>
    <w:rsid w:val="00DC6BBC"/>
    <w:rsid w:val="00DC6F45"/>
    <w:rsid w:val="00DC73E9"/>
    <w:rsid w:val="00DC7400"/>
    <w:rsid w:val="00DC746E"/>
    <w:rsid w:val="00DC74AE"/>
    <w:rsid w:val="00DC7C7F"/>
    <w:rsid w:val="00DD08E6"/>
    <w:rsid w:val="00DD0A21"/>
    <w:rsid w:val="00DD0A59"/>
    <w:rsid w:val="00DD0BCE"/>
    <w:rsid w:val="00DD1B06"/>
    <w:rsid w:val="00DD1FAD"/>
    <w:rsid w:val="00DD22CD"/>
    <w:rsid w:val="00DD23C1"/>
    <w:rsid w:val="00DD2543"/>
    <w:rsid w:val="00DD25FA"/>
    <w:rsid w:val="00DD2A45"/>
    <w:rsid w:val="00DD3337"/>
    <w:rsid w:val="00DD3674"/>
    <w:rsid w:val="00DD36AC"/>
    <w:rsid w:val="00DD396C"/>
    <w:rsid w:val="00DD3AE3"/>
    <w:rsid w:val="00DD3B81"/>
    <w:rsid w:val="00DD3D94"/>
    <w:rsid w:val="00DD3F8F"/>
    <w:rsid w:val="00DD4232"/>
    <w:rsid w:val="00DD4A3F"/>
    <w:rsid w:val="00DD4BEE"/>
    <w:rsid w:val="00DD4FD8"/>
    <w:rsid w:val="00DD60C7"/>
    <w:rsid w:val="00DD67E3"/>
    <w:rsid w:val="00DD6A6F"/>
    <w:rsid w:val="00DD6F01"/>
    <w:rsid w:val="00DD73E8"/>
    <w:rsid w:val="00DD78EB"/>
    <w:rsid w:val="00DD7DE3"/>
    <w:rsid w:val="00DD7F23"/>
    <w:rsid w:val="00DD7F4A"/>
    <w:rsid w:val="00DE00B7"/>
    <w:rsid w:val="00DE1510"/>
    <w:rsid w:val="00DE172D"/>
    <w:rsid w:val="00DE184E"/>
    <w:rsid w:val="00DE1FAA"/>
    <w:rsid w:val="00DE23E3"/>
    <w:rsid w:val="00DE2F0B"/>
    <w:rsid w:val="00DE354A"/>
    <w:rsid w:val="00DE374B"/>
    <w:rsid w:val="00DE3B5D"/>
    <w:rsid w:val="00DE3B9B"/>
    <w:rsid w:val="00DE3BB2"/>
    <w:rsid w:val="00DE4188"/>
    <w:rsid w:val="00DE45CB"/>
    <w:rsid w:val="00DE462D"/>
    <w:rsid w:val="00DE4A14"/>
    <w:rsid w:val="00DE4F15"/>
    <w:rsid w:val="00DE4F52"/>
    <w:rsid w:val="00DE4F67"/>
    <w:rsid w:val="00DE5732"/>
    <w:rsid w:val="00DE5827"/>
    <w:rsid w:val="00DE60A8"/>
    <w:rsid w:val="00DE61E0"/>
    <w:rsid w:val="00DE67C0"/>
    <w:rsid w:val="00DE6850"/>
    <w:rsid w:val="00DE6BED"/>
    <w:rsid w:val="00DE6FA2"/>
    <w:rsid w:val="00DE703D"/>
    <w:rsid w:val="00DE711E"/>
    <w:rsid w:val="00DE7709"/>
    <w:rsid w:val="00DE781B"/>
    <w:rsid w:val="00DF026E"/>
    <w:rsid w:val="00DF042A"/>
    <w:rsid w:val="00DF08E9"/>
    <w:rsid w:val="00DF0952"/>
    <w:rsid w:val="00DF0975"/>
    <w:rsid w:val="00DF1028"/>
    <w:rsid w:val="00DF158C"/>
    <w:rsid w:val="00DF16B0"/>
    <w:rsid w:val="00DF17C4"/>
    <w:rsid w:val="00DF1A92"/>
    <w:rsid w:val="00DF1D4C"/>
    <w:rsid w:val="00DF20A7"/>
    <w:rsid w:val="00DF21F5"/>
    <w:rsid w:val="00DF25E7"/>
    <w:rsid w:val="00DF2B91"/>
    <w:rsid w:val="00DF2C8B"/>
    <w:rsid w:val="00DF2C8E"/>
    <w:rsid w:val="00DF2F28"/>
    <w:rsid w:val="00DF35A5"/>
    <w:rsid w:val="00DF36E0"/>
    <w:rsid w:val="00DF3AFF"/>
    <w:rsid w:val="00DF4925"/>
    <w:rsid w:val="00DF49A0"/>
    <w:rsid w:val="00DF4EA2"/>
    <w:rsid w:val="00DF4FB1"/>
    <w:rsid w:val="00DF600A"/>
    <w:rsid w:val="00DF61CA"/>
    <w:rsid w:val="00DF6671"/>
    <w:rsid w:val="00DF6ADE"/>
    <w:rsid w:val="00DF6D22"/>
    <w:rsid w:val="00DF717F"/>
    <w:rsid w:val="00DF7A1E"/>
    <w:rsid w:val="00DF7A45"/>
    <w:rsid w:val="00DF7C46"/>
    <w:rsid w:val="00DF7F96"/>
    <w:rsid w:val="00E00C7E"/>
    <w:rsid w:val="00E00DC8"/>
    <w:rsid w:val="00E01445"/>
    <w:rsid w:val="00E015BC"/>
    <w:rsid w:val="00E01926"/>
    <w:rsid w:val="00E02575"/>
    <w:rsid w:val="00E02B26"/>
    <w:rsid w:val="00E02DC9"/>
    <w:rsid w:val="00E02F2C"/>
    <w:rsid w:val="00E0306C"/>
    <w:rsid w:val="00E03279"/>
    <w:rsid w:val="00E03793"/>
    <w:rsid w:val="00E03FF6"/>
    <w:rsid w:val="00E04251"/>
    <w:rsid w:val="00E0428C"/>
    <w:rsid w:val="00E043CD"/>
    <w:rsid w:val="00E0452A"/>
    <w:rsid w:val="00E046D1"/>
    <w:rsid w:val="00E0471D"/>
    <w:rsid w:val="00E04AC4"/>
    <w:rsid w:val="00E04B12"/>
    <w:rsid w:val="00E05081"/>
    <w:rsid w:val="00E052BA"/>
    <w:rsid w:val="00E052DC"/>
    <w:rsid w:val="00E05528"/>
    <w:rsid w:val="00E05B31"/>
    <w:rsid w:val="00E05EA1"/>
    <w:rsid w:val="00E05F84"/>
    <w:rsid w:val="00E05FD0"/>
    <w:rsid w:val="00E062E5"/>
    <w:rsid w:val="00E065EE"/>
    <w:rsid w:val="00E065FF"/>
    <w:rsid w:val="00E06828"/>
    <w:rsid w:val="00E06B66"/>
    <w:rsid w:val="00E06E86"/>
    <w:rsid w:val="00E07005"/>
    <w:rsid w:val="00E07341"/>
    <w:rsid w:val="00E074CD"/>
    <w:rsid w:val="00E075AB"/>
    <w:rsid w:val="00E07A12"/>
    <w:rsid w:val="00E07DEC"/>
    <w:rsid w:val="00E07E3B"/>
    <w:rsid w:val="00E101AD"/>
    <w:rsid w:val="00E105BD"/>
    <w:rsid w:val="00E11668"/>
    <w:rsid w:val="00E11853"/>
    <w:rsid w:val="00E11907"/>
    <w:rsid w:val="00E11C95"/>
    <w:rsid w:val="00E11F46"/>
    <w:rsid w:val="00E123E8"/>
    <w:rsid w:val="00E128B4"/>
    <w:rsid w:val="00E12949"/>
    <w:rsid w:val="00E12C16"/>
    <w:rsid w:val="00E12DBF"/>
    <w:rsid w:val="00E12F95"/>
    <w:rsid w:val="00E132BE"/>
    <w:rsid w:val="00E1375E"/>
    <w:rsid w:val="00E13838"/>
    <w:rsid w:val="00E13A08"/>
    <w:rsid w:val="00E13B82"/>
    <w:rsid w:val="00E141A7"/>
    <w:rsid w:val="00E14711"/>
    <w:rsid w:val="00E1476C"/>
    <w:rsid w:val="00E1491D"/>
    <w:rsid w:val="00E14AE3"/>
    <w:rsid w:val="00E14F29"/>
    <w:rsid w:val="00E14FE6"/>
    <w:rsid w:val="00E15107"/>
    <w:rsid w:val="00E15525"/>
    <w:rsid w:val="00E15E6D"/>
    <w:rsid w:val="00E1603F"/>
    <w:rsid w:val="00E16A24"/>
    <w:rsid w:val="00E16F8C"/>
    <w:rsid w:val="00E17122"/>
    <w:rsid w:val="00E173AA"/>
    <w:rsid w:val="00E17FC9"/>
    <w:rsid w:val="00E20182"/>
    <w:rsid w:val="00E2049B"/>
    <w:rsid w:val="00E20559"/>
    <w:rsid w:val="00E20640"/>
    <w:rsid w:val="00E2113B"/>
    <w:rsid w:val="00E211D4"/>
    <w:rsid w:val="00E21677"/>
    <w:rsid w:val="00E21A4C"/>
    <w:rsid w:val="00E21AD4"/>
    <w:rsid w:val="00E21F64"/>
    <w:rsid w:val="00E22935"/>
    <w:rsid w:val="00E23341"/>
    <w:rsid w:val="00E23756"/>
    <w:rsid w:val="00E241FC"/>
    <w:rsid w:val="00E244F4"/>
    <w:rsid w:val="00E2458C"/>
    <w:rsid w:val="00E2503D"/>
    <w:rsid w:val="00E2554D"/>
    <w:rsid w:val="00E256D8"/>
    <w:rsid w:val="00E25D5D"/>
    <w:rsid w:val="00E26220"/>
    <w:rsid w:val="00E26477"/>
    <w:rsid w:val="00E268D9"/>
    <w:rsid w:val="00E272CB"/>
    <w:rsid w:val="00E2745A"/>
    <w:rsid w:val="00E27739"/>
    <w:rsid w:val="00E27866"/>
    <w:rsid w:val="00E27FBE"/>
    <w:rsid w:val="00E30059"/>
    <w:rsid w:val="00E307C0"/>
    <w:rsid w:val="00E30865"/>
    <w:rsid w:val="00E30A60"/>
    <w:rsid w:val="00E30AC8"/>
    <w:rsid w:val="00E30AE9"/>
    <w:rsid w:val="00E30B48"/>
    <w:rsid w:val="00E30C9A"/>
    <w:rsid w:val="00E31184"/>
    <w:rsid w:val="00E31301"/>
    <w:rsid w:val="00E31BCE"/>
    <w:rsid w:val="00E31C40"/>
    <w:rsid w:val="00E31F97"/>
    <w:rsid w:val="00E3231C"/>
    <w:rsid w:val="00E325B0"/>
    <w:rsid w:val="00E32714"/>
    <w:rsid w:val="00E3295E"/>
    <w:rsid w:val="00E32988"/>
    <w:rsid w:val="00E33733"/>
    <w:rsid w:val="00E33899"/>
    <w:rsid w:val="00E338CD"/>
    <w:rsid w:val="00E33B55"/>
    <w:rsid w:val="00E33C82"/>
    <w:rsid w:val="00E340B9"/>
    <w:rsid w:val="00E34743"/>
    <w:rsid w:val="00E34B16"/>
    <w:rsid w:val="00E35029"/>
    <w:rsid w:val="00E3504E"/>
    <w:rsid w:val="00E3530D"/>
    <w:rsid w:val="00E35447"/>
    <w:rsid w:val="00E356D3"/>
    <w:rsid w:val="00E35899"/>
    <w:rsid w:val="00E360CD"/>
    <w:rsid w:val="00E36638"/>
    <w:rsid w:val="00E36716"/>
    <w:rsid w:val="00E367EC"/>
    <w:rsid w:val="00E3698E"/>
    <w:rsid w:val="00E36C7B"/>
    <w:rsid w:val="00E3739B"/>
    <w:rsid w:val="00E376A5"/>
    <w:rsid w:val="00E37960"/>
    <w:rsid w:val="00E37AC5"/>
    <w:rsid w:val="00E37C63"/>
    <w:rsid w:val="00E37D96"/>
    <w:rsid w:val="00E37FA0"/>
    <w:rsid w:val="00E40051"/>
    <w:rsid w:val="00E40535"/>
    <w:rsid w:val="00E40921"/>
    <w:rsid w:val="00E40E52"/>
    <w:rsid w:val="00E413A8"/>
    <w:rsid w:val="00E41741"/>
    <w:rsid w:val="00E41797"/>
    <w:rsid w:val="00E417F9"/>
    <w:rsid w:val="00E41936"/>
    <w:rsid w:val="00E4198A"/>
    <w:rsid w:val="00E41D0F"/>
    <w:rsid w:val="00E421DC"/>
    <w:rsid w:val="00E42A0E"/>
    <w:rsid w:val="00E42D91"/>
    <w:rsid w:val="00E436C0"/>
    <w:rsid w:val="00E4395B"/>
    <w:rsid w:val="00E44744"/>
    <w:rsid w:val="00E44857"/>
    <w:rsid w:val="00E44C12"/>
    <w:rsid w:val="00E450A5"/>
    <w:rsid w:val="00E45B8F"/>
    <w:rsid w:val="00E45BCF"/>
    <w:rsid w:val="00E45C13"/>
    <w:rsid w:val="00E45C99"/>
    <w:rsid w:val="00E45F46"/>
    <w:rsid w:val="00E460F5"/>
    <w:rsid w:val="00E46972"/>
    <w:rsid w:val="00E46EE6"/>
    <w:rsid w:val="00E47067"/>
    <w:rsid w:val="00E4707D"/>
    <w:rsid w:val="00E474D3"/>
    <w:rsid w:val="00E47D1E"/>
    <w:rsid w:val="00E503D3"/>
    <w:rsid w:val="00E506D9"/>
    <w:rsid w:val="00E50DE5"/>
    <w:rsid w:val="00E50F53"/>
    <w:rsid w:val="00E51127"/>
    <w:rsid w:val="00E519C4"/>
    <w:rsid w:val="00E51E76"/>
    <w:rsid w:val="00E528B8"/>
    <w:rsid w:val="00E52BBD"/>
    <w:rsid w:val="00E52FE4"/>
    <w:rsid w:val="00E531BD"/>
    <w:rsid w:val="00E537C7"/>
    <w:rsid w:val="00E5390A"/>
    <w:rsid w:val="00E53DBD"/>
    <w:rsid w:val="00E5402B"/>
    <w:rsid w:val="00E54247"/>
    <w:rsid w:val="00E5437D"/>
    <w:rsid w:val="00E54611"/>
    <w:rsid w:val="00E547BA"/>
    <w:rsid w:val="00E548FD"/>
    <w:rsid w:val="00E54AFB"/>
    <w:rsid w:val="00E54B67"/>
    <w:rsid w:val="00E54C86"/>
    <w:rsid w:val="00E5586E"/>
    <w:rsid w:val="00E55A20"/>
    <w:rsid w:val="00E55BC2"/>
    <w:rsid w:val="00E55CBE"/>
    <w:rsid w:val="00E55DFD"/>
    <w:rsid w:val="00E55DFE"/>
    <w:rsid w:val="00E55F68"/>
    <w:rsid w:val="00E56156"/>
    <w:rsid w:val="00E56DBF"/>
    <w:rsid w:val="00E56F08"/>
    <w:rsid w:val="00E576AA"/>
    <w:rsid w:val="00E5783B"/>
    <w:rsid w:val="00E57BCE"/>
    <w:rsid w:val="00E57CF4"/>
    <w:rsid w:val="00E57F82"/>
    <w:rsid w:val="00E57FB3"/>
    <w:rsid w:val="00E602B9"/>
    <w:rsid w:val="00E60655"/>
    <w:rsid w:val="00E6083C"/>
    <w:rsid w:val="00E608EF"/>
    <w:rsid w:val="00E60960"/>
    <w:rsid w:val="00E60B80"/>
    <w:rsid w:val="00E610D9"/>
    <w:rsid w:val="00E61126"/>
    <w:rsid w:val="00E616AB"/>
    <w:rsid w:val="00E6177C"/>
    <w:rsid w:val="00E61A26"/>
    <w:rsid w:val="00E61D7B"/>
    <w:rsid w:val="00E624C2"/>
    <w:rsid w:val="00E627B0"/>
    <w:rsid w:val="00E62A15"/>
    <w:rsid w:val="00E62EC2"/>
    <w:rsid w:val="00E62F3C"/>
    <w:rsid w:val="00E62FB1"/>
    <w:rsid w:val="00E637DF"/>
    <w:rsid w:val="00E6381E"/>
    <w:rsid w:val="00E638D0"/>
    <w:rsid w:val="00E63CE1"/>
    <w:rsid w:val="00E63EBC"/>
    <w:rsid w:val="00E6433E"/>
    <w:rsid w:val="00E64B28"/>
    <w:rsid w:val="00E64C69"/>
    <w:rsid w:val="00E64DFC"/>
    <w:rsid w:val="00E64E37"/>
    <w:rsid w:val="00E64E89"/>
    <w:rsid w:val="00E65325"/>
    <w:rsid w:val="00E6542A"/>
    <w:rsid w:val="00E65B06"/>
    <w:rsid w:val="00E65B69"/>
    <w:rsid w:val="00E65DD0"/>
    <w:rsid w:val="00E66045"/>
    <w:rsid w:val="00E6619F"/>
    <w:rsid w:val="00E66A3A"/>
    <w:rsid w:val="00E66B58"/>
    <w:rsid w:val="00E66C1D"/>
    <w:rsid w:val="00E66D31"/>
    <w:rsid w:val="00E66D4C"/>
    <w:rsid w:val="00E67A06"/>
    <w:rsid w:val="00E67C75"/>
    <w:rsid w:val="00E70175"/>
    <w:rsid w:val="00E70348"/>
    <w:rsid w:val="00E705AE"/>
    <w:rsid w:val="00E7136C"/>
    <w:rsid w:val="00E7187F"/>
    <w:rsid w:val="00E71F05"/>
    <w:rsid w:val="00E72254"/>
    <w:rsid w:val="00E72325"/>
    <w:rsid w:val="00E72619"/>
    <w:rsid w:val="00E73063"/>
    <w:rsid w:val="00E73160"/>
    <w:rsid w:val="00E73511"/>
    <w:rsid w:val="00E7353D"/>
    <w:rsid w:val="00E73657"/>
    <w:rsid w:val="00E740C4"/>
    <w:rsid w:val="00E748E3"/>
    <w:rsid w:val="00E7498E"/>
    <w:rsid w:val="00E74A67"/>
    <w:rsid w:val="00E7558C"/>
    <w:rsid w:val="00E7644A"/>
    <w:rsid w:val="00E76655"/>
    <w:rsid w:val="00E76B59"/>
    <w:rsid w:val="00E771C6"/>
    <w:rsid w:val="00E77953"/>
    <w:rsid w:val="00E77C4A"/>
    <w:rsid w:val="00E8103C"/>
    <w:rsid w:val="00E8144B"/>
    <w:rsid w:val="00E8145F"/>
    <w:rsid w:val="00E81661"/>
    <w:rsid w:val="00E817F0"/>
    <w:rsid w:val="00E82205"/>
    <w:rsid w:val="00E828EA"/>
    <w:rsid w:val="00E82F00"/>
    <w:rsid w:val="00E82F4E"/>
    <w:rsid w:val="00E83698"/>
    <w:rsid w:val="00E839A7"/>
    <w:rsid w:val="00E83A6B"/>
    <w:rsid w:val="00E83ABF"/>
    <w:rsid w:val="00E83C0F"/>
    <w:rsid w:val="00E83EA7"/>
    <w:rsid w:val="00E84007"/>
    <w:rsid w:val="00E846F4"/>
    <w:rsid w:val="00E850B6"/>
    <w:rsid w:val="00E853F3"/>
    <w:rsid w:val="00E855D7"/>
    <w:rsid w:val="00E85C5C"/>
    <w:rsid w:val="00E8670E"/>
    <w:rsid w:val="00E86EAF"/>
    <w:rsid w:val="00E87213"/>
    <w:rsid w:val="00E872D4"/>
    <w:rsid w:val="00E874FE"/>
    <w:rsid w:val="00E9033B"/>
    <w:rsid w:val="00E90779"/>
    <w:rsid w:val="00E90DFA"/>
    <w:rsid w:val="00E90E01"/>
    <w:rsid w:val="00E91034"/>
    <w:rsid w:val="00E91426"/>
    <w:rsid w:val="00E9167C"/>
    <w:rsid w:val="00E916E9"/>
    <w:rsid w:val="00E91B51"/>
    <w:rsid w:val="00E92370"/>
    <w:rsid w:val="00E92F41"/>
    <w:rsid w:val="00E93225"/>
    <w:rsid w:val="00E93229"/>
    <w:rsid w:val="00E93632"/>
    <w:rsid w:val="00E93C34"/>
    <w:rsid w:val="00E93DE6"/>
    <w:rsid w:val="00E947D3"/>
    <w:rsid w:val="00E9480D"/>
    <w:rsid w:val="00E95881"/>
    <w:rsid w:val="00E95B56"/>
    <w:rsid w:val="00E95C96"/>
    <w:rsid w:val="00E95D39"/>
    <w:rsid w:val="00E96066"/>
    <w:rsid w:val="00E9625E"/>
    <w:rsid w:val="00E9643F"/>
    <w:rsid w:val="00E9679A"/>
    <w:rsid w:val="00E96804"/>
    <w:rsid w:val="00E9695E"/>
    <w:rsid w:val="00E9698E"/>
    <w:rsid w:val="00E96D11"/>
    <w:rsid w:val="00E972EB"/>
    <w:rsid w:val="00E976A3"/>
    <w:rsid w:val="00E9770F"/>
    <w:rsid w:val="00E97BD4"/>
    <w:rsid w:val="00E97C7C"/>
    <w:rsid w:val="00E97DBE"/>
    <w:rsid w:val="00EA0866"/>
    <w:rsid w:val="00EA099B"/>
    <w:rsid w:val="00EA0B01"/>
    <w:rsid w:val="00EA0C31"/>
    <w:rsid w:val="00EA0C51"/>
    <w:rsid w:val="00EA10AF"/>
    <w:rsid w:val="00EA13DA"/>
    <w:rsid w:val="00EA1586"/>
    <w:rsid w:val="00EA1BFF"/>
    <w:rsid w:val="00EA1C11"/>
    <w:rsid w:val="00EA2185"/>
    <w:rsid w:val="00EA2C53"/>
    <w:rsid w:val="00EA2DBB"/>
    <w:rsid w:val="00EA2FE9"/>
    <w:rsid w:val="00EA32C6"/>
    <w:rsid w:val="00EA3600"/>
    <w:rsid w:val="00EA39E9"/>
    <w:rsid w:val="00EA42D5"/>
    <w:rsid w:val="00EA432E"/>
    <w:rsid w:val="00EA43B6"/>
    <w:rsid w:val="00EA43CC"/>
    <w:rsid w:val="00EA43F0"/>
    <w:rsid w:val="00EA449B"/>
    <w:rsid w:val="00EA44DD"/>
    <w:rsid w:val="00EA45C1"/>
    <w:rsid w:val="00EA45C7"/>
    <w:rsid w:val="00EA481F"/>
    <w:rsid w:val="00EA4962"/>
    <w:rsid w:val="00EA4F82"/>
    <w:rsid w:val="00EA5567"/>
    <w:rsid w:val="00EA56B1"/>
    <w:rsid w:val="00EA56D3"/>
    <w:rsid w:val="00EA5CDA"/>
    <w:rsid w:val="00EA619B"/>
    <w:rsid w:val="00EA639E"/>
    <w:rsid w:val="00EA65B3"/>
    <w:rsid w:val="00EA6A6A"/>
    <w:rsid w:val="00EA6ADC"/>
    <w:rsid w:val="00EA6E29"/>
    <w:rsid w:val="00EA6F24"/>
    <w:rsid w:val="00EA73DB"/>
    <w:rsid w:val="00EA772E"/>
    <w:rsid w:val="00EA78A5"/>
    <w:rsid w:val="00EB02AF"/>
    <w:rsid w:val="00EB042C"/>
    <w:rsid w:val="00EB047D"/>
    <w:rsid w:val="00EB050C"/>
    <w:rsid w:val="00EB069E"/>
    <w:rsid w:val="00EB07E7"/>
    <w:rsid w:val="00EB0A81"/>
    <w:rsid w:val="00EB0C4C"/>
    <w:rsid w:val="00EB1370"/>
    <w:rsid w:val="00EB1590"/>
    <w:rsid w:val="00EB17A3"/>
    <w:rsid w:val="00EB1C91"/>
    <w:rsid w:val="00EB223D"/>
    <w:rsid w:val="00EB238D"/>
    <w:rsid w:val="00EB2877"/>
    <w:rsid w:val="00EB2989"/>
    <w:rsid w:val="00EB2DDD"/>
    <w:rsid w:val="00EB2E38"/>
    <w:rsid w:val="00EB33CD"/>
    <w:rsid w:val="00EB356C"/>
    <w:rsid w:val="00EB356D"/>
    <w:rsid w:val="00EB368D"/>
    <w:rsid w:val="00EB36F0"/>
    <w:rsid w:val="00EB3EFE"/>
    <w:rsid w:val="00EB44C3"/>
    <w:rsid w:val="00EB44D6"/>
    <w:rsid w:val="00EB4FDB"/>
    <w:rsid w:val="00EB5314"/>
    <w:rsid w:val="00EB54BD"/>
    <w:rsid w:val="00EB54BE"/>
    <w:rsid w:val="00EB55D9"/>
    <w:rsid w:val="00EB5B00"/>
    <w:rsid w:val="00EB5EE6"/>
    <w:rsid w:val="00EB6442"/>
    <w:rsid w:val="00EB72EA"/>
    <w:rsid w:val="00EB7A6D"/>
    <w:rsid w:val="00EB7C8A"/>
    <w:rsid w:val="00EC0719"/>
    <w:rsid w:val="00EC0E31"/>
    <w:rsid w:val="00EC0E35"/>
    <w:rsid w:val="00EC10E1"/>
    <w:rsid w:val="00EC130B"/>
    <w:rsid w:val="00EC1920"/>
    <w:rsid w:val="00EC1A26"/>
    <w:rsid w:val="00EC1D78"/>
    <w:rsid w:val="00EC233B"/>
    <w:rsid w:val="00EC251E"/>
    <w:rsid w:val="00EC29AD"/>
    <w:rsid w:val="00EC2B19"/>
    <w:rsid w:val="00EC2CBA"/>
    <w:rsid w:val="00EC2D2A"/>
    <w:rsid w:val="00EC2FDA"/>
    <w:rsid w:val="00EC301E"/>
    <w:rsid w:val="00EC3434"/>
    <w:rsid w:val="00EC3E4A"/>
    <w:rsid w:val="00EC4196"/>
    <w:rsid w:val="00EC4218"/>
    <w:rsid w:val="00EC4879"/>
    <w:rsid w:val="00EC4912"/>
    <w:rsid w:val="00EC545F"/>
    <w:rsid w:val="00EC5462"/>
    <w:rsid w:val="00EC5591"/>
    <w:rsid w:val="00EC5665"/>
    <w:rsid w:val="00EC5B86"/>
    <w:rsid w:val="00EC5CA2"/>
    <w:rsid w:val="00EC5D9A"/>
    <w:rsid w:val="00EC63F8"/>
    <w:rsid w:val="00EC6471"/>
    <w:rsid w:val="00EC64A2"/>
    <w:rsid w:val="00EC6710"/>
    <w:rsid w:val="00EC67BB"/>
    <w:rsid w:val="00EC6CBD"/>
    <w:rsid w:val="00EC704C"/>
    <w:rsid w:val="00EC7149"/>
    <w:rsid w:val="00EC7165"/>
    <w:rsid w:val="00EC7397"/>
    <w:rsid w:val="00EC79FB"/>
    <w:rsid w:val="00EC7D79"/>
    <w:rsid w:val="00EC7F23"/>
    <w:rsid w:val="00EC9807"/>
    <w:rsid w:val="00ED01D5"/>
    <w:rsid w:val="00ED0A9F"/>
    <w:rsid w:val="00ED0B28"/>
    <w:rsid w:val="00ED0FD9"/>
    <w:rsid w:val="00ED173D"/>
    <w:rsid w:val="00ED1B2D"/>
    <w:rsid w:val="00ED1D5E"/>
    <w:rsid w:val="00ED228A"/>
    <w:rsid w:val="00ED2478"/>
    <w:rsid w:val="00ED27D6"/>
    <w:rsid w:val="00ED27E0"/>
    <w:rsid w:val="00ED288C"/>
    <w:rsid w:val="00ED2AEA"/>
    <w:rsid w:val="00ED3001"/>
    <w:rsid w:val="00ED31C2"/>
    <w:rsid w:val="00ED320D"/>
    <w:rsid w:val="00ED3288"/>
    <w:rsid w:val="00ED33B9"/>
    <w:rsid w:val="00ED372A"/>
    <w:rsid w:val="00ED3882"/>
    <w:rsid w:val="00ED3AE4"/>
    <w:rsid w:val="00ED3F86"/>
    <w:rsid w:val="00ED42F3"/>
    <w:rsid w:val="00ED4D45"/>
    <w:rsid w:val="00ED5246"/>
    <w:rsid w:val="00ED53B9"/>
    <w:rsid w:val="00ED5A23"/>
    <w:rsid w:val="00ED5F86"/>
    <w:rsid w:val="00ED6492"/>
    <w:rsid w:val="00ED6746"/>
    <w:rsid w:val="00ED6ACC"/>
    <w:rsid w:val="00ED6EDD"/>
    <w:rsid w:val="00ED6FDE"/>
    <w:rsid w:val="00ED7208"/>
    <w:rsid w:val="00ED72B5"/>
    <w:rsid w:val="00ED7618"/>
    <w:rsid w:val="00ED76D1"/>
    <w:rsid w:val="00EE005D"/>
    <w:rsid w:val="00EE00EB"/>
    <w:rsid w:val="00EE017A"/>
    <w:rsid w:val="00EE01C6"/>
    <w:rsid w:val="00EE06E5"/>
    <w:rsid w:val="00EE08AF"/>
    <w:rsid w:val="00EE0971"/>
    <w:rsid w:val="00EE0C59"/>
    <w:rsid w:val="00EE0E29"/>
    <w:rsid w:val="00EE10EE"/>
    <w:rsid w:val="00EE140F"/>
    <w:rsid w:val="00EE1AAE"/>
    <w:rsid w:val="00EE1AE2"/>
    <w:rsid w:val="00EE1BF2"/>
    <w:rsid w:val="00EE1C0E"/>
    <w:rsid w:val="00EE1F15"/>
    <w:rsid w:val="00EE1FB7"/>
    <w:rsid w:val="00EE2330"/>
    <w:rsid w:val="00EE2910"/>
    <w:rsid w:val="00EE2B6E"/>
    <w:rsid w:val="00EE2DB2"/>
    <w:rsid w:val="00EE33A8"/>
    <w:rsid w:val="00EE34EF"/>
    <w:rsid w:val="00EE37CE"/>
    <w:rsid w:val="00EE3A5A"/>
    <w:rsid w:val="00EE3B13"/>
    <w:rsid w:val="00EE3CC0"/>
    <w:rsid w:val="00EE3D83"/>
    <w:rsid w:val="00EE40E2"/>
    <w:rsid w:val="00EE456D"/>
    <w:rsid w:val="00EE481F"/>
    <w:rsid w:val="00EE50BB"/>
    <w:rsid w:val="00EE5F10"/>
    <w:rsid w:val="00EE6141"/>
    <w:rsid w:val="00EE648E"/>
    <w:rsid w:val="00EE6596"/>
    <w:rsid w:val="00EE6796"/>
    <w:rsid w:val="00EE6944"/>
    <w:rsid w:val="00EF0202"/>
    <w:rsid w:val="00EF0796"/>
    <w:rsid w:val="00EF0F6A"/>
    <w:rsid w:val="00EF15BE"/>
    <w:rsid w:val="00EF166A"/>
    <w:rsid w:val="00EF1806"/>
    <w:rsid w:val="00EF19FA"/>
    <w:rsid w:val="00EF1BCB"/>
    <w:rsid w:val="00EF1C1E"/>
    <w:rsid w:val="00EF1F43"/>
    <w:rsid w:val="00EF244A"/>
    <w:rsid w:val="00EF25A7"/>
    <w:rsid w:val="00EF25E5"/>
    <w:rsid w:val="00EF2879"/>
    <w:rsid w:val="00EF31BB"/>
    <w:rsid w:val="00EF3F0A"/>
    <w:rsid w:val="00EF408E"/>
    <w:rsid w:val="00EF4534"/>
    <w:rsid w:val="00EF535D"/>
    <w:rsid w:val="00EF5494"/>
    <w:rsid w:val="00EF5EFC"/>
    <w:rsid w:val="00EF65E2"/>
    <w:rsid w:val="00EF674E"/>
    <w:rsid w:val="00EF6CCE"/>
    <w:rsid w:val="00EF70EC"/>
    <w:rsid w:val="00EF7125"/>
    <w:rsid w:val="00EF7245"/>
    <w:rsid w:val="00EF7352"/>
    <w:rsid w:val="00EF7431"/>
    <w:rsid w:val="00EF79C0"/>
    <w:rsid w:val="00F00237"/>
    <w:rsid w:val="00F003E5"/>
    <w:rsid w:val="00F003E8"/>
    <w:rsid w:val="00F0050F"/>
    <w:rsid w:val="00F006FB"/>
    <w:rsid w:val="00F007A0"/>
    <w:rsid w:val="00F00ACD"/>
    <w:rsid w:val="00F00E0C"/>
    <w:rsid w:val="00F00EF4"/>
    <w:rsid w:val="00F01161"/>
    <w:rsid w:val="00F01187"/>
    <w:rsid w:val="00F017D8"/>
    <w:rsid w:val="00F01B36"/>
    <w:rsid w:val="00F01C1B"/>
    <w:rsid w:val="00F020EC"/>
    <w:rsid w:val="00F02345"/>
    <w:rsid w:val="00F0265D"/>
    <w:rsid w:val="00F02D0F"/>
    <w:rsid w:val="00F02F00"/>
    <w:rsid w:val="00F02F63"/>
    <w:rsid w:val="00F03377"/>
    <w:rsid w:val="00F035B4"/>
    <w:rsid w:val="00F03651"/>
    <w:rsid w:val="00F038A1"/>
    <w:rsid w:val="00F0391B"/>
    <w:rsid w:val="00F03E0A"/>
    <w:rsid w:val="00F0425C"/>
    <w:rsid w:val="00F04B70"/>
    <w:rsid w:val="00F05269"/>
    <w:rsid w:val="00F05511"/>
    <w:rsid w:val="00F05555"/>
    <w:rsid w:val="00F05588"/>
    <w:rsid w:val="00F068E7"/>
    <w:rsid w:val="00F06BB7"/>
    <w:rsid w:val="00F0758F"/>
    <w:rsid w:val="00F07C97"/>
    <w:rsid w:val="00F1024E"/>
    <w:rsid w:val="00F10520"/>
    <w:rsid w:val="00F108BB"/>
    <w:rsid w:val="00F10AD0"/>
    <w:rsid w:val="00F10C2E"/>
    <w:rsid w:val="00F10C69"/>
    <w:rsid w:val="00F11232"/>
    <w:rsid w:val="00F115F0"/>
    <w:rsid w:val="00F116A7"/>
    <w:rsid w:val="00F11A98"/>
    <w:rsid w:val="00F11B47"/>
    <w:rsid w:val="00F11F3E"/>
    <w:rsid w:val="00F1204E"/>
    <w:rsid w:val="00F1215F"/>
    <w:rsid w:val="00F125F8"/>
    <w:rsid w:val="00F1266A"/>
    <w:rsid w:val="00F12856"/>
    <w:rsid w:val="00F12927"/>
    <w:rsid w:val="00F12DE8"/>
    <w:rsid w:val="00F12F22"/>
    <w:rsid w:val="00F134A0"/>
    <w:rsid w:val="00F13B16"/>
    <w:rsid w:val="00F13BB7"/>
    <w:rsid w:val="00F13DB1"/>
    <w:rsid w:val="00F14073"/>
    <w:rsid w:val="00F1465E"/>
    <w:rsid w:val="00F146CB"/>
    <w:rsid w:val="00F14DFA"/>
    <w:rsid w:val="00F14E23"/>
    <w:rsid w:val="00F1555A"/>
    <w:rsid w:val="00F15F0C"/>
    <w:rsid w:val="00F15FC9"/>
    <w:rsid w:val="00F169E8"/>
    <w:rsid w:val="00F16D50"/>
    <w:rsid w:val="00F16D76"/>
    <w:rsid w:val="00F16E45"/>
    <w:rsid w:val="00F17B8D"/>
    <w:rsid w:val="00F17BC9"/>
    <w:rsid w:val="00F200E1"/>
    <w:rsid w:val="00F202E9"/>
    <w:rsid w:val="00F20CCB"/>
    <w:rsid w:val="00F20CD3"/>
    <w:rsid w:val="00F20E5F"/>
    <w:rsid w:val="00F2121D"/>
    <w:rsid w:val="00F21250"/>
    <w:rsid w:val="00F212C3"/>
    <w:rsid w:val="00F2152D"/>
    <w:rsid w:val="00F215FF"/>
    <w:rsid w:val="00F2220E"/>
    <w:rsid w:val="00F22273"/>
    <w:rsid w:val="00F229CF"/>
    <w:rsid w:val="00F22DF9"/>
    <w:rsid w:val="00F22F36"/>
    <w:rsid w:val="00F22FA8"/>
    <w:rsid w:val="00F23224"/>
    <w:rsid w:val="00F23408"/>
    <w:rsid w:val="00F23482"/>
    <w:rsid w:val="00F236EF"/>
    <w:rsid w:val="00F2396C"/>
    <w:rsid w:val="00F23AFA"/>
    <w:rsid w:val="00F24146"/>
    <w:rsid w:val="00F24248"/>
    <w:rsid w:val="00F24888"/>
    <w:rsid w:val="00F24959"/>
    <w:rsid w:val="00F24F7F"/>
    <w:rsid w:val="00F250AD"/>
    <w:rsid w:val="00F2520E"/>
    <w:rsid w:val="00F2551C"/>
    <w:rsid w:val="00F25BD2"/>
    <w:rsid w:val="00F25DD2"/>
    <w:rsid w:val="00F25F6A"/>
    <w:rsid w:val="00F26065"/>
    <w:rsid w:val="00F26AF2"/>
    <w:rsid w:val="00F26D94"/>
    <w:rsid w:val="00F275D4"/>
    <w:rsid w:val="00F27865"/>
    <w:rsid w:val="00F279A0"/>
    <w:rsid w:val="00F27BFB"/>
    <w:rsid w:val="00F27C1B"/>
    <w:rsid w:val="00F27D8A"/>
    <w:rsid w:val="00F27F6C"/>
    <w:rsid w:val="00F3028C"/>
    <w:rsid w:val="00F30757"/>
    <w:rsid w:val="00F30A3B"/>
    <w:rsid w:val="00F30FBB"/>
    <w:rsid w:val="00F31769"/>
    <w:rsid w:val="00F31981"/>
    <w:rsid w:val="00F31AE3"/>
    <w:rsid w:val="00F320B2"/>
    <w:rsid w:val="00F3224F"/>
    <w:rsid w:val="00F3255B"/>
    <w:rsid w:val="00F32763"/>
    <w:rsid w:val="00F32AB4"/>
    <w:rsid w:val="00F32D88"/>
    <w:rsid w:val="00F32FDE"/>
    <w:rsid w:val="00F33329"/>
    <w:rsid w:val="00F33410"/>
    <w:rsid w:val="00F3347B"/>
    <w:rsid w:val="00F339CA"/>
    <w:rsid w:val="00F3443A"/>
    <w:rsid w:val="00F3494D"/>
    <w:rsid w:val="00F349B4"/>
    <w:rsid w:val="00F34BED"/>
    <w:rsid w:val="00F34E43"/>
    <w:rsid w:val="00F3521F"/>
    <w:rsid w:val="00F3522C"/>
    <w:rsid w:val="00F352CC"/>
    <w:rsid w:val="00F353AC"/>
    <w:rsid w:val="00F35434"/>
    <w:rsid w:val="00F35904"/>
    <w:rsid w:val="00F35A26"/>
    <w:rsid w:val="00F35AEB"/>
    <w:rsid w:val="00F364CE"/>
    <w:rsid w:val="00F36585"/>
    <w:rsid w:val="00F36ED8"/>
    <w:rsid w:val="00F371AD"/>
    <w:rsid w:val="00F3762D"/>
    <w:rsid w:val="00F376F5"/>
    <w:rsid w:val="00F37819"/>
    <w:rsid w:val="00F37B95"/>
    <w:rsid w:val="00F40202"/>
    <w:rsid w:val="00F4037C"/>
    <w:rsid w:val="00F40928"/>
    <w:rsid w:val="00F40985"/>
    <w:rsid w:val="00F409FA"/>
    <w:rsid w:val="00F40EC6"/>
    <w:rsid w:val="00F41111"/>
    <w:rsid w:val="00F4157C"/>
    <w:rsid w:val="00F4267E"/>
    <w:rsid w:val="00F42944"/>
    <w:rsid w:val="00F43868"/>
    <w:rsid w:val="00F4394C"/>
    <w:rsid w:val="00F43B21"/>
    <w:rsid w:val="00F43D40"/>
    <w:rsid w:val="00F43D63"/>
    <w:rsid w:val="00F44034"/>
    <w:rsid w:val="00F44707"/>
    <w:rsid w:val="00F44765"/>
    <w:rsid w:val="00F448CD"/>
    <w:rsid w:val="00F44A3F"/>
    <w:rsid w:val="00F44E3C"/>
    <w:rsid w:val="00F44EA9"/>
    <w:rsid w:val="00F45177"/>
    <w:rsid w:val="00F4536F"/>
    <w:rsid w:val="00F45646"/>
    <w:rsid w:val="00F459B0"/>
    <w:rsid w:val="00F45A2D"/>
    <w:rsid w:val="00F45AB6"/>
    <w:rsid w:val="00F45C3A"/>
    <w:rsid w:val="00F46272"/>
    <w:rsid w:val="00F462BB"/>
    <w:rsid w:val="00F463AD"/>
    <w:rsid w:val="00F46690"/>
    <w:rsid w:val="00F470D8"/>
    <w:rsid w:val="00F47382"/>
    <w:rsid w:val="00F47512"/>
    <w:rsid w:val="00F47862"/>
    <w:rsid w:val="00F478A7"/>
    <w:rsid w:val="00F47992"/>
    <w:rsid w:val="00F50F71"/>
    <w:rsid w:val="00F512BE"/>
    <w:rsid w:val="00F51334"/>
    <w:rsid w:val="00F514C7"/>
    <w:rsid w:val="00F5177B"/>
    <w:rsid w:val="00F51B01"/>
    <w:rsid w:val="00F51B0A"/>
    <w:rsid w:val="00F51B9B"/>
    <w:rsid w:val="00F525DA"/>
    <w:rsid w:val="00F52B1F"/>
    <w:rsid w:val="00F52ECD"/>
    <w:rsid w:val="00F53804"/>
    <w:rsid w:val="00F5383F"/>
    <w:rsid w:val="00F53B99"/>
    <w:rsid w:val="00F53DDD"/>
    <w:rsid w:val="00F54188"/>
    <w:rsid w:val="00F54517"/>
    <w:rsid w:val="00F5462E"/>
    <w:rsid w:val="00F547F0"/>
    <w:rsid w:val="00F54BB4"/>
    <w:rsid w:val="00F54E9A"/>
    <w:rsid w:val="00F54EB3"/>
    <w:rsid w:val="00F552A1"/>
    <w:rsid w:val="00F555A1"/>
    <w:rsid w:val="00F56420"/>
    <w:rsid w:val="00F565B3"/>
    <w:rsid w:val="00F565B5"/>
    <w:rsid w:val="00F56626"/>
    <w:rsid w:val="00F57182"/>
    <w:rsid w:val="00F57301"/>
    <w:rsid w:val="00F577C5"/>
    <w:rsid w:val="00F57E85"/>
    <w:rsid w:val="00F57F89"/>
    <w:rsid w:val="00F6017D"/>
    <w:rsid w:val="00F60A02"/>
    <w:rsid w:val="00F60F9B"/>
    <w:rsid w:val="00F6106A"/>
    <w:rsid w:val="00F61213"/>
    <w:rsid w:val="00F613B9"/>
    <w:rsid w:val="00F61519"/>
    <w:rsid w:val="00F61D32"/>
    <w:rsid w:val="00F61DF4"/>
    <w:rsid w:val="00F61E7C"/>
    <w:rsid w:val="00F62483"/>
    <w:rsid w:val="00F6255F"/>
    <w:rsid w:val="00F62E4C"/>
    <w:rsid w:val="00F632A8"/>
    <w:rsid w:val="00F638A2"/>
    <w:rsid w:val="00F63DF8"/>
    <w:rsid w:val="00F640B7"/>
    <w:rsid w:val="00F650E0"/>
    <w:rsid w:val="00F65165"/>
    <w:rsid w:val="00F654B2"/>
    <w:rsid w:val="00F66527"/>
    <w:rsid w:val="00F67475"/>
    <w:rsid w:val="00F6753A"/>
    <w:rsid w:val="00F67DCD"/>
    <w:rsid w:val="00F7049C"/>
    <w:rsid w:val="00F70E1E"/>
    <w:rsid w:val="00F70F54"/>
    <w:rsid w:val="00F712D9"/>
    <w:rsid w:val="00F714CD"/>
    <w:rsid w:val="00F7177E"/>
    <w:rsid w:val="00F71E10"/>
    <w:rsid w:val="00F72A1F"/>
    <w:rsid w:val="00F72BF9"/>
    <w:rsid w:val="00F72C93"/>
    <w:rsid w:val="00F7358D"/>
    <w:rsid w:val="00F735AC"/>
    <w:rsid w:val="00F73817"/>
    <w:rsid w:val="00F748E8"/>
    <w:rsid w:val="00F74E09"/>
    <w:rsid w:val="00F7616E"/>
    <w:rsid w:val="00F7618F"/>
    <w:rsid w:val="00F765AE"/>
    <w:rsid w:val="00F767F6"/>
    <w:rsid w:val="00F76928"/>
    <w:rsid w:val="00F76B2A"/>
    <w:rsid w:val="00F76CAF"/>
    <w:rsid w:val="00F77221"/>
    <w:rsid w:val="00F7769C"/>
    <w:rsid w:val="00F77C54"/>
    <w:rsid w:val="00F77DF1"/>
    <w:rsid w:val="00F80204"/>
    <w:rsid w:val="00F80223"/>
    <w:rsid w:val="00F805EB"/>
    <w:rsid w:val="00F80952"/>
    <w:rsid w:val="00F80E68"/>
    <w:rsid w:val="00F81221"/>
    <w:rsid w:val="00F8133F"/>
    <w:rsid w:val="00F81704"/>
    <w:rsid w:val="00F818C3"/>
    <w:rsid w:val="00F81CDD"/>
    <w:rsid w:val="00F81DA5"/>
    <w:rsid w:val="00F81F8D"/>
    <w:rsid w:val="00F821E2"/>
    <w:rsid w:val="00F824A4"/>
    <w:rsid w:val="00F8282B"/>
    <w:rsid w:val="00F82B7D"/>
    <w:rsid w:val="00F82E96"/>
    <w:rsid w:val="00F83089"/>
    <w:rsid w:val="00F8367C"/>
    <w:rsid w:val="00F83B24"/>
    <w:rsid w:val="00F83E1C"/>
    <w:rsid w:val="00F84129"/>
    <w:rsid w:val="00F844BD"/>
    <w:rsid w:val="00F845BD"/>
    <w:rsid w:val="00F849C8"/>
    <w:rsid w:val="00F85112"/>
    <w:rsid w:val="00F8518F"/>
    <w:rsid w:val="00F851A0"/>
    <w:rsid w:val="00F85323"/>
    <w:rsid w:val="00F854EF"/>
    <w:rsid w:val="00F859C5"/>
    <w:rsid w:val="00F85B55"/>
    <w:rsid w:val="00F861F9"/>
    <w:rsid w:val="00F86491"/>
    <w:rsid w:val="00F86499"/>
    <w:rsid w:val="00F865F3"/>
    <w:rsid w:val="00F86E4E"/>
    <w:rsid w:val="00F875C8"/>
    <w:rsid w:val="00F8776F"/>
    <w:rsid w:val="00F877F3"/>
    <w:rsid w:val="00F878D2"/>
    <w:rsid w:val="00F8798B"/>
    <w:rsid w:val="00F908EE"/>
    <w:rsid w:val="00F90A5E"/>
    <w:rsid w:val="00F90B4E"/>
    <w:rsid w:val="00F90BA6"/>
    <w:rsid w:val="00F90D41"/>
    <w:rsid w:val="00F90EEC"/>
    <w:rsid w:val="00F91B2F"/>
    <w:rsid w:val="00F91E01"/>
    <w:rsid w:val="00F91FD3"/>
    <w:rsid w:val="00F92490"/>
    <w:rsid w:val="00F9250D"/>
    <w:rsid w:val="00F928C6"/>
    <w:rsid w:val="00F92E04"/>
    <w:rsid w:val="00F92F76"/>
    <w:rsid w:val="00F92FB0"/>
    <w:rsid w:val="00F93714"/>
    <w:rsid w:val="00F93D49"/>
    <w:rsid w:val="00F94ABD"/>
    <w:rsid w:val="00F94D0F"/>
    <w:rsid w:val="00F9557C"/>
    <w:rsid w:val="00F95675"/>
    <w:rsid w:val="00F95893"/>
    <w:rsid w:val="00F95D10"/>
    <w:rsid w:val="00F95D8A"/>
    <w:rsid w:val="00F96153"/>
    <w:rsid w:val="00F969A4"/>
    <w:rsid w:val="00F96B28"/>
    <w:rsid w:val="00F96DFD"/>
    <w:rsid w:val="00F97036"/>
    <w:rsid w:val="00F97060"/>
    <w:rsid w:val="00F97326"/>
    <w:rsid w:val="00F97A64"/>
    <w:rsid w:val="00F97F79"/>
    <w:rsid w:val="00FA0457"/>
    <w:rsid w:val="00FA0B19"/>
    <w:rsid w:val="00FA13DD"/>
    <w:rsid w:val="00FA14D4"/>
    <w:rsid w:val="00FA1590"/>
    <w:rsid w:val="00FA1932"/>
    <w:rsid w:val="00FA1967"/>
    <w:rsid w:val="00FA2325"/>
    <w:rsid w:val="00FA2759"/>
    <w:rsid w:val="00FA2B31"/>
    <w:rsid w:val="00FA2CC2"/>
    <w:rsid w:val="00FA2DA5"/>
    <w:rsid w:val="00FA390F"/>
    <w:rsid w:val="00FA39B0"/>
    <w:rsid w:val="00FA417B"/>
    <w:rsid w:val="00FA4D17"/>
    <w:rsid w:val="00FA4D4A"/>
    <w:rsid w:val="00FA51AD"/>
    <w:rsid w:val="00FA52AB"/>
    <w:rsid w:val="00FA5840"/>
    <w:rsid w:val="00FA5F50"/>
    <w:rsid w:val="00FA6376"/>
    <w:rsid w:val="00FA6D09"/>
    <w:rsid w:val="00FA6E5F"/>
    <w:rsid w:val="00FA74B7"/>
    <w:rsid w:val="00FA74E1"/>
    <w:rsid w:val="00FA7756"/>
    <w:rsid w:val="00FA7F7F"/>
    <w:rsid w:val="00FB0061"/>
    <w:rsid w:val="00FB0296"/>
    <w:rsid w:val="00FB0588"/>
    <w:rsid w:val="00FB08ED"/>
    <w:rsid w:val="00FB0B1C"/>
    <w:rsid w:val="00FB0BB0"/>
    <w:rsid w:val="00FB0C5A"/>
    <w:rsid w:val="00FB0CCF"/>
    <w:rsid w:val="00FB0CE8"/>
    <w:rsid w:val="00FB0E55"/>
    <w:rsid w:val="00FB1949"/>
    <w:rsid w:val="00FB1DB5"/>
    <w:rsid w:val="00FB1E07"/>
    <w:rsid w:val="00FB2111"/>
    <w:rsid w:val="00FB2402"/>
    <w:rsid w:val="00FB2483"/>
    <w:rsid w:val="00FB2505"/>
    <w:rsid w:val="00FB2679"/>
    <w:rsid w:val="00FB2919"/>
    <w:rsid w:val="00FB292E"/>
    <w:rsid w:val="00FB2E36"/>
    <w:rsid w:val="00FB30D2"/>
    <w:rsid w:val="00FB37FA"/>
    <w:rsid w:val="00FB3C4C"/>
    <w:rsid w:val="00FB3D04"/>
    <w:rsid w:val="00FB41B1"/>
    <w:rsid w:val="00FB42E2"/>
    <w:rsid w:val="00FB4889"/>
    <w:rsid w:val="00FB4A25"/>
    <w:rsid w:val="00FB4D68"/>
    <w:rsid w:val="00FB5316"/>
    <w:rsid w:val="00FB553D"/>
    <w:rsid w:val="00FB5956"/>
    <w:rsid w:val="00FB5D58"/>
    <w:rsid w:val="00FB5E91"/>
    <w:rsid w:val="00FB634C"/>
    <w:rsid w:val="00FB6706"/>
    <w:rsid w:val="00FB68F1"/>
    <w:rsid w:val="00FB6ACC"/>
    <w:rsid w:val="00FB6ADA"/>
    <w:rsid w:val="00FB72FB"/>
    <w:rsid w:val="00FB7818"/>
    <w:rsid w:val="00FB7A7E"/>
    <w:rsid w:val="00FB7FF1"/>
    <w:rsid w:val="00FC01A7"/>
    <w:rsid w:val="00FC06EA"/>
    <w:rsid w:val="00FC09CF"/>
    <w:rsid w:val="00FC0BBC"/>
    <w:rsid w:val="00FC0F95"/>
    <w:rsid w:val="00FC1598"/>
    <w:rsid w:val="00FC1CC8"/>
    <w:rsid w:val="00FC1E96"/>
    <w:rsid w:val="00FC2104"/>
    <w:rsid w:val="00FC248C"/>
    <w:rsid w:val="00FC29B3"/>
    <w:rsid w:val="00FC2ACD"/>
    <w:rsid w:val="00FC36BC"/>
    <w:rsid w:val="00FC4881"/>
    <w:rsid w:val="00FC48C2"/>
    <w:rsid w:val="00FC4AD6"/>
    <w:rsid w:val="00FC4AF5"/>
    <w:rsid w:val="00FC4C01"/>
    <w:rsid w:val="00FC4CAF"/>
    <w:rsid w:val="00FC4CD2"/>
    <w:rsid w:val="00FC4D78"/>
    <w:rsid w:val="00FC5061"/>
    <w:rsid w:val="00FC56E1"/>
    <w:rsid w:val="00FC59BF"/>
    <w:rsid w:val="00FC5AEF"/>
    <w:rsid w:val="00FC5C57"/>
    <w:rsid w:val="00FC656F"/>
    <w:rsid w:val="00FC6735"/>
    <w:rsid w:val="00FC6A9E"/>
    <w:rsid w:val="00FC6AF6"/>
    <w:rsid w:val="00FC6C00"/>
    <w:rsid w:val="00FC711A"/>
    <w:rsid w:val="00FC7425"/>
    <w:rsid w:val="00FC7A08"/>
    <w:rsid w:val="00FC7DB0"/>
    <w:rsid w:val="00FCD3BF"/>
    <w:rsid w:val="00FD048D"/>
    <w:rsid w:val="00FD0B51"/>
    <w:rsid w:val="00FD10A9"/>
    <w:rsid w:val="00FD112D"/>
    <w:rsid w:val="00FD114B"/>
    <w:rsid w:val="00FD1536"/>
    <w:rsid w:val="00FD16FD"/>
    <w:rsid w:val="00FD1F7F"/>
    <w:rsid w:val="00FD26E5"/>
    <w:rsid w:val="00FD2C79"/>
    <w:rsid w:val="00FD2EF6"/>
    <w:rsid w:val="00FD30D1"/>
    <w:rsid w:val="00FD31F8"/>
    <w:rsid w:val="00FD32EE"/>
    <w:rsid w:val="00FD330A"/>
    <w:rsid w:val="00FD398C"/>
    <w:rsid w:val="00FD39C9"/>
    <w:rsid w:val="00FD3A66"/>
    <w:rsid w:val="00FD3A8D"/>
    <w:rsid w:val="00FD3AEF"/>
    <w:rsid w:val="00FD3B91"/>
    <w:rsid w:val="00FD3DF2"/>
    <w:rsid w:val="00FD464A"/>
    <w:rsid w:val="00FD5215"/>
    <w:rsid w:val="00FD52D2"/>
    <w:rsid w:val="00FD5543"/>
    <w:rsid w:val="00FD55D8"/>
    <w:rsid w:val="00FD5979"/>
    <w:rsid w:val="00FD5B55"/>
    <w:rsid w:val="00FD65F9"/>
    <w:rsid w:val="00FD7157"/>
    <w:rsid w:val="00FD776F"/>
    <w:rsid w:val="00FD784C"/>
    <w:rsid w:val="00FD7946"/>
    <w:rsid w:val="00FD7F21"/>
    <w:rsid w:val="00FD7F6F"/>
    <w:rsid w:val="00FE0D6C"/>
    <w:rsid w:val="00FE104A"/>
    <w:rsid w:val="00FE1113"/>
    <w:rsid w:val="00FE13BA"/>
    <w:rsid w:val="00FE17ED"/>
    <w:rsid w:val="00FE1D6C"/>
    <w:rsid w:val="00FE2631"/>
    <w:rsid w:val="00FE2748"/>
    <w:rsid w:val="00FE28CF"/>
    <w:rsid w:val="00FE3414"/>
    <w:rsid w:val="00FE351B"/>
    <w:rsid w:val="00FE3585"/>
    <w:rsid w:val="00FE3650"/>
    <w:rsid w:val="00FE3C4A"/>
    <w:rsid w:val="00FE4565"/>
    <w:rsid w:val="00FE4D57"/>
    <w:rsid w:val="00FE54B4"/>
    <w:rsid w:val="00FE5FED"/>
    <w:rsid w:val="00FE607F"/>
    <w:rsid w:val="00FE60A6"/>
    <w:rsid w:val="00FE6626"/>
    <w:rsid w:val="00FE6F1B"/>
    <w:rsid w:val="00FE738A"/>
    <w:rsid w:val="00FE75F7"/>
    <w:rsid w:val="00FE79FA"/>
    <w:rsid w:val="00FE7AEC"/>
    <w:rsid w:val="00FF05B3"/>
    <w:rsid w:val="00FF11E9"/>
    <w:rsid w:val="00FF142E"/>
    <w:rsid w:val="00FF1619"/>
    <w:rsid w:val="00FF1915"/>
    <w:rsid w:val="00FF1B27"/>
    <w:rsid w:val="00FF1D25"/>
    <w:rsid w:val="00FF1FA8"/>
    <w:rsid w:val="00FF2137"/>
    <w:rsid w:val="00FF2366"/>
    <w:rsid w:val="00FF2885"/>
    <w:rsid w:val="00FF2898"/>
    <w:rsid w:val="00FF2AB7"/>
    <w:rsid w:val="00FF2B22"/>
    <w:rsid w:val="00FF2C2D"/>
    <w:rsid w:val="00FF2CB2"/>
    <w:rsid w:val="00FF31B1"/>
    <w:rsid w:val="00FF35A8"/>
    <w:rsid w:val="00FF3B88"/>
    <w:rsid w:val="00FF470B"/>
    <w:rsid w:val="00FF48D9"/>
    <w:rsid w:val="00FF495C"/>
    <w:rsid w:val="00FF4D89"/>
    <w:rsid w:val="00FF4EB3"/>
    <w:rsid w:val="00FF500B"/>
    <w:rsid w:val="00FF55BC"/>
    <w:rsid w:val="00FF58DF"/>
    <w:rsid w:val="00FF58F6"/>
    <w:rsid w:val="00FF5B13"/>
    <w:rsid w:val="00FF619E"/>
    <w:rsid w:val="00FF6270"/>
    <w:rsid w:val="00FF664D"/>
    <w:rsid w:val="00FF6B9B"/>
    <w:rsid w:val="00FF6D74"/>
    <w:rsid w:val="00FF75C2"/>
    <w:rsid w:val="00FF77B1"/>
    <w:rsid w:val="00FF78A1"/>
    <w:rsid w:val="00FF7B9E"/>
    <w:rsid w:val="00FF7D90"/>
    <w:rsid w:val="0105BFF0"/>
    <w:rsid w:val="010A2B50"/>
    <w:rsid w:val="0136E3F4"/>
    <w:rsid w:val="013DB115"/>
    <w:rsid w:val="016BBBD0"/>
    <w:rsid w:val="01742989"/>
    <w:rsid w:val="017B1D22"/>
    <w:rsid w:val="017F73AF"/>
    <w:rsid w:val="01815584"/>
    <w:rsid w:val="01A15D69"/>
    <w:rsid w:val="01AA8EF0"/>
    <w:rsid w:val="01BE4FB9"/>
    <w:rsid w:val="01C43112"/>
    <w:rsid w:val="01CACF1A"/>
    <w:rsid w:val="01CF3C4B"/>
    <w:rsid w:val="01D13BAA"/>
    <w:rsid w:val="01D276A6"/>
    <w:rsid w:val="01E807FC"/>
    <w:rsid w:val="01ECB4A7"/>
    <w:rsid w:val="01F4ACC2"/>
    <w:rsid w:val="01FE2393"/>
    <w:rsid w:val="020197A3"/>
    <w:rsid w:val="0209C229"/>
    <w:rsid w:val="0211D84D"/>
    <w:rsid w:val="021702EB"/>
    <w:rsid w:val="02173F3D"/>
    <w:rsid w:val="021E1695"/>
    <w:rsid w:val="023BD0BF"/>
    <w:rsid w:val="023DCEF2"/>
    <w:rsid w:val="024B1CED"/>
    <w:rsid w:val="024F179B"/>
    <w:rsid w:val="0251A4DC"/>
    <w:rsid w:val="02650D7E"/>
    <w:rsid w:val="026562CE"/>
    <w:rsid w:val="02906ACE"/>
    <w:rsid w:val="029732F1"/>
    <w:rsid w:val="029ED49E"/>
    <w:rsid w:val="02AB307C"/>
    <w:rsid w:val="02B04D2F"/>
    <w:rsid w:val="02C46BC6"/>
    <w:rsid w:val="02C8DC02"/>
    <w:rsid w:val="02D68606"/>
    <w:rsid w:val="02DA6856"/>
    <w:rsid w:val="02E4DD5B"/>
    <w:rsid w:val="02E69C22"/>
    <w:rsid w:val="02E845A6"/>
    <w:rsid w:val="0306FF6E"/>
    <w:rsid w:val="03238840"/>
    <w:rsid w:val="032D9C49"/>
    <w:rsid w:val="03419999"/>
    <w:rsid w:val="03611C1B"/>
    <w:rsid w:val="0368BEE1"/>
    <w:rsid w:val="03709E80"/>
    <w:rsid w:val="03898847"/>
    <w:rsid w:val="03936B76"/>
    <w:rsid w:val="039813E5"/>
    <w:rsid w:val="039D2848"/>
    <w:rsid w:val="03B3E4AF"/>
    <w:rsid w:val="03B64227"/>
    <w:rsid w:val="03BF2C3E"/>
    <w:rsid w:val="03C9E912"/>
    <w:rsid w:val="03CBE487"/>
    <w:rsid w:val="03E7C662"/>
    <w:rsid w:val="03FB15C7"/>
    <w:rsid w:val="0402FB30"/>
    <w:rsid w:val="0409F943"/>
    <w:rsid w:val="040D20DA"/>
    <w:rsid w:val="0415FA96"/>
    <w:rsid w:val="041DA0E9"/>
    <w:rsid w:val="04380A79"/>
    <w:rsid w:val="043D2C53"/>
    <w:rsid w:val="044D897A"/>
    <w:rsid w:val="0450FCDE"/>
    <w:rsid w:val="0475C4DE"/>
    <w:rsid w:val="04881F4D"/>
    <w:rsid w:val="0489D96A"/>
    <w:rsid w:val="048DE7CD"/>
    <w:rsid w:val="049015A4"/>
    <w:rsid w:val="04928209"/>
    <w:rsid w:val="04A24981"/>
    <w:rsid w:val="04A666F9"/>
    <w:rsid w:val="04B6C21B"/>
    <w:rsid w:val="04BA2429"/>
    <w:rsid w:val="04C0CB2A"/>
    <w:rsid w:val="04DAADE5"/>
    <w:rsid w:val="04DC33E2"/>
    <w:rsid w:val="04E54FD0"/>
    <w:rsid w:val="04E88708"/>
    <w:rsid w:val="04F66F39"/>
    <w:rsid w:val="050A4A75"/>
    <w:rsid w:val="051594F2"/>
    <w:rsid w:val="0517C7E3"/>
    <w:rsid w:val="051B5C13"/>
    <w:rsid w:val="0533BFDB"/>
    <w:rsid w:val="05373A33"/>
    <w:rsid w:val="053EE621"/>
    <w:rsid w:val="054EC7F5"/>
    <w:rsid w:val="05560A77"/>
    <w:rsid w:val="0561F979"/>
    <w:rsid w:val="0566A436"/>
    <w:rsid w:val="0566A5B3"/>
    <w:rsid w:val="0571A02E"/>
    <w:rsid w:val="0583BBDC"/>
    <w:rsid w:val="05ABCB35"/>
    <w:rsid w:val="05AD47FF"/>
    <w:rsid w:val="05B732D0"/>
    <w:rsid w:val="05BBBC1F"/>
    <w:rsid w:val="05BC4878"/>
    <w:rsid w:val="05DC8D99"/>
    <w:rsid w:val="05E450BF"/>
    <w:rsid w:val="061D8639"/>
    <w:rsid w:val="061D870D"/>
    <w:rsid w:val="0626B697"/>
    <w:rsid w:val="062BA160"/>
    <w:rsid w:val="0630790C"/>
    <w:rsid w:val="06453F1E"/>
    <w:rsid w:val="064EFC06"/>
    <w:rsid w:val="06518947"/>
    <w:rsid w:val="065273A0"/>
    <w:rsid w:val="066E745E"/>
    <w:rsid w:val="066EDDA5"/>
    <w:rsid w:val="0676EF41"/>
    <w:rsid w:val="06772D66"/>
    <w:rsid w:val="0678994C"/>
    <w:rsid w:val="067B7F79"/>
    <w:rsid w:val="06870559"/>
    <w:rsid w:val="0692B5D2"/>
    <w:rsid w:val="06A6C79F"/>
    <w:rsid w:val="06A9E222"/>
    <w:rsid w:val="06ACED8E"/>
    <w:rsid w:val="06DCA9E8"/>
    <w:rsid w:val="06E4CC56"/>
    <w:rsid w:val="070342D2"/>
    <w:rsid w:val="0712D1ED"/>
    <w:rsid w:val="07175F6B"/>
    <w:rsid w:val="0718E9B8"/>
    <w:rsid w:val="07248BAA"/>
    <w:rsid w:val="07299FC6"/>
    <w:rsid w:val="072FC508"/>
    <w:rsid w:val="0736394A"/>
    <w:rsid w:val="07398E5B"/>
    <w:rsid w:val="073BB7B0"/>
    <w:rsid w:val="074B9BC9"/>
    <w:rsid w:val="0754E154"/>
    <w:rsid w:val="075A94C8"/>
    <w:rsid w:val="075B4005"/>
    <w:rsid w:val="0762C36A"/>
    <w:rsid w:val="07718794"/>
    <w:rsid w:val="077DA9A5"/>
    <w:rsid w:val="078826E6"/>
    <w:rsid w:val="078DEE0A"/>
    <w:rsid w:val="07957A98"/>
    <w:rsid w:val="0796F99C"/>
    <w:rsid w:val="079BE423"/>
    <w:rsid w:val="07AC28A8"/>
    <w:rsid w:val="07AD5E0F"/>
    <w:rsid w:val="07ADFC1B"/>
    <w:rsid w:val="07B6BCE4"/>
    <w:rsid w:val="07CFA4E8"/>
    <w:rsid w:val="07D619DD"/>
    <w:rsid w:val="07DC1E8D"/>
    <w:rsid w:val="07E9E710"/>
    <w:rsid w:val="07F8DBAB"/>
    <w:rsid w:val="0804B0F8"/>
    <w:rsid w:val="080D9B4B"/>
    <w:rsid w:val="0816FA57"/>
    <w:rsid w:val="0817DB48"/>
    <w:rsid w:val="08264A44"/>
    <w:rsid w:val="08314B4A"/>
    <w:rsid w:val="083B9B37"/>
    <w:rsid w:val="085083D2"/>
    <w:rsid w:val="0865F525"/>
    <w:rsid w:val="08684F30"/>
    <w:rsid w:val="0878AAE8"/>
    <w:rsid w:val="088B9379"/>
    <w:rsid w:val="088C8034"/>
    <w:rsid w:val="08995D8E"/>
    <w:rsid w:val="08BF3E14"/>
    <w:rsid w:val="08C4FBA3"/>
    <w:rsid w:val="08CFE8D1"/>
    <w:rsid w:val="08D1EFF2"/>
    <w:rsid w:val="08D2D8A0"/>
    <w:rsid w:val="08E28D7E"/>
    <w:rsid w:val="08E9601C"/>
    <w:rsid w:val="08ED445E"/>
    <w:rsid w:val="08EDB97D"/>
    <w:rsid w:val="08F7697E"/>
    <w:rsid w:val="08F9B4B2"/>
    <w:rsid w:val="08FF3933"/>
    <w:rsid w:val="090091E1"/>
    <w:rsid w:val="092A9635"/>
    <w:rsid w:val="0944115A"/>
    <w:rsid w:val="09522995"/>
    <w:rsid w:val="095D5599"/>
    <w:rsid w:val="097DFD58"/>
    <w:rsid w:val="0996EBDC"/>
    <w:rsid w:val="099C9FC6"/>
    <w:rsid w:val="09C48291"/>
    <w:rsid w:val="09C88570"/>
    <w:rsid w:val="09C89CA0"/>
    <w:rsid w:val="09CB2792"/>
    <w:rsid w:val="09D7C500"/>
    <w:rsid w:val="09F3FC8D"/>
    <w:rsid w:val="09F471F4"/>
    <w:rsid w:val="0A31E1BD"/>
    <w:rsid w:val="0A3D0726"/>
    <w:rsid w:val="0A3E1DF0"/>
    <w:rsid w:val="0A46C3BF"/>
    <w:rsid w:val="0A57AD08"/>
    <w:rsid w:val="0A698825"/>
    <w:rsid w:val="0A6C505B"/>
    <w:rsid w:val="0A956069"/>
    <w:rsid w:val="0A9CFBEE"/>
    <w:rsid w:val="0AAC2D69"/>
    <w:rsid w:val="0AC65E1A"/>
    <w:rsid w:val="0AC72F64"/>
    <w:rsid w:val="0ACA15CA"/>
    <w:rsid w:val="0ADA9794"/>
    <w:rsid w:val="0AE1EDF1"/>
    <w:rsid w:val="0B00D346"/>
    <w:rsid w:val="0B209446"/>
    <w:rsid w:val="0B23FFCB"/>
    <w:rsid w:val="0B272A01"/>
    <w:rsid w:val="0B3C5241"/>
    <w:rsid w:val="0B62A86D"/>
    <w:rsid w:val="0B67766E"/>
    <w:rsid w:val="0B684EFB"/>
    <w:rsid w:val="0B7C3F94"/>
    <w:rsid w:val="0B7D71FB"/>
    <w:rsid w:val="0B8A1298"/>
    <w:rsid w:val="0B8AA873"/>
    <w:rsid w:val="0BB86974"/>
    <w:rsid w:val="0BC1A63D"/>
    <w:rsid w:val="0BC66B27"/>
    <w:rsid w:val="0BC8D6AA"/>
    <w:rsid w:val="0BF883CA"/>
    <w:rsid w:val="0BF8B0B3"/>
    <w:rsid w:val="0BFE040F"/>
    <w:rsid w:val="0C111C28"/>
    <w:rsid w:val="0C17E05B"/>
    <w:rsid w:val="0C25E87E"/>
    <w:rsid w:val="0C2EC525"/>
    <w:rsid w:val="0C6BF429"/>
    <w:rsid w:val="0C861E76"/>
    <w:rsid w:val="0C8C421A"/>
    <w:rsid w:val="0C98558E"/>
    <w:rsid w:val="0C9C5352"/>
    <w:rsid w:val="0C9D69F2"/>
    <w:rsid w:val="0CA29657"/>
    <w:rsid w:val="0CA8F6D1"/>
    <w:rsid w:val="0CAC1331"/>
    <w:rsid w:val="0CEC8EFF"/>
    <w:rsid w:val="0D018ED7"/>
    <w:rsid w:val="0D043215"/>
    <w:rsid w:val="0D07F0DE"/>
    <w:rsid w:val="0D0F05C4"/>
    <w:rsid w:val="0D39C766"/>
    <w:rsid w:val="0D5BE590"/>
    <w:rsid w:val="0D5F3341"/>
    <w:rsid w:val="0D5FB208"/>
    <w:rsid w:val="0D6829CE"/>
    <w:rsid w:val="0D720DC6"/>
    <w:rsid w:val="0D757222"/>
    <w:rsid w:val="0D79FEBD"/>
    <w:rsid w:val="0D81A055"/>
    <w:rsid w:val="0DA0E46E"/>
    <w:rsid w:val="0DA80A32"/>
    <w:rsid w:val="0DC5F3B6"/>
    <w:rsid w:val="0DDED34E"/>
    <w:rsid w:val="0DE83197"/>
    <w:rsid w:val="0DEC2FF2"/>
    <w:rsid w:val="0DF7D43B"/>
    <w:rsid w:val="0DF89F04"/>
    <w:rsid w:val="0E1D2630"/>
    <w:rsid w:val="0E25F6DA"/>
    <w:rsid w:val="0E67BB1C"/>
    <w:rsid w:val="0E6A3DAB"/>
    <w:rsid w:val="0E7908F7"/>
    <w:rsid w:val="0E7EF27C"/>
    <w:rsid w:val="0E7F1608"/>
    <w:rsid w:val="0E85F553"/>
    <w:rsid w:val="0E8E4C1C"/>
    <w:rsid w:val="0EC151DB"/>
    <w:rsid w:val="0ED3F49F"/>
    <w:rsid w:val="0ED80257"/>
    <w:rsid w:val="0EDA7605"/>
    <w:rsid w:val="0EDA7BB5"/>
    <w:rsid w:val="0EDAD6E4"/>
    <w:rsid w:val="0EDE9B63"/>
    <w:rsid w:val="0EEA74C5"/>
    <w:rsid w:val="0EEB48A4"/>
    <w:rsid w:val="0EFBC9D4"/>
    <w:rsid w:val="0F2AF7EE"/>
    <w:rsid w:val="0F412BA3"/>
    <w:rsid w:val="0F7DC6C8"/>
    <w:rsid w:val="0FA553C4"/>
    <w:rsid w:val="0FB63399"/>
    <w:rsid w:val="0FB914A5"/>
    <w:rsid w:val="0FC48F6E"/>
    <w:rsid w:val="0FC4947C"/>
    <w:rsid w:val="0FD57446"/>
    <w:rsid w:val="0FD844C2"/>
    <w:rsid w:val="0FDC4BF0"/>
    <w:rsid w:val="0FECFD18"/>
    <w:rsid w:val="0FEE7AA6"/>
    <w:rsid w:val="10051C70"/>
    <w:rsid w:val="10152295"/>
    <w:rsid w:val="10192B6E"/>
    <w:rsid w:val="1033B0DA"/>
    <w:rsid w:val="1047306A"/>
    <w:rsid w:val="106071E4"/>
    <w:rsid w:val="10642743"/>
    <w:rsid w:val="106A13F1"/>
    <w:rsid w:val="106D4F8A"/>
    <w:rsid w:val="10735B1C"/>
    <w:rsid w:val="109A9CD2"/>
    <w:rsid w:val="10B357F6"/>
    <w:rsid w:val="10E308F9"/>
    <w:rsid w:val="10E5A140"/>
    <w:rsid w:val="10E8F247"/>
    <w:rsid w:val="10F2B93D"/>
    <w:rsid w:val="10F9F5EE"/>
    <w:rsid w:val="11035F74"/>
    <w:rsid w:val="112BE90B"/>
    <w:rsid w:val="112CE13D"/>
    <w:rsid w:val="1137D127"/>
    <w:rsid w:val="11474377"/>
    <w:rsid w:val="115A25E1"/>
    <w:rsid w:val="1174C7DD"/>
    <w:rsid w:val="117CAE8B"/>
    <w:rsid w:val="117E638D"/>
    <w:rsid w:val="1188DA2C"/>
    <w:rsid w:val="118E4B92"/>
    <w:rsid w:val="119CBC18"/>
    <w:rsid w:val="11AA2905"/>
    <w:rsid w:val="11B3CE33"/>
    <w:rsid w:val="11BFFA07"/>
    <w:rsid w:val="11C54454"/>
    <w:rsid w:val="11CCAD43"/>
    <w:rsid w:val="11E82DEC"/>
    <w:rsid w:val="11F0D3BD"/>
    <w:rsid w:val="11F4360E"/>
    <w:rsid w:val="11F7DD68"/>
    <w:rsid w:val="1200BFB9"/>
    <w:rsid w:val="12126077"/>
    <w:rsid w:val="123E79E4"/>
    <w:rsid w:val="124A3476"/>
    <w:rsid w:val="124FCFE5"/>
    <w:rsid w:val="12509825"/>
    <w:rsid w:val="125515DE"/>
    <w:rsid w:val="1256A193"/>
    <w:rsid w:val="125DC3C7"/>
    <w:rsid w:val="126A40D7"/>
    <w:rsid w:val="126B78D6"/>
    <w:rsid w:val="126D5CA0"/>
    <w:rsid w:val="1270AEC2"/>
    <w:rsid w:val="127B765C"/>
    <w:rsid w:val="1286C7E8"/>
    <w:rsid w:val="12919355"/>
    <w:rsid w:val="129D7933"/>
    <w:rsid w:val="129F0374"/>
    <w:rsid w:val="12A4AA20"/>
    <w:rsid w:val="12AEB354"/>
    <w:rsid w:val="12B089AC"/>
    <w:rsid w:val="12B0E6A4"/>
    <w:rsid w:val="12B6652D"/>
    <w:rsid w:val="12CDF538"/>
    <w:rsid w:val="12CEF387"/>
    <w:rsid w:val="12E583B6"/>
    <w:rsid w:val="12F234AB"/>
    <w:rsid w:val="12F621B8"/>
    <w:rsid w:val="133A81B7"/>
    <w:rsid w:val="13585E00"/>
    <w:rsid w:val="13594703"/>
    <w:rsid w:val="1367E539"/>
    <w:rsid w:val="137126D3"/>
    <w:rsid w:val="1375B76F"/>
    <w:rsid w:val="1382E022"/>
    <w:rsid w:val="13832216"/>
    <w:rsid w:val="138D1966"/>
    <w:rsid w:val="138D7ACF"/>
    <w:rsid w:val="1393A442"/>
    <w:rsid w:val="1394CCF5"/>
    <w:rsid w:val="13970060"/>
    <w:rsid w:val="13A3D888"/>
    <w:rsid w:val="13A3E055"/>
    <w:rsid w:val="13AC0216"/>
    <w:rsid w:val="13B0E41B"/>
    <w:rsid w:val="13B4CD31"/>
    <w:rsid w:val="13BA0C35"/>
    <w:rsid w:val="13BDC0EB"/>
    <w:rsid w:val="13D0D690"/>
    <w:rsid w:val="13DA4D31"/>
    <w:rsid w:val="13DC90D5"/>
    <w:rsid w:val="13E3C6D9"/>
    <w:rsid w:val="13F4012A"/>
    <w:rsid w:val="1407DC16"/>
    <w:rsid w:val="14336464"/>
    <w:rsid w:val="1439E12D"/>
    <w:rsid w:val="1451A386"/>
    <w:rsid w:val="146B3A32"/>
    <w:rsid w:val="146B615A"/>
    <w:rsid w:val="1480503F"/>
    <w:rsid w:val="14860177"/>
    <w:rsid w:val="148C16F9"/>
    <w:rsid w:val="149542B8"/>
    <w:rsid w:val="14A7ED57"/>
    <w:rsid w:val="14AAEA55"/>
    <w:rsid w:val="14ABB241"/>
    <w:rsid w:val="14B239FA"/>
    <w:rsid w:val="14C7F678"/>
    <w:rsid w:val="14C8C238"/>
    <w:rsid w:val="14F2EDDA"/>
    <w:rsid w:val="14FF9E76"/>
    <w:rsid w:val="151238F6"/>
    <w:rsid w:val="151278BD"/>
    <w:rsid w:val="15189C2B"/>
    <w:rsid w:val="1523A543"/>
    <w:rsid w:val="152453DC"/>
    <w:rsid w:val="1535F7AF"/>
    <w:rsid w:val="153FF044"/>
    <w:rsid w:val="15435001"/>
    <w:rsid w:val="15462AEE"/>
    <w:rsid w:val="154E0D97"/>
    <w:rsid w:val="154FF903"/>
    <w:rsid w:val="1553176B"/>
    <w:rsid w:val="1555924C"/>
    <w:rsid w:val="156AC2DD"/>
    <w:rsid w:val="1579DBC8"/>
    <w:rsid w:val="158107C7"/>
    <w:rsid w:val="15820511"/>
    <w:rsid w:val="1582D183"/>
    <w:rsid w:val="15918E3A"/>
    <w:rsid w:val="1596499F"/>
    <w:rsid w:val="1596D20E"/>
    <w:rsid w:val="15B33D25"/>
    <w:rsid w:val="15C29CED"/>
    <w:rsid w:val="15DCCDED"/>
    <w:rsid w:val="15DF6E3A"/>
    <w:rsid w:val="15F16C5C"/>
    <w:rsid w:val="15F77926"/>
    <w:rsid w:val="15FE5CA8"/>
    <w:rsid w:val="161A637F"/>
    <w:rsid w:val="161FACEE"/>
    <w:rsid w:val="1625E9A4"/>
    <w:rsid w:val="162E1349"/>
    <w:rsid w:val="162E5085"/>
    <w:rsid w:val="16302B9A"/>
    <w:rsid w:val="163D194E"/>
    <w:rsid w:val="1642DCF8"/>
    <w:rsid w:val="16451EB8"/>
    <w:rsid w:val="1653BACA"/>
    <w:rsid w:val="166EE06F"/>
    <w:rsid w:val="1675DA01"/>
    <w:rsid w:val="16791BB2"/>
    <w:rsid w:val="168F2319"/>
    <w:rsid w:val="1697BE42"/>
    <w:rsid w:val="16A7273F"/>
    <w:rsid w:val="16BDB12C"/>
    <w:rsid w:val="16BEB419"/>
    <w:rsid w:val="16C71780"/>
    <w:rsid w:val="16E34D8E"/>
    <w:rsid w:val="170AC654"/>
    <w:rsid w:val="170E027C"/>
    <w:rsid w:val="1714FA6E"/>
    <w:rsid w:val="171B97FA"/>
    <w:rsid w:val="172989E1"/>
    <w:rsid w:val="17335531"/>
    <w:rsid w:val="1745D907"/>
    <w:rsid w:val="174F2157"/>
    <w:rsid w:val="1750617B"/>
    <w:rsid w:val="1760D709"/>
    <w:rsid w:val="1765B3A2"/>
    <w:rsid w:val="177D0D39"/>
    <w:rsid w:val="177D153B"/>
    <w:rsid w:val="1798A7B6"/>
    <w:rsid w:val="179B3A1A"/>
    <w:rsid w:val="17A3782D"/>
    <w:rsid w:val="17DB3A83"/>
    <w:rsid w:val="17DDF012"/>
    <w:rsid w:val="17EEE853"/>
    <w:rsid w:val="17F418B1"/>
    <w:rsid w:val="17FC87C1"/>
    <w:rsid w:val="17FEC14D"/>
    <w:rsid w:val="18125182"/>
    <w:rsid w:val="183C53EE"/>
    <w:rsid w:val="184021DA"/>
    <w:rsid w:val="18446DFB"/>
    <w:rsid w:val="184769DC"/>
    <w:rsid w:val="186BAE05"/>
    <w:rsid w:val="1871589B"/>
    <w:rsid w:val="18739206"/>
    <w:rsid w:val="18B1C937"/>
    <w:rsid w:val="18B2AFC9"/>
    <w:rsid w:val="18BB75CC"/>
    <w:rsid w:val="18BC5B1C"/>
    <w:rsid w:val="18CD6077"/>
    <w:rsid w:val="18D2D67C"/>
    <w:rsid w:val="18D62845"/>
    <w:rsid w:val="18EA2CAD"/>
    <w:rsid w:val="18F2B55B"/>
    <w:rsid w:val="18F762AE"/>
    <w:rsid w:val="18FDF2C9"/>
    <w:rsid w:val="190E95CF"/>
    <w:rsid w:val="1910448C"/>
    <w:rsid w:val="192593BD"/>
    <w:rsid w:val="192C4942"/>
    <w:rsid w:val="1936303B"/>
    <w:rsid w:val="1937FA39"/>
    <w:rsid w:val="1954A665"/>
    <w:rsid w:val="195A7E5C"/>
    <w:rsid w:val="19670CD8"/>
    <w:rsid w:val="196F2238"/>
    <w:rsid w:val="199142A8"/>
    <w:rsid w:val="19951ACC"/>
    <w:rsid w:val="199E82B0"/>
    <w:rsid w:val="19A103F1"/>
    <w:rsid w:val="19AA523D"/>
    <w:rsid w:val="19AC8822"/>
    <w:rsid w:val="19BC0D7D"/>
    <w:rsid w:val="19C86834"/>
    <w:rsid w:val="19C960B0"/>
    <w:rsid w:val="19E0B6F8"/>
    <w:rsid w:val="19E555F1"/>
    <w:rsid w:val="19F7340C"/>
    <w:rsid w:val="19FB92F8"/>
    <w:rsid w:val="1A1FD8DA"/>
    <w:rsid w:val="1A284C17"/>
    <w:rsid w:val="1A2A01DE"/>
    <w:rsid w:val="1A39659B"/>
    <w:rsid w:val="1A3E2BC1"/>
    <w:rsid w:val="1A407A5D"/>
    <w:rsid w:val="1A545756"/>
    <w:rsid w:val="1A630E1F"/>
    <w:rsid w:val="1A6FAD5A"/>
    <w:rsid w:val="1A9DB526"/>
    <w:rsid w:val="1AA21E97"/>
    <w:rsid w:val="1AB44975"/>
    <w:rsid w:val="1AB58688"/>
    <w:rsid w:val="1AB5BDF2"/>
    <w:rsid w:val="1AE115C9"/>
    <w:rsid w:val="1AEF824F"/>
    <w:rsid w:val="1B06AC83"/>
    <w:rsid w:val="1B15F8C9"/>
    <w:rsid w:val="1B1D1837"/>
    <w:rsid w:val="1B3CA11F"/>
    <w:rsid w:val="1B44F818"/>
    <w:rsid w:val="1B52B582"/>
    <w:rsid w:val="1B64BC94"/>
    <w:rsid w:val="1B6BEA10"/>
    <w:rsid w:val="1B878FF0"/>
    <w:rsid w:val="1B94EAE1"/>
    <w:rsid w:val="1B9769C8"/>
    <w:rsid w:val="1BA77659"/>
    <w:rsid w:val="1BC83873"/>
    <w:rsid w:val="1BE465A8"/>
    <w:rsid w:val="1BED7588"/>
    <w:rsid w:val="1C16CC04"/>
    <w:rsid w:val="1C2BAF74"/>
    <w:rsid w:val="1C318B14"/>
    <w:rsid w:val="1C3DBC6B"/>
    <w:rsid w:val="1C49E67A"/>
    <w:rsid w:val="1C4B713E"/>
    <w:rsid w:val="1C5D1522"/>
    <w:rsid w:val="1C5E099C"/>
    <w:rsid w:val="1C644160"/>
    <w:rsid w:val="1C6706CB"/>
    <w:rsid w:val="1C6A8EBE"/>
    <w:rsid w:val="1C6D2FD9"/>
    <w:rsid w:val="1C725DB2"/>
    <w:rsid w:val="1C81C455"/>
    <w:rsid w:val="1C842FA5"/>
    <w:rsid w:val="1C940A00"/>
    <w:rsid w:val="1CA0C10E"/>
    <w:rsid w:val="1CADAD08"/>
    <w:rsid w:val="1CAFC276"/>
    <w:rsid w:val="1CB224BE"/>
    <w:rsid w:val="1CB40598"/>
    <w:rsid w:val="1CBDAE79"/>
    <w:rsid w:val="1CC0DF31"/>
    <w:rsid w:val="1CCC7A29"/>
    <w:rsid w:val="1CD88F99"/>
    <w:rsid w:val="1CE99721"/>
    <w:rsid w:val="1D0BE25B"/>
    <w:rsid w:val="1D1C8822"/>
    <w:rsid w:val="1D274F55"/>
    <w:rsid w:val="1D29CC3A"/>
    <w:rsid w:val="1D30762B"/>
    <w:rsid w:val="1D39B855"/>
    <w:rsid w:val="1D3A13A1"/>
    <w:rsid w:val="1D46DECC"/>
    <w:rsid w:val="1D55867C"/>
    <w:rsid w:val="1D59F466"/>
    <w:rsid w:val="1D742C10"/>
    <w:rsid w:val="1D760EDA"/>
    <w:rsid w:val="1D855EEB"/>
    <w:rsid w:val="1D8F344D"/>
    <w:rsid w:val="1D938534"/>
    <w:rsid w:val="1D9506A6"/>
    <w:rsid w:val="1D9B0425"/>
    <w:rsid w:val="1DAF1EE4"/>
    <w:rsid w:val="1DC39DA8"/>
    <w:rsid w:val="1DC4AFCE"/>
    <w:rsid w:val="1DD456FE"/>
    <w:rsid w:val="1DE67C52"/>
    <w:rsid w:val="1DF7F91C"/>
    <w:rsid w:val="1E1C198D"/>
    <w:rsid w:val="1E204CF4"/>
    <w:rsid w:val="1E2A041D"/>
    <w:rsid w:val="1E2CE94B"/>
    <w:rsid w:val="1E47D5B1"/>
    <w:rsid w:val="1E568CC1"/>
    <w:rsid w:val="1E5B4444"/>
    <w:rsid w:val="1E635888"/>
    <w:rsid w:val="1E639DDC"/>
    <w:rsid w:val="1E796840"/>
    <w:rsid w:val="1E7F7EA6"/>
    <w:rsid w:val="1E852078"/>
    <w:rsid w:val="1E87D95C"/>
    <w:rsid w:val="1EB1F753"/>
    <w:rsid w:val="1EB207FE"/>
    <w:rsid w:val="1EB53775"/>
    <w:rsid w:val="1EB59225"/>
    <w:rsid w:val="1EB6D1B7"/>
    <w:rsid w:val="1EC4AF1B"/>
    <w:rsid w:val="1EF0DBD9"/>
    <w:rsid w:val="1EF70F1B"/>
    <w:rsid w:val="1F01EC9C"/>
    <w:rsid w:val="1F08C481"/>
    <w:rsid w:val="1F113A57"/>
    <w:rsid w:val="1F2C27FA"/>
    <w:rsid w:val="1F2F710C"/>
    <w:rsid w:val="1F30DF7E"/>
    <w:rsid w:val="1F344B7E"/>
    <w:rsid w:val="1F34AD9F"/>
    <w:rsid w:val="1F36FB2C"/>
    <w:rsid w:val="1F38D917"/>
    <w:rsid w:val="1F683786"/>
    <w:rsid w:val="1F6F4B7E"/>
    <w:rsid w:val="1F7A8CA8"/>
    <w:rsid w:val="1F84A236"/>
    <w:rsid w:val="1FA973A4"/>
    <w:rsid w:val="1FBC8125"/>
    <w:rsid w:val="1FC06652"/>
    <w:rsid w:val="1FC3AA06"/>
    <w:rsid w:val="1FD6442B"/>
    <w:rsid w:val="1FF0C311"/>
    <w:rsid w:val="201C4577"/>
    <w:rsid w:val="2024B099"/>
    <w:rsid w:val="2029CD9E"/>
    <w:rsid w:val="2033BB57"/>
    <w:rsid w:val="203752BE"/>
    <w:rsid w:val="203AF459"/>
    <w:rsid w:val="205C1C44"/>
    <w:rsid w:val="20617C2C"/>
    <w:rsid w:val="2096F6AB"/>
    <w:rsid w:val="20A862E9"/>
    <w:rsid w:val="20A9D2C7"/>
    <w:rsid w:val="20A9DAF2"/>
    <w:rsid w:val="20B6A4EA"/>
    <w:rsid w:val="20B8CBE5"/>
    <w:rsid w:val="20C12A2F"/>
    <w:rsid w:val="20C46344"/>
    <w:rsid w:val="20C7ED14"/>
    <w:rsid w:val="20D0B1B0"/>
    <w:rsid w:val="20E66040"/>
    <w:rsid w:val="211C939E"/>
    <w:rsid w:val="211E343B"/>
    <w:rsid w:val="215BAB78"/>
    <w:rsid w:val="215C6C7C"/>
    <w:rsid w:val="216AF97F"/>
    <w:rsid w:val="217670CF"/>
    <w:rsid w:val="21796656"/>
    <w:rsid w:val="2179E497"/>
    <w:rsid w:val="218761FE"/>
    <w:rsid w:val="21920906"/>
    <w:rsid w:val="21A06827"/>
    <w:rsid w:val="21ACA853"/>
    <w:rsid w:val="21C4716E"/>
    <w:rsid w:val="21E75791"/>
    <w:rsid w:val="21F780E8"/>
    <w:rsid w:val="2219C7A1"/>
    <w:rsid w:val="221DB2F5"/>
    <w:rsid w:val="221F1162"/>
    <w:rsid w:val="222428BA"/>
    <w:rsid w:val="222869B3"/>
    <w:rsid w:val="222EAC9B"/>
    <w:rsid w:val="223484E2"/>
    <w:rsid w:val="223A0D59"/>
    <w:rsid w:val="223B5F5F"/>
    <w:rsid w:val="22409B4E"/>
    <w:rsid w:val="22426BA0"/>
    <w:rsid w:val="224CD69C"/>
    <w:rsid w:val="224F2FFE"/>
    <w:rsid w:val="2250BC23"/>
    <w:rsid w:val="226B4395"/>
    <w:rsid w:val="226F22C3"/>
    <w:rsid w:val="228C7958"/>
    <w:rsid w:val="22938BE7"/>
    <w:rsid w:val="22957222"/>
    <w:rsid w:val="22B2782A"/>
    <w:rsid w:val="22B445D1"/>
    <w:rsid w:val="22B898D1"/>
    <w:rsid w:val="22BA8C1A"/>
    <w:rsid w:val="22EB1A46"/>
    <w:rsid w:val="22F6A93D"/>
    <w:rsid w:val="2319A92E"/>
    <w:rsid w:val="2339F3FB"/>
    <w:rsid w:val="23489DCA"/>
    <w:rsid w:val="235315D9"/>
    <w:rsid w:val="235A1822"/>
    <w:rsid w:val="2360A9B8"/>
    <w:rsid w:val="237D840D"/>
    <w:rsid w:val="2397C1B6"/>
    <w:rsid w:val="23A39D77"/>
    <w:rsid w:val="23AA70F5"/>
    <w:rsid w:val="23AB485D"/>
    <w:rsid w:val="23B3168E"/>
    <w:rsid w:val="23B882B3"/>
    <w:rsid w:val="23D28AD6"/>
    <w:rsid w:val="23EFE5E0"/>
    <w:rsid w:val="23FB7177"/>
    <w:rsid w:val="240D84FE"/>
    <w:rsid w:val="24167523"/>
    <w:rsid w:val="241A5F2F"/>
    <w:rsid w:val="24367812"/>
    <w:rsid w:val="24378877"/>
    <w:rsid w:val="2438E21F"/>
    <w:rsid w:val="24410DCA"/>
    <w:rsid w:val="2442BAB7"/>
    <w:rsid w:val="24491F61"/>
    <w:rsid w:val="24538BE2"/>
    <w:rsid w:val="2455233C"/>
    <w:rsid w:val="24708834"/>
    <w:rsid w:val="24779899"/>
    <w:rsid w:val="24A4CC89"/>
    <w:rsid w:val="24B11192"/>
    <w:rsid w:val="24B78D1A"/>
    <w:rsid w:val="24B92092"/>
    <w:rsid w:val="24DC4AF8"/>
    <w:rsid w:val="24E3DBDE"/>
    <w:rsid w:val="24E4B305"/>
    <w:rsid w:val="24EA4B61"/>
    <w:rsid w:val="2513A72A"/>
    <w:rsid w:val="25192A39"/>
    <w:rsid w:val="253EEA86"/>
    <w:rsid w:val="2554BE41"/>
    <w:rsid w:val="255696F0"/>
    <w:rsid w:val="256BF279"/>
    <w:rsid w:val="256FAC7D"/>
    <w:rsid w:val="258AEB5F"/>
    <w:rsid w:val="25A29478"/>
    <w:rsid w:val="25A4AFAC"/>
    <w:rsid w:val="25BEC87A"/>
    <w:rsid w:val="25BFEDC0"/>
    <w:rsid w:val="25DAB823"/>
    <w:rsid w:val="260471BA"/>
    <w:rsid w:val="260C4CCC"/>
    <w:rsid w:val="260E4EB2"/>
    <w:rsid w:val="26175BE2"/>
    <w:rsid w:val="261D0B40"/>
    <w:rsid w:val="262261B2"/>
    <w:rsid w:val="26260DA9"/>
    <w:rsid w:val="262F7C7F"/>
    <w:rsid w:val="26495E1B"/>
    <w:rsid w:val="264E345B"/>
    <w:rsid w:val="26505105"/>
    <w:rsid w:val="265CCB4F"/>
    <w:rsid w:val="2663BADF"/>
    <w:rsid w:val="26670094"/>
    <w:rsid w:val="2667774A"/>
    <w:rsid w:val="268331AF"/>
    <w:rsid w:val="268B41FF"/>
    <w:rsid w:val="26900D94"/>
    <w:rsid w:val="26992F81"/>
    <w:rsid w:val="26A72BAD"/>
    <w:rsid w:val="26CA79AD"/>
    <w:rsid w:val="26CB80B8"/>
    <w:rsid w:val="26CD0EAF"/>
    <w:rsid w:val="26DEC940"/>
    <w:rsid w:val="26FE4509"/>
    <w:rsid w:val="270CDE98"/>
    <w:rsid w:val="2717826E"/>
    <w:rsid w:val="271989DC"/>
    <w:rsid w:val="271D87D3"/>
    <w:rsid w:val="272A18FA"/>
    <w:rsid w:val="273165E8"/>
    <w:rsid w:val="273A56F0"/>
    <w:rsid w:val="27411593"/>
    <w:rsid w:val="27486922"/>
    <w:rsid w:val="27627E34"/>
    <w:rsid w:val="27794DF3"/>
    <w:rsid w:val="2790BE82"/>
    <w:rsid w:val="279E8778"/>
    <w:rsid w:val="27AA74DC"/>
    <w:rsid w:val="27ADFF8B"/>
    <w:rsid w:val="27B59F05"/>
    <w:rsid w:val="27B87C8D"/>
    <w:rsid w:val="27B90E46"/>
    <w:rsid w:val="27BC17AC"/>
    <w:rsid w:val="27C19BD0"/>
    <w:rsid w:val="27CA4F0D"/>
    <w:rsid w:val="27CA87B7"/>
    <w:rsid w:val="27D55A1B"/>
    <w:rsid w:val="27D7A47C"/>
    <w:rsid w:val="27DC15A8"/>
    <w:rsid w:val="27E7AA64"/>
    <w:rsid w:val="27F0E168"/>
    <w:rsid w:val="27F80A4A"/>
    <w:rsid w:val="27FD8D15"/>
    <w:rsid w:val="28089DAB"/>
    <w:rsid w:val="28359BDE"/>
    <w:rsid w:val="284AE350"/>
    <w:rsid w:val="284BA3BA"/>
    <w:rsid w:val="286B83B9"/>
    <w:rsid w:val="28745540"/>
    <w:rsid w:val="28812D6B"/>
    <w:rsid w:val="288F135D"/>
    <w:rsid w:val="28A0F75B"/>
    <w:rsid w:val="28A22823"/>
    <w:rsid w:val="28A73F66"/>
    <w:rsid w:val="28D07ED0"/>
    <w:rsid w:val="28D6EE2E"/>
    <w:rsid w:val="28E0FCB0"/>
    <w:rsid w:val="28F6A082"/>
    <w:rsid w:val="291CF52A"/>
    <w:rsid w:val="292E0A85"/>
    <w:rsid w:val="2936937A"/>
    <w:rsid w:val="29456248"/>
    <w:rsid w:val="294931C3"/>
    <w:rsid w:val="295D16E0"/>
    <w:rsid w:val="295E20F3"/>
    <w:rsid w:val="2961ABCA"/>
    <w:rsid w:val="29808819"/>
    <w:rsid w:val="298202CD"/>
    <w:rsid w:val="298B062D"/>
    <w:rsid w:val="298FAA90"/>
    <w:rsid w:val="299817D6"/>
    <w:rsid w:val="29A54778"/>
    <w:rsid w:val="29D0CA49"/>
    <w:rsid w:val="29D7921C"/>
    <w:rsid w:val="29DE3D4F"/>
    <w:rsid w:val="29E565CE"/>
    <w:rsid w:val="29E814B8"/>
    <w:rsid w:val="29E83B5F"/>
    <w:rsid w:val="29FC498B"/>
    <w:rsid w:val="29FFFA14"/>
    <w:rsid w:val="2A0119A6"/>
    <w:rsid w:val="2A3C8F81"/>
    <w:rsid w:val="2A3DD395"/>
    <w:rsid w:val="2A46BF3B"/>
    <w:rsid w:val="2A5E1F98"/>
    <w:rsid w:val="2A6E14E0"/>
    <w:rsid w:val="2A7BF904"/>
    <w:rsid w:val="2A8A9EDB"/>
    <w:rsid w:val="2A8DB03C"/>
    <w:rsid w:val="2A9C31C0"/>
    <w:rsid w:val="2AB2D15D"/>
    <w:rsid w:val="2ACCF0EC"/>
    <w:rsid w:val="2ACE215D"/>
    <w:rsid w:val="2ACE86B1"/>
    <w:rsid w:val="2ADA3C8C"/>
    <w:rsid w:val="2AECE604"/>
    <w:rsid w:val="2AEED1A6"/>
    <w:rsid w:val="2AF7284B"/>
    <w:rsid w:val="2AF93898"/>
    <w:rsid w:val="2B083EA7"/>
    <w:rsid w:val="2B142ECF"/>
    <w:rsid w:val="2B1B1F01"/>
    <w:rsid w:val="2B25D83E"/>
    <w:rsid w:val="2B39A462"/>
    <w:rsid w:val="2B403AA9"/>
    <w:rsid w:val="2B49A923"/>
    <w:rsid w:val="2B4C2ACB"/>
    <w:rsid w:val="2B60BFC3"/>
    <w:rsid w:val="2B6F3A9D"/>
    <w:rsid w:val="2B7CE8F5"/>
    <w:rsid w:val="2B853967"/>
    <w:rsid w:val="2B973E5A"/>
    <w:rsid w:val="2B991E4E"/>
    <w:rsid w:val="2BA6D896"/>
    <w:rsid w:val="2BB03662"/>
    <w:rsid w:val="2BC2B10F"/>
    <w:rsid w:val="2BC53385"/>
    <w:rsid w:val="2BCD28C6"/>
    <w:rsid w:val="2BD2888C"/>
    <w:rsid w:val="2BD3547A"/>
    <w:rsid w:val="2BD8535D"/>
    <w:rsid w:val="2BDB4AC2"/>
    <w:rsid w:val="2BF73623"/>
    <w:rsid w:val="2C309A5C"/>
    <w:rsid w:val="2C3BB598"/>
    <w:rsid w:val="2C43C7D0"/>
    <w:rsid w:val="2C83D8E1"/>
    <w:rsid w:val="2C94BB14"/>
    <w:rsid w:val="2CA32390"/>
    <w:rsid w:val="2CB65706"/>
    <w:rsid w:val="2CBCC7F6"/>
    <w:rsid w:val="2CC832EE"/>
    <w:rsid w:val="2CC96828"/>
    <w:rsid w:val="2CCDB38A"/>
    <w:rsid w:val="2CE9642B"/>
    <w:rsid w:val="2CF34CF2"/>
    <w:rsid w:val="2CF46C81"/>
    <w:rsid w:val="2CFD00AD"/>
    <w:rsid w:val="2D0170B9"/>
    <w:rsid w:val="2D0A5A4A"/>
    <w:rsid w:val="2D0E9CFA"/>
    <w:rsid w:val="2D1BDFD2"/>
    <w:rsid w:val="2D332E7F"/>
    <w:rsid w:val="2D4747FF"/>
    <w:rsid w:val="2D5C0615"/>
    <w:rsid w:val="2D67AE6F"/>
    <w:rsid w:val="2D719898"/>
    <w:rsid w:val="2D9EADEF"/>
    <w:rsid w:val="2DA046D9"/>
    <w:rsid w:val="2DB2315B"/>
    <w:rsid w:val="2DBE8634"/>
    <w:rsid w:val="2DC9597D"/>
    <w:rsid w:val="2DD0F6E1"/>
    <w:rsid w:val="2DD3DDF9"/>
    <w:rsid w:val="2DDE6024"/>
    <w:rsid w:val="2DE0ABF0"/>
    <w:rsid w:val="2DF0AC99"/>
    <w:rsid w:val="2DFA524E"/>
    <w:rsid w:val="2DFFC84C"/>
    <w:rsid w:val="2E008DA3"/>
    <w:rsid w:val="2E139956"/>
    <w:rsid w:val="2E230A67"/>
    <w:rsid w:val="2E2F085A"/>
    <w:rsid w:val="2E38A2D4"/>
    <w:rsid w:val="2E395ECB"/>
    <w:rsid w:val="2E3AFD76"/>
    <w:rsid w:val="2E6AB482"/>
    <w:rsid w:val="2E798050"/>
    <w:rsid w:val="2E7B4D8F"/>
    <w:rsid w:val="2E89DB4E"/>
    <w:rsid w:val="2E8FF9C7"/>
    <w:rsid w:val="2E944F62"/>
    <w:rsid w:val="2E9FD82F"/>
    <w:rsid w:val="2EAB6481"/>
    <w:rsid w:val="2EE9894A"/>
    <w:rsid w:val="2EFA1319"/>
    <w:rsid w:val="2F0DCD56"/>
    <w:rsid w:val="2F25173B"/>
    <w:rsid w:val="2F28853C"/>
    <w:rsid w:val="2F3B3C49"/>
    <w:rsid w:val="2F4A1A88"/>
    <w:rsid w:val="2F69FECC"/>
    <w:rsid w:val="2F6CAF63"/>
    <w:rsid w:val="2F721A46"/>
    <w:rsid w:val="2F7FF547"/>
    <w:rsid w:val="2F853B8F"/>
    <w:rsid w:val="2F8B4AE1"/>
    <w:rsid w:val="2F8F95AF"/>
    <w:rsid w:val="2F9482C3"/>
    <w:rsid w:val="2F99FBFB"/>
    <w:rsid w:val="2FA4501D"/>
    <w:rsid w:val="2FB16229"/>
    <w:rsid w:val="2FB95222"/>
    <w:rsid w:val="2FC0026E"/>
    <w:rsid w:val="2FC5FE12"/>
    <w:rsid w:val="2FC88FBB"/>
    <w:rsid w:val="2FCFAB08"/>
    <w:rsid w:val="2FD2C279"/>
    <w:rsid w:val="2FFCA621"/>
    <w:rsid w:val="3008DA7F"/>
    <w:rsid w:val="301D91E3"/>
    <w:rsid w:val="302197B9"/>
    <w:rsid w:val="3029C1D1"/>
    <w:rsid w:val="302D40FF"/>
    <w:rsid w:val="30371748"/>
    <w:rsid w:val="30394D2E"/>
    <w:rsid w:val="303AFE57"/>
    <w:rsid w:val="3040E0F1"/>
    <w:rsid w:val="3048F75F"/>
    <w:rsid w:val="304ED27F"/>
    <w:rsid w:val="305831D1"/>
    <w:rsid w:val="3058E425"/>
    <w:rsid w:val="3066A18B"/>
    <w:rsid w:val="3066E506"/>
    <w:rsid w:val="306C30CB"/>
    <w:rsid w:val="30910D29"/>
    <w:rsid w:val="30AC5F01"/>
    <w:rsid w:val="30B5D647"/>
    <w:rsid w:val="30B7D138"/>
    <w:rsid w:val="30D5061D"/>
    <w:rsid w:val="30DCFB47"/>
    <w:rsid w:val="30EBF72D"/>
    <w:rsid w:val="30F79E4D"/>
    <w:rsid w:val="30F860C7"/>
    <w:rsid w:val="30FE97B6"/>
    <w:rsid w:val="3107C037"/>
    <w:rsid w:val="3109138A"/>
    <w:rsid w:val="3110BA69"/>
    <w:rsid w:val="313EC691"/>
    <w:rsid w:val="315B357C"/>
    <w:rsid w:val="315D748F"/>
    <w:rsid w:val="316D2F5A"/>
    <w:rsid w:val="3173B86E"/>
    <w:rsid w:val="317DC48F"/>
    <w:rsid w:val="3180C519"/>
    <w:rsid w:val="31811193"/>
    <w:rsid w:val="31A75AEC"/>
    <w:rsid w:val="31A893FE"/>
    <w:rsid w:val="31AB31E9"/>
    <w:rsid w:val="31AD1F2D"/>
    <w:rsid w:val="31BAC07E"/>
    <w:rsid w:val="31D3A267"/>
    <w:rsid w:val="31FE9513"/>
    <w:rsid w:val="3205910E"/>
    <w:rsid w:val="320722C5"/>
    <w:rsid w:val="321C331B"/>
    <w:rsid w:val="32207079"/>
    <w:rsid w:val="3231C20B"/>
    <w:rsid w:val="324031EA"/>
    <w:rsid w:val="3263821F"/>
    <w:rsid w:val="326A5A16"/>
    <w:rsid w:val="326E9147"/>
    <w:rsid w:val="3273313B"/>
    <w:rsid w:val="3298174E"/>
    <w:rsid w:val="32A1D5D4"/>
    <w:rsid w:val="32A5DA01"/>
    <w:rsid w:val="32C16B1D"/>
    <w:rsid w:val="32C96629"/>
    <w:rsid w:val="32D05C30"/>
    <w:rsid w:val="33015F76"/>
    <w:rsid w:val="3303D595"/>
    <w:rsid w:val="330D9E84"/>
    <w:rsid w:val="330E04AB"/>
    <w:rsid w:val="3313F57E"/>
    <w:rsid w:val="3315CCF5"/>
    <w:rsid w:val="33168230"/>
    <w:rsid w:val="3316CEE6"/>
    <w:rsid w:val="33198D5B"/>
    <w:rsid w:val="332287D5"/>
    <w:rsid w:val="33365994"/>
    <w:rsid w:val="33371F2D"/>
    <w:rsid w:val="3340B47E"/>
    <w:rsid w:val="33531F5B"/>
    <w:rsid w:val="337FFC05"/>
    <w:rsid w:val="338DE26A"/>
    <w:rsid w:val="338E5884"/>
    <w:rsid w:val="33B341FF"/>
    <w:rsid w:val="33C0AA79"/>
    <w:rsid w:val="33C3FD72"/>
    <w:rsid w:val="33CA8896"/>
    <w:rsid w:val="33D7A5E6"/>
    <w:rsid w:val="33D830F8"/>
    <w:rsid w:val="33D935ED"/>
    <w:rsid w:val="33E49D16"/>
    <w:rsid w:val="33ECADD7"/>
    <w:rsid w:val="33F386AF"/>
    <w:rsid w:val="33F50D33"/>
    <w:rsid w:val="34089CA9"/>
    <w:rsid w:val="340DB8CA"/>
    <w:rsid w:val="341FE405"/>
    <w:rsid w:val="341FF5D0"/>
    <w:rsid w:val="342AB474"/>
    <w:rsid w:val="342AE949"/>
    <w:rsid w:val="34409778"/>
    <w:rsid w:val="344D03F8"/>
    <w:rsid w:val="344F720F"/>
    <w:rsid w:val="3456554A"/>
    <w:rsid w:val="3468DF24"/>
    <w:rsid w:val="347461A0"/>
    <w:rsid w:val="347A83EA"/>
    <w:rsid w:val="347AB5BC"/>
    <w:rsid w:val="34AD890E"/>
    <w:rsid w:val="34AF024F"/>
    <w:rsid w:val="34B3CE19"/>
    <w:rsid w:val="34BA008E"/>
    <w:rsid w:val="34DA38C8"/>
    <w:rsid w:val="34DDACC7"/>
    <w:rsid w:val="34E03481"/>
    <w:rsid w:val="350A9666"/>
    <w:rsid w:val="3515D1D5"/>
    <w:rsid w:val="35229BA2"/>
    <w:rsid w:val="3527FED0"/>
    <w:rsid w:val="3530A1EF"/>
    <w:rsid w:val="35360EFE"/>
    <w:rsid w:val="3550DEBA"/>
    <w:rsid w:val="355198BC"/>
    <w:rsid w:val="3561DA91"/>
    <w:rsid w:val="357418E2"/>
    <w:rsid w:val="357A65B7"/>
    <w:rsid w:val="357C89BF"/>
    <w:rsid w:val="359B483C"/>
    <w:rsid w:val="35A017C3"/>
    <w:rsid w:val="35A4E4BD"/>
    <w:rsid w:val="35B45183"/>
    <w:rsid w:val="35B55943"/>
    <w:rsid w:val="35BAC86D"/>
    <w:rsid w:val="35BEB528"/>
    <w:rsid w:val="35FB76F4"/>
    <w:rsid w:val="3606697A"/>
    <w:rsid w:val="362448C9"/>
    <w:rsid w:val="362756CC"/>
    <w:rsid w:val="3631A8C6"/>
    <w:rsid w:val="36478A14"/>
    <w:rsid w:val="3657666D"/>
    <w:rsid w:val="365F44D0"/>
    <w:rsid w:val="365FB882"/>
    <w:rsid w:val="366715DF"/>
    <w:rsid w:val="367C1697"/>
    <w:rsid w:val="3680310C"/>
    <w:rsid w:val="36829DD6"/>
    <w:rsid w:val="368500DC"/>
    <w:rsid w:val="3686FCC9"/>
    <w:rsid w:val="36B6BBEF"/>
    <w:rsid w:val="36CC52C0"/>
    <w:rsid w:val="36D3E37F"/>
    <w:rsid w:val="36D48D01"/>
    <w:rsid w:val="36EA1895"/>
    <w:rsid w:val="36EE2B25"/>
    <w:rsid w:val="3712FD4A"/>
    <w:rsid w:val="3714E6AE"/>
    <w:rsid w:val="37155179"/>
    <w:rsid w:val="371A6E3E"/>
    <w:rsid w:val="371C3382"/>
    <w:rsid w:val="3720BA2A"/>
    <w:rsid w:val="3727F624"/>
    <w:rsid w:val="37299474"/>
    <w:rsid w:val="372ADF56"/>
    <w:rsid w:val="372AE4A2"/>
    <w:rsid w:val="37411691"/>
    <w:rsid w:val="3742402B"/>
    <w:rsid w:val="3742EC88"/>
    <w:rsid w:val="376DA2D1"/>
    <w:rsid w:val="3774DFD9"/>
    <w:rsid w:val="377C021D"/>
    <w:rsid w:val="3781F5E3"/>
    <w:rsid w:val="3782E421"/>
    <w:rsid w:val="3783F2E3"/>
    <w:rsid w:val="3783FAE6"/>
    <w:rsid w:val="37A2BE80"/>
    <w:rsid w:val="37B49D2B"/>
    <w:rsid w:val="37B78754"/>
    <w:rsid w:val="37C8CB99"/>
    <w:rsid w:val="37D1B6BD"/>
    <w:rsid w:val="37D6A099"/>
    <w:rsid w:val="37DD8714"/>
    <w:rsid w:val="37DDA9AC"/>
    <w:rsid w:val="37DFFA28"/>
    <w:rsid w:val="37ED728E"/>
    <w:rsid w:val="37F35B41"/>
    <w:rsid w:val="37F892C0"/>
    <w:rsid w:val="3814237B"/>
    <w:rsid w:val="381621BA"/>
    <w:rsid w:val="3828FE76"/>
    <w:rsid w:val="382C54FD"/>
    <w:rsid w:val="3840AE89"/>
    <w:rsid w:val="384522FE"/>
    <w:rsid w:val="384A8BAB"/>
    <w:rsid w:val="3857713C"/>
    <w:rsid w:val="3861D9DC"/>
    <w:rsid w:val="38643D63"/>
    <w:rsid w:val="386B52A0"/>
    <w:rsid w:val="387A5B73"/>
    <w:rsid w:val="388B39B2"/>
    <w:rsid w:val="3892AAA8"/>
    <w:rsid w:val="38A6D3A2"/>
    <w:rsid w:val="38BE6DB1"/>
    <w:rsid w:val="38CFC4EE"/>
    <w:rsid w:val="38EB7C7D"/>
    <w:rsid w:val="38F2D2DA"/>
    <w:rsid w:val="38F80717"/>
    <w:rsid w:val="39151325"/>
    <w:rsid w:val="39154BA4"/>
    <w:rsid w:val="39254AD9"/>
    <w:rsid w:val="39294315"/>
    <w:rsid w:val="3960D1C2"/>
    <w:rsid w:val="3964ED28"/>
    <w:rsid w:val="39778B79"/>
    <w:rsid w:val="397CFC7D"/>
    <w:rsid w:val="3984C789"/>
    <w:rsid w:val="398A3330"/>
    <w:rsid w:val="399ACDBA"/>
    <w:rsid w:val="39BBC6A0"/>
    <w:rsid w:val="39BD7467"/>
    <w:rsid w:val="39C677F3"/>
    <w:rsid w:val="39CE4B08"/>
    <w:rsid w:val="39DBD058"/>
    <w:rsid w:val="39FD0D7E"/>
    <w:rsid w:val="3A0A5704"/>
    <w:rsid w:val="3A13C6F8"/>
    <w:rsid w:val="3A153BD9"/>
    <w:rsid w:val="3A2E4772"/>
    <w:rsid w:val="3A385052"/>
    <w:rsid w:val="3A42643E"/>
    <w:rsid w:val="3A5E0CEF"/>
    <w:rsid w:val="3A6F7A4E"/>
    <w:rsid w:val="3A760F5C"/>
    <w:rsid w:val="3A7E225D"/>
    <w:rsid w:val="3A892026"/>
    <w:rsid w:val="3A8BF3A0"/>
    <w:rsid w:val="3A933A06"/>
    <w:rsid w:val="3AA029E9"/>
    <w:rsid w:val="3AA92C52"/>
    <w:rsid w:val="3AB9BE8E"/>
    <w:rsid w:val="3ABAEAF5"/>
    <w:rsid w:val="3ABD902B"/>
    <w:rsid w:val="3ABE6F1A"/>
    <w:rsid w:val="3ABFBC82"/>
    <w:rsid w:val="3AD8D44A"/>
    <w:rsid w:val="3AF2C7DC"/>
    <w:rsid w:val="3AFB7AA2"/>
    <w:rsid w:val="3AFD84DC"/>
    <w:rsid w:val="3B0395D4"/>
    <w:rsid w:val="3B14106A"/>
    <w:rsid w:val="3B146F3C"/>
    <w:rsid w:val="3B2020FC"/>
    <w:rsid w:val="3B2F19A4"/>
    <w:rsid w:val="3B434794"/>
    <w:rsid w:val="3B44D614"/>
    <w:rsid w:val="3B64C789"/>
    <w:rsid w:val="3B7245E3"/>
    <w:rsid w:val="3B773D26"/>
    <w:rsid w:val="3B7A92A1"/>
    <w:rsid w:val="3B7D1E50"/>
    <w:rsid w:val="3B86DB29"/>
    <w:rsid w:val="3B89E6CB"/>
    <w:rsid w:val="3BAB9822"/>
    <w:rsid w:val="3BAD44A7"/>
    <w:rsid w:val="3BCE6CBB"/>
    <w:rsid w:val="3BE9102E"/>
    <w:rsid w:val="3BFE85FF"/>
    <w:rsid w:val="3C083A8C"/>
    <w:rsid w:val="3C08A006"/>
    <w:rsid w:val="3C0E2F74"/>
    <w:rsid w:val="3C3677F0"/>
    <w:rsid w:val="3C37C945"/>
    <w:rsid w:val="3C394029"/>
    <w:rsid w:val="3C3E38F6"/>
    <w:rsid w:val="3C4572C4"/>
    <w:rsid w:val="3C61BE87"/>
    <w:rsid w:val="3C83CF5D"/>
    <w:rsid w:val="3C892250"/>
    <w:rsid w:val="3C895F5C"/>
    <w:rsid w:val="3C910F30"/>
    <w:rsid w:val="3CAD943F"/>
    <w:rsid w:val="3CB79F2B"/>
    <w:rsid w:val="3CBA604F"/>
    <w:rsid w:val="3CD16E3D"/>
    <w:rsid w:val="3CD6B73E"/>
    <w:rsid w:val="3CE9F5D9"/>
    <w:rsid w:val="3D001790"/>
    <w:rsid w:val="3D110AB1"/>
    <w:rsid w:val="3D1506E6"/>
    <w:rsid w:val="3D212C75"/>
    <w:rsid w:val="3D2BFB7E"/>
    <w:rsid w:val="3D2F7F54"/>
    <w:rsid w:val="3D3AE38F"/>
    <w:rsid w:val="3D4B47B4"/>
    <w:rsid w:val="3D4BD0CF"/>
    <w:rsid w:val="3D5F8378"/>
    <w:rsid w:val="3D629160"/>
    <w:rsid w:val="3D6B897D"/>
    <w:rsid w:val="3D6BAAC0"/>
    <w:rsid w:val="3D6F57CF"/>
    <w:rsid w:val="3D7D2C30"/>
    <w:rsid w:val="3D83A329"/>
    <w:rsid w:val="3D9DF47C"/>
    <w:rsid w:val="3D9F312F"/>
    <w:rsid w:val="3DB4BB5A"/>
    <w:rsid w:val="3DC06289"/>
    <w:rsid w:val="3DD65E4A"/>
    <w:rsid w:val="3DE7407D"/>
    <w:rsid w:val="3DEEB069"/>
    <w:rsid w:val="3E070C51"/>
    <w:rsid w:val="3E17906A"/>
    <w:rsid w:val="3E1F019D"/>
    <w:rsid w:val="3E3E0478"/>
    <w:rsid w:val="3E425989"/>
    <w:rsid w:val="3E42A7C5"/>
    <w:rsid w:val="3E4FBA95"/>
    <w:rsid w:val="3E622CA7"/>
    <w:rsid w:val="3E63B25B"/>
    <w:rsid w:val="3E68CE3D"/>
    <w:rsid w:val="3E6E5765"/>
    <w:rsid w:val="3E7B3515"/>
    <w:rsid w:val="3E7D7793"/>
    <w:rsid w:val="3E82CAA3"/>
    <w:rsid w:val="3E889650"/>
    <w:rsid w:val="3EA22590"/>
    <w:rsid w:val="3EA45007"/>
    <w:rsid w:val="3EB52404"/>
    <w:rsid w:val="3EB74125"/>
    <w:rsid w:val="3EDAD552"/>
    <w:rsid w:val="3EE63D39"/>
    <w:rsid w:val="3EEE5FA2"/>
    <w:rsid w:val="3EF67A5E"/>
    <w:rsid w:val="3EF67A80"/>
    <w:rsid w:val="3F184AF9"/>
    <w:rsid w:val="3F1AF418"/>
    <w:rsid w:val="3F221503"/>
    <w:rsid w:val="3F33042F"/>
    <w:rsid w:val="3F332F9E"/>
    <w:rsid w:val="3F356108"/>
    <w:rsid w:val="3F4D57D7"/>
    <w:rsid w:val="3F6120A2"/>
    <w:rsid w:val="3F692B67"/>
    <w:rsid w:val="3F700B03"/>
    <w:rsid w:val="3F7D5A00"/>
    <w:rsid w:val="3F82093C"/>
    <w:rsid w:val="3F8E0FB8"/>
    <w:rsid w:val="3F92DA04"/>
    <w:rsid w:val="3FAA58B4"/>
    <w:rsid w:val="3FADA6A9"/>
    <w:rsid w:val="3FBD661B"/>
    <w:rsid w:val="3FC49EE8"/>
    <w:rsid w:val="3FC8D419"/>
    <w:rsid w:val="3FCEB072"/>
    <w:rsid w:val="3FD1A824"/>
    <w:rsid w:val="3FDCC373"/>
    <w:rsid w:val="3FFC72B8"/>
    <w:rsid w:val="3FFFA0E2"/>
    <w:rsid w:val="40023542"/>
    <w:rsid w:val="401DD978"/>
    <w:rsid w:val="4025F06A"/>
    <w:rsid w:val="404F60CE"/>
    <w:rsid w:val="40574EB9"/>
    <w:rsid w:val="406BFA39"/>
    <w:rsid w:val="407114EE"/>
    <w:rsid w:val="40B297D7"/>
    <w:rsid w:val="40B4596E"/>
    <w:rsid w:val="40B56030"/>
    <w:rsid w:val="40C9D282"/>
    <w:rsid w:val="40CC0BFD"/>
    <w:rsid w:val="40F454CD"/>
    <w:rsid w:val="40F46DD8"/>
    <w:rsid w:val="41013AB4"/>
    <w:rsid w:val="41056F53"/>
    <w:rsid w:val="4105F14A"/>
    <w:rsid w:val="4106EA5E"/>
    <w:rsid w:val="410B4B78"/>
    <w:rsid w:val="41182EA9"/>
    <w:rsid w:val="4124355B"/>
    <w:rsid w:val="412D6976"/>
    <w:rsid w:val="413738FD"/>
    <w:rsid w:val="4146520B"/>
    <w:rsid w:val="415B529A"/>
    <w:rsid w:val="41695A19"/>
    <w:rsid w:val="4184AA0A"/>
    <w:rsid w:val="4184FA15"/>
    <w:rsid w:val="4192FD84"/>
    <w:rsid w:val="419338F0"/>
    <w:rsid w:val="419B7969"/>
    <w:rsid w:val="41A9E89D"/>
    <w:rsid w:val="41B19BFF"/>
    <w:rsid w:val="41B83BFE"/>
    <w:rsid w:val="41B8545F"/>
    <w:rsid w:val="41C50D49"/>
    <w:rsid w:val="41CB8099"/>
    <w:rsid w:val="41D9FFE0"/>
    <w:rsid w:val="41DF651E"/>
    <w:rsid w:val="41E0C7C8"/>
    <w:rsid w:val="41E53EEF"/>
    <w:rsid w:val="41E66E35"/>
    <w:rsid w:val="420001CD"/>
    <w:rsid w:val="4202ABC8"/>
    <w:rsid w:val="4209DCB2"/>
    <w:rsid w:val="42229736"/>
    <w:rsid w:val="422E00FA"/>
    <w:rsid w:val="42310551"/>
    <w:rsid w:val="424B1B2F"/>
    <w:rsid w:val="4289DE70"/>
    <w:rsid w:val="428C1A92"/>
    <w:rsid w:val="4290A65E"/>
    <w:rsid w:val="4296FF36"/>
    <w:rsid w:val="429DECC6"/>
    <w:rsid w:val="42A76EE3"/>
    <w:rsid w:val="42ADFFA9"/>
    <w:rsid w:val="42B11949"/>
    <w:rsid w:val="42B61915"/>
    <w:rsid w:val="42CD1BC2"/>
    <w:rsid w:val="42D48D85"/>
    <w:rsid w:val="42D7CAC3"/>
    <w:rsid w:val="42E5BD1E"/>
    <w:rsid w:val="42EB5571"/>
    <w:rsid w:val="42F85F3F"/>
    <w:rsid w:val="431DFD74"/>
    <w:rsid w:val="4336A796"/>
    <w:rsid w:val="434147D0"/>
    <w:rsid w:val="4377DBC9"/>
    <w:rsid w:val="43801C7F"/>
    <w:rsid w:val="4383DC1E"/>
    <w:rsid w:val="43863AA6"/>
    <w:rsid w:val="43923ECD"/>
    <w:rsid w:val="43933A81"/>
    <w:rsid w:val="43B05085"/>
    <w:rsid w:val="43C472E6"/>
    <w:rsid w:val="43E121B5"/>
    <w:rsid w:val="43E4612C"/>
    <w:rsid w:val="43F9229F"/>
    <w:rsid w:val="43FFBBF1"/>
    <w:rsid w:val="44007755"/>
    <w:rsid w:val="4402B52E"/>
    <w:rsid w:val="4405BB61"/>
    <w:rsid w:val="440D38BE"/>
    <w:rsid w:val="440F9D7E"/>
    <w:rsid w:val="4422066E"/>
    <w:rsid w:val="442D8297"/>
    <w:rsid w:val="44309B67"/>
    <w:rsid w:val="4435F198"/>
    <w:rsid w:val="443808CD"/>
    <w:rsid w:val="443C6F9B"/>
    <w:rsid w:val="4459139C"/>
    <w:rsid w:val="4470E432"/>
    <w:rsid w:val="4472C985"/>
    <w:rsid w:val="447AA324"/>
    <w:rsid w:val="44807F45"/>
    <w:rsid w:val="4497B935"/>
    <w:rsid w:val="449AE925"/>
    <w:rsid w:val="449E657A"/>
    <w:rsid w:val="44A8133C"/>
    <w:rsid w:val="44ADAF93"/>
    <w:rsid w:val="44B9707B"/>
    <w:rsid w:val="44D408E4"/>
    <w:rsid w:val="44D792F2"/>
    <w:rsid w:val="44F39A58"/>
    <w:rsid w:val="44F7817A"/>
    <w:rsid w:val="44FE7DBC"/>
    <w:rsid w:val="44FF7527"/>
    <w:rsid w:val="4515A661"/>
    <w:rsid w:val="451B2990"/>
    <w:rsid w:val="455253DB"/>
    <w:rsid w:val="45733B4A"/>
    <w:rsid w:val="458739C5"/>
    <w:rsid w:val="45A15E04"/>
    <w:rsid w:val="45AB4663"/>
    <w:rsid w:val="45AFE3D9"/>
    <w:rsid w:val="45B28CCF"/>
    <w:rsid w:val="45D4BE23"/>
    <w:rsid w:val="45D53DE2"/>
    <w:rsid w:val="45DFB2BF"/>
    <w:rsid w:val="45E57E16"/>
    <w:rsid w:val="45EE2733"/>
    <w:rsid w:val="45F2B017"/>
    <w:rsid w:val="45F2C93F"/>
    <w:rsid w:val="46161095"/>
    <w:rsid w:val="4619BBC1"/>
    <w:rsid w:val="46207685"/>
    <w:rsid w:val="46279F0F"/>
    <w:rsid w:val="462BB001"/>
    <w:rsid w:val="464A4C50"/>
    <w:rsid w:val="464FA592"/>
    <w:rsid w:val="46519875"/>
    <w:rsid w:val="4654701F"/>
    <w:rsid w:val="465AE787"/>
    <w:rsid w:val="465E81BF"/>
    <w:rsid w:val="466F3704"/>
    <w:rsid w:val="467FAD58"/>
    <w:rsid w:val="4696DEE9"/>
    <w:rsid w:val="469A2E00"/>
    <w:rsid w:val="46AF1BAE"/>
    <w:rsid w:val="46AFA358"/>
    <w:rsid w:val="46B0AF60"/>
    <w:rsid w:val="46B452DF"/>
    <w:rsid w:val="46BAA469"/>
    <w:rsid w:val="46C977F2"/>
    <w:rsid w:val="46D039D5"/>
    <w:rsid w:val="46D52F8C"/>
    <w:rsid w:val="46DF9D4D"/>
    <w:rsid w:val="46F2F21A"/>
    <w:rsid w:val="46FC4C84"/>
    <w:rsid w:val="470244FD"/>
    <w:rsid w:val="4712C377"/>
    <w:rsid w:val="47224623"/>
    <w:rsid w:val="4728C50B"/>
    <w:rsid w:val="4754317C"/>
    <w:rsid w:val="475DB770"/>
    <w:rsid w:val="47634C4C"/>
    <w:rsid w:val="476721DD"/>
    <w:rsid w:val="476D5680"/>
    <w:rsid w:val="477640F2"/>
    <w:rsid w:val="47809B84"/>
    <w:rsid w:val="47891910"/>
    <w:rsid w:val="479DBEE3"/>
    <w:rsid w:val="47A0386F"/>
    <w:rsid w:val="47B87BFA"/>
    <w:rsid w:val="47B9B95D"/>
    <w:rsid w:val="47C1AEFB"/>
    <w:rsid w:val="47C65121"/>
    <w:rsid w:val="47CD4430"/>
    <w:rsid w:val="47DDFBBF"/>
    <w:rsid w:val="47E09976"/>
    <w:rsid w:val="47E2ED99"/>
    <w:rsid w:val="47EA28BF"/>
    <w:rsid w:val="47F10C47"/>
    <w:rsid w:val="47F38271"/>
    <w:rsid w:val="47F444DA"/>
    <w:rsid w:val="482ED167"/>
    <w:rsid w:val="48347E3A"/>
    <w:rsid w:val="48461F82"/>
    <w:rsid w:val="4859EBE6"/>
    <w:rsid w:val="487810A0"/>
    <w:rsid w:val="488E894E"/>
    <w:rsid w:val="48A6E656"/>
    <w:rsid w:val="48AE17C2"/>
    <w:rsid w:val="48B0FDA7"/>
    <w:rsid w:val="48B195B1"/>
    <w:rsid w:val="48C4CAA9"/>
    <w:rsid w:val="48CA3E50"/>
    <w:rsid w:val="48D13E21"/>
    <w:rsid w:val="48D4DD8F"/>
    <w:rsid w:val="48D84BF4"/>
    <w:rsid w:val="48D9092F"/>
    <w:rsid w:val="48FD80B3"/>
    <w:rsid w:val="48FEE2F0"/>
    <w:rsid w:val="490E91BC"/>
    <w:rsid w:val="49142A2F"/>
    <w:rsid w:val="491431D2"/>
    <w:rsid w:val="4915E980"/>
    <w:rsid w:val="491B6C36"/>
    <w:rsid w:val="492AB811"/>
    <w:rsid w:val="492B8174"/>
    <w:rsid w:val="494F6E2F"/>
    <w:rsid w:val="4974DD80"/>
    <w:rsid w:val="4976BF11"/>
    <w:rsid w:val="4982DDBB"/>
    <w:rsid w:val="49844751"/>
    <w:rsid w:val="49877F60"/>
    <w:rsid w:val="498F2923"/>
    <w:rsid w:val="49A19874"/>
    <w:rsid w:val="49A51B9C"/>
    <w:rsid w:val="49AD7045"/>
    <w:rsid w:val="49C5F949"/>
    <w:rsid w:val="49E749C7"/>
    <w:rsid w:val="4A021481"/>
    <w:rsid w:val="4A099AE3"/>
    <w:rsid w:val="4A29191E"/>
    <w:rsid w:val="4A3B3F15"/>
    <w:rsid w:val="4A3C66F9"/>
    <w:rsid w:val="4A41DBAD"/>
    <w:rsid w:val="4A43321F"/>
    <w:rsid w:val="4A4BF95C"/>
    <w:rsid w:val="4A652174"/>
    <w:rsid w:val="4A66A11B"/>
    <w:rsid w:val="4A6C3426"/>
    <w:rsid w:val="4A80C0BB"/>
    <w:rsid w:val="4AA20AC8"/>
    <w:rsid w:val="4AA35C46"/>
    <w:rsid w:val="4AB78067"/>
    <w:rsid w:val="4ABDDC6B"/>
    <w:rsid w:val="4AC810DF"/>
    <w:rsid w:val="4ACEEB0C"/>
    <w:rsid w:val="4AE75FB4"/>
    <w:rsid w:val="4B012011"/>
    <w:rsid w:val="4B0DBC34"/>
    <w:rsid w:val="4B23873E"/>
    <w:rsid w:val="4B2522E6"/>
    <w:rsid w:val="4B3769CC"/>
    <w:rsid w:val="4B37D752"/>
    <w:rsid w:val="4B424238"/>
    <w:rsid w:val="4B5A81E4"/>
    <w:rsid w:val="4B656FB3"/>
    <w:rsid w:val="4B65ED46"/>
    <w:rsid w:val="4B6DC94D"/>
    <w:rsid w:val="4B6E7617"/>
    <w:rsid w:val="4B85D1C3"/>
    <w:rsid w:val="4B8F8D9A"/>
    <w:rsid w:val="4B94C42B"/>
    <w:rsid w:val="4B9741E4"/>
    <w:rsid w:val="4B9DD34B"/>
    <w:rsid w:val="4BB71A77"/>
    <w:rsid w:val="4BBECFFE"/>
    <w:rsid w:val="4BBFD297"/>
    <w:rsid w:val="4BCE97FA"/>
    <w:rsid w:val="4BD834A2"/>
    <w:rsid w:val="4BDCA0D5"/>
    <w:rsid w:val="4BDD38A6"/>
    <w:rsid w:val="4C02AE17"/>
    <w:rsid w:val="4C183FB3"/>
    <w:rsid w:val="4C1D3B5B"/>
    <w:rsid w:val="4C43CDD7"/>
    <w:rsid w:val="4C513CAF"/>
    <w:rsid w:val="4C5530C3"/>
    <w:rsid w:val="4C5F1825"/>
    <w:rsid w:val="4C619E6C"/>
    <w:rsid w:val="4C69BBE6"/>
    <w:rsid w:val="4C73E114"/>
    <w:rsid w:val="4C786EC4"/>
    <w:rsid w:val="4C7CFBD1"/>
    <w:rsid w:val="4C7D22FA"/>
    <w:rsid w:val="4C843F67"/>
    <w:rsid w:val="4C9DF7B9"/>
    <w:rsid w:val="4CBC0D99"/>
    <w:rsid w:val="4CC21E66"/>
    <w:rsid w:val="4CC382EB"/>
    <w:rsid w:val="4CD2B146"/>
    <w:rsid w:val="4CEF87C6"/>
    <w:rsid w:val="4CF2BD08"/>
    <w:rsid w:val="4CFA187E"/>
    <w:rsid w:val="4CFECD9A"/>
    <w:rsid w:val="4D022800"/>
    <w:rsid w:val="4D14D54A"/>
    <w:rsid w:val="4D156005"/>
    <w:rsid w:val="4D38609F"/>
    <w:rsid w:val="4D3E0F09"/>
    <w:rsid w:val="4D458829"/>
    <w:rsid w:val="4D61CF7E"/>
    <w:rsid w:val="4D72A755"/>
    <w:rsid w:val="4D9238C0"/>
    <w:rsid w:val="4DB203CA"/>
    <w:rsid w:val="4DC4D652"/>
    <w:rsid w:val="4DC5E701"/>
    <w:rsid w:val="4DD47717"/>
    <w:rsid w:val="4DE38E9B"/>
    <w:rsid w:val="4DF3B00C"/>
    <w:rsid w:val="4DF427D6"/>
    <w:rsid w:val="4DFB96D4"/>
    <w:rsid w:val="4DFCB502"/>
    <w:rsid w:val="4DFCD27C"/>
    <w:rsid w:val="4E14CCDD"/>
    <w:rsid w:val="4E1C1243"/>
    <w:rsid w:val="4E1FD605"/>
    <w:rsid w:val="4E2FA5B2"/>
    <w:rsid w:val="4E56D81A"/>
    <w:rsid w:val="4E63AC58"/>
    <w:rsid w:val="4E7419EA"/>
    <w:rsid w:val="4E7DFCBB"/>
    <w:rsid w:val="4E7E0C6F"/>
    <w:rsid w:val="4E7EBAF4"/>
    <w:rsid w:val="4E876383"/>
    <w:rsid w:val="4E9A18A3"/>
    <w:rsid w:val="4E9C1C5C"/>
    <w:rsid w:val="4E9FD9ED"/>
    <w:rsid w:val="4EA15D44"/>
    <w:rsid w:val="4EAE2176"/>
    <w:rsid w:val="4EB65D06"/>
    <w:rsid w:val="4EC3A78F"/>
    <w:rsid w:val="4ED7D0B4"/>
    <w:rsid w:val="4EDF275C"/>
    <w:rsid w:val="4EE1973F"/>
    <w:rsid w:val="4EEC3F42"/>
    <w:rsid w:val="4EF5A4DB"/>
    <w:rsid w:val="4F0BB9CA"/>
    <w:rsid w:val="4F17153B"/>
    <w:rsid w:val="4F1E6685"/>
    <w:rsid w:val="4F4D1CB4"/>
    <w:rsid w:val="4F5C81C9"/>
    <w:rsid w:val="4F6A04A0"/>
    <w:rsid w:val="4F6EF1E7"/>
    <w:rsid w:val="4F74C86A"/>
    <w:rsid w:val="4F890C31"/>
    <w:rsid w:val="4FA7D3D7"/>
    <w:rsid w:val="4FA9DC19"/>
    <w:rsid w:val="4FDFE26F"/>
    <w:rsid w:val="4FF33685"/>
    <w:rsid w:val="4FF3B93B"/>
    <w:rsid w:val="5032EA48"/>
    <w:rsid w:val="503EADA7"/>
    <w:rsid w:val="5054FEC8"/>
    <w:rsid w:val="505B4C02"/>
    <w:rsid w:val="50745189"/>
    <w:rsid w:val="50864D50"/>
    <w:rsid w:val="509347CF"/>
    <w:rsid w:val="509F58F8"/>
    <w:rsid w:val="50A488D6"/>
    <w:rsid w:val="50A6751C"/>
    <w:rsid w:val="50A8B029"/>
    <w:rsid w:val="50CBB88C"/>
    <w:rsid w:val="50D18778"/>
    <w:rsid w:val="50D29FF7"/>
    <w:rsid w:val="50D965CA"/>
    <w:rsid w:val="50F62D86"/>
    <w:rsid w:val="5101EC0D"/>
    <w:rsid w:val="51137C9C"/>
    <w:rsid w:val="511B3582"/>
    <w:rsid w:val="513B58BB"/>
    <w:rsid w:val="515CE57A"/>
    <w:rsid w:val="516836DC"/>
    <w:rsid w:val="516C8642"/>
    <w:rsid w:val="516EE090"/>
    <w:rsid w:val="5175BBF9"/>
    <w:rsid w:val="5184C94E"/>
    <w:rsid w:val="5192E93B"/>
    <w:rsid w:val="51A7B090"/>
    <w:rsid w:val="51C8CEB4"/>
    <w:rsid w:val="51ED20E5"/>
    <w:rsid w:val="51EDF52B"/>
    <w:rsid w:val="52003DEA"/>
    <w:rsid w:val="5201E2AF"/>
    <w:rsid w:val="520D18B2"/>
    <w:rsid w:val="520FB80E"/>
    <w:rsid w:val="523047CD"/>
    <w:rsid w:val="523292A1"/>
    <w:rsid w:val="5254F898"/>
    <w:rsid w:val="5257ADBF"/>
    <w:rsid w:val="525BFFAA"/>
    <w:rsid w:val="5275AA16"/>
    <w:rsid w:val="527F1B23"/>
    <w:rsid w:val="5289ECA2"/>
    <w:rsid w:val="529D342C"/>
    <w:rsid w:val="52A3167C"/>
    <w:rsid w:val="52A75471"/>
    <w:rsid w:val="52ACCA4B"/>
    <w:rsid w:val="52BD636F"/>
    <w:rsid w:val="52C919D7"/>
    <w:rsid w:val="52D3ECFC"/>
    <w:rsid w:val="52D57194"/>
    <w:rsid w:val="52D647D6"/>
    <w:rsid w:val="52D9762A"/>
    <w:rsid w:val="52F8BE18"/>
    <w:rsid w:val="5307854E"/>
    <w:rsid w:val="53079E70"/>
    <w:rsid w:val="530D328F"/>
    <w:rsid w:val="5318FD81"/>
    <w:rsid w:val="531E550B"/>
    <w:rsid w:val="531F630B"/>
    <w:rsid w:val="5325BBF3"/>
    <w:rsid w:val="5328753D"/>
    <w:rsid w:val="53851BF5"/>
    <w:rsid w:val="538D91FE"/>
    <w:rsid w:val="538D9BD7"/>
    <w:rsid w:val="539A19E7"/>
    <w:rsid w:val="539D804C"/>
    <w:rsid w:val="53DCC6BB"/>
    <w:rsid w:val="53E05530"/>
    <w:rsid w:val="5404B480"/>
    <w:rsid w:val="540AFC2D"/>
    <w:rsid w:val="540C329B"/>
    <w:rsid w:val="5414858F"/>
    <w:rsid w:val="542761BC"/>
    <w:rsid w:val="542F5A99"/>
    <w:rsid w:val="54319EC2"/>
    <w:rsid w:val="543C0D25"/>
    <w:rsid w:val="543F34F0"/>
    <w:rsid w:val="5447E860"/>
    <w:rsid w:val="544AD9F4"/>
    <w:rsid w:val="544B489E"/>
    <w:rsid w:val="544DEA2C"/>
    <w:rsid w:val="5460680B"/>
    <w:rsid w:val="546101AD"/>
    <w:rsid w:val="54648864"/>
    <w:rsid w:val="546806A6"/>
    <w:rsid w:val="546E09CD"/>
    <w:rsid w:val="54742773"/>
    <w:rsid w:val="5494D98C"/>
    <w:rsid w:val="54A0A6E3"/>
    <w:rsid w:val="54B001AF"/>
    <w:rsid w:val="54B6BED3"/>
    <w:rsid w:val="54C06DCF"/>
    <w:rsid w:val="54C274FD"/>
    <w:rsid w:val="54C35231"/>
    <w:rsid w:val="54E8D616"/>
    <w:rsid w:val="54F1AD9C"/>
    <w:rsid w:val="54F67EF8"/>
    <w:rsid w:val="5503FDE7"/>
    <w:rsid w:val="550625B4"/>
    <w:rsid w:val="550D4237"/>
    <w:rsid w:val="552043EB"/>
    <w:rsid w:val="5521822F"/>
    <w:rsid w:val="55274177"/>
    <w:rsid w:val="5548879E"/>
    <w:rsid w:val="5566F3FD"/>
    <w:rsid w:val="5569433F"/>
    <w:rsid w:val="5583015B"/>
    <w:rsid w:val="558DD8B6"/>
    <w:rsid w:val="5590415E"/>
    <w:rsid w:val="559C58B6"/>
    <w:rsid w:val="559F48A1"/>
    <w:rsid w:val="55A3B412"/>
    <w:rsid w:val="55A514B8"/>
    <w:rsid w:val="55BD0679"/>
    <w:rsid w:val="55BE162D"/>
    <w:rsid w:val="55E41951"/>
    <w:rsid w:val="55E79C9D"/>
    <w:rsid w:val="55F180BF"/>
    <w:rsid w:val="55F43EF6"/>
    <w:rsid w:val="55F9EE93"/>
    <w:rsid w:val="55FE9974"/>
    <w:rsid w:val="56136706"/>
    <w:rsid w:val="56197FF3"/>
    <w:rsid w:val="561B15D0"/>
    <w:rsid w:val="561E75CD"/>
    <w:rsid w:val="5641B575"/>
    <w:rsid w:val="5657531E"/>
    <w:rsid w:val="5668C187"/>
    <w:rsid w:val="5683F0EE"/>
    <w:rsid w:val="56876A99"/>
    <w:rsid w:val="56880C49"/>
    <w:rsid w:val="568A05AF"/>
    <w:rsid w:val="56A52F80"/>
    <w:rsid w:val="56A7ACD2"/>
    <w:rsid w:val="56A8F6E1"/>
    <w:rsid w:val="56B03673"/>
    <w:rsid w:val="56BBDF64"/>
    <w:rsid w:val="56E1ACC4"/>
    <w:rsid w:val="56EB1C76"/>
    <w:rsid w:val="56EC4DC0"/>
    <w:rsid w:val="56F5C5D2"/>
    <w:rsid w:val="56FB626F"/>
    <w:rsid w:val="57006245"/>
    <w:rsid w:val="57076854"/>
    <w:rsid w:val="57107B88"/>
    <w:rsid w:val="571A2681"/>
    <w:rsid w:val="572424D6"/>
    <w:rsid w:val="5725AA57"/>
    <w:rsid w:val="572A9EAF"/>
    <w:rsid w:val="572C2D69"/>
    <w:rsid w:val="574C53D0"/>
    <w:rsid w:val="574D99DA"/>
    <w:rsid w:val="57677DFB"/>
    <w:rsid w:val="5767FBDE"/>
    <w:rsid w:val="576F408A"/>
    <w:rsid w:val="5783773C"/>
    <w:rsid w:val="57853816"/>
    <w:rsid w:val="5790C82A"/>
    <w:rsid w:val="579B5BE3"/>
    <w:rsid w:val="57A6534F"/>
    <w:rsid w:val="57A9F838"/>
    <w:rsid w:val="57B23FDD"/>
    <w:rsid w:val="57BA3780"/>
    <w:rsid w:val="57CE0173"/>
    <w:rsid w:val="57DAFECF"/>
    <w:rsid w:val="57E25FD0"/>
    <w:rsid w:val="5807A6A8"/>
    <w:rsid w:val="580AE4EB"/>
    <w:rsid w:val="58110573"/>
    <w:rsid w:val="581BBD11"/>
    <w:rsid w:val="582467E6"/>
    <w:rsid w:val="5826FDE9"/>
    <w:rsid w:val="5835A1A1"/>
    <w:rsid w:val="5837A489"/>
    <w:rsid w:val="58466E6B"/>
    <w:rsid w:val="585AEF7C"/>
    <w:rsid w:val="585D2D46"/>
    <w:rsid w:val="585DFB1A"/>
    <w:rsid w:val="58652748"/>
    <w:rsid w:val="58889D70"/>
    <w:rsid w:val="589C3244"/>
    <w:rsid w:val="58A552EC"/>
    <w:rsid w:val="58BD8070"/>
    <w:rsid w:val="58C4D802"/>
    <w:rsid w:val="58CC96D0"/>
    <w:rsid w:val="58CDE267"/>
    <w:rsid w:val="58D1F03A"/>
    <w:rsid w:val="58E40023"/>
    <w:rsid w:val="58EC3BA5"/>
    <w:rsid w:val="5907381E"/>
    <w:rsid w:val="59228A4B"/>
    <w:rsid w:val="593707A5"/>
    <w:rsid w:val="595471E3"/>
    <w:rsid w:val="59569E37"/>
    <w:rsid w:val="595B9289"/>
    <w:rsid w:val="595D3D61"/>
    <w:rsid w:val="596EEC50"/>
    <w:rsid w:val="5977FBB8"/>
    <w:rsid w:val="59905127"/>
    <w:rsid w:val="599F0A29"/>
    <w:rsid w:val="59B73DDB"/>
    <w:rsid w:val="59B90525"/>
    <w:rsid w:val="59CD3FE7"/>
    <w:rsid w:val="59D3D1A3"/>
    <w:rsid w:val="59D56FF5"/>
    <w:rsid w:val="59E82E57"/>
    <w:rsid w:val="59EDFB1C"/>
    <w:rsid w:val="59F813C2"/>
    <w:rsid w:val="5A06E82D"/>
    <w:rsid w:val="5A1D0479"/>
    <w:rsid w:val="5A281FAC"/>
    <w:rsid w:val="5A3970FA"/>
    <w:rsid w:val="5A43B392"/>
    <w:rsid w:val="5A49AD6D"/>
    <w:rsid w:val="5A4D1B0E"/>
    <w:rsid w:val="5A52C9AC"/>
    <w:rsid w:val="5A644823"/>
    <w:rsid w:val="5A73D26C"/>
    <w:rsid w:val="5A7D37C0"/>
    <w:rsid w:val="5A7EA32D"/>
    <w:rsid w:val="5A84C47F"/>
    <w:rsid w:val="5A893B00"/>
    <w:rsid w:val="5A8D29E0"/>
    <w:rsid w:val="5A99E38F"/>
    <w:rsid w:val="5AA4985E"/>
    <w:rsid w:val="5AA9BD2F"/>
    <w:rsid w:val="5AABFBC8"/>
    <w:rsid w:val="5AB3AE38"/>
    <w:rsid w:val="5ACCFB60"/>
    <w:rsid w:val="5ACDD83D"/>
    <w:rsid w:val="5ACF4AB1"/>
    <w:rsid w:val="5AD69528"/>
    <w:rsid w:val="5AE411B3"/>
    <w:rsid w:val="5AE88B43"/>
    <w:rsid w:val="5AF76F86"/>
    <w:rsid w:val="5B033668"/>
    <w:rsid w:val="5B091C1D"/>
    <w:rsid w:val="5B19E448"/>
    <w:rsid w:val="5B2A7E79"/>
    <w:rsid w:val="5B2D94E6"/>
    <w:rsid w:val="5B47EB2B"/>
    <w:rsid w:val="5B4EA3E7"/>
    <w:rsid w:val="5B4F05D2"/>
    <w:rsid w:val="5B4FB7FD"/>
    <w:rsid w:val="5B661886"/>
    <w:rsid w:val="5B741CFB"/>
    <w:rsid w:val="5B75C71B"/>
    <w:rsid w:val="5B858EF1"/>
    <w:rsid w:val="5BAA6735"/>
    <w:rsid w:val="5BB6DE72"/>
    <w:rsid w:val="5BE927D1"/>
    <w:rsid w:val="5BF8FA02"/>
    <w:rsid w:val="5C006EF1"/>
    <w:rsid w:val="5C10B7D2"/>
    <w:rsid w:val="5C16EF4F"/>
    <w:rsid w:val="5C1E85C8"/>
    <w:rsid w:val="5C24849B"/>
    <w:rsid w:val="5C2F19E1"/>
    <w:rsid w:val="5C38ECE4"/>
    <w:rsid w:val="5C4055A8"/>
    <w:rsid w:val="5C485984"/>
    <w:rsid w:val="5C485E22"/>
    <w:rsid w:val="5C4FB8E4"/>
    <w:rsid w:val="5C623A56"/>
    <w:rsid w:val="5C72CBFF"/>
    <w:rsid w:val="5C84138D"/>
    <w:rsid w:val="5CA98F31"/>
    <w:rsid w:val="5CAF03D9"/>
    <w:rsid w:val="5CB4B789"/>
    <w:rsid w:val="5CB62F4E"/>
    <w:rsid w:val="5CC8748F"/>
    <w:rsid w:val="5CD01E27"/>
    <w:rsid w:val="5CD8B472"/>
    <w:rsid w:val="5CEB32F7"/>
    <w:rsid w:val="5CEB9D33"/>
    <w:rsid w:val="5CFE619D"/>
    <w:rsid w:val="5D0B703E"/>
    <w:rsid w:val="5D136724"/>
    <w:rsid w:val="5D14AEA9"/>
    <w:rsid w:val="5D2DD311"/>
    <w:rsid w:val="5D3DCEE0"/>
    <w:rsid w:val="5D4DB896"/>
    <w:rsid w:val="5D542481"/>
    <w:rsid w:val="5D5AF522"/>
    <w:rsid w:val="5D6D2143"/>
    <w:rsid w:val="5D740E82"/>
    <w:rsid w:val="5D93ADB2"/>
    <w:rsid w:val="5D93FC54"/>
    <w:rsid w:val="5D9A6D7A"/>
    <w:rsid w:val="5D9D16F0"/>
    <w:rsid w:val="5D9F2926"/>
    <w:rsid w:val="5DB2B56F"/>
    <w:rsid w:val="5DFD3282"/>
    <w:rsid w:val="5E0957F0"/>
    <w:rsid w:val="5E407A9D"/>
    <w:rsid w:val="5E4F8E4D"/>
    <w:rsid w:val="5E50A134"/>
    <w:rsid w:val="5E663AF3"/>
    <w:rsid w:val="5E6BA427"/>
    <w:rsid w:val="5E6E2C06"/>
    <w:rsid w:val="5E713063"/>
    <w:rsid w:val="5E73C965"/>
    <w:rsid w:val="5E797ADD"/>
    <w:rsid w:val="5E8321F6"/>
    <w:rsid w:val="5E9C808B"/>
    <w:rsid w:val="5EAA9F80"/>
    <w:rsid w:val="5EB9C14B"/>
    <w:rsid w:val="5EC2710D"/>
    <w:rsid w:val="5EDDF335"/>
    <w:rsid w:val="5EF16046"/>
    <w:rsid w:val="5EFE2499"/>
    <w:rsid w:val="5F0EAF58"/>
    <w:rsid w:val="5F13CB2F"/>
    <w:rsid w:val="5F1BC7A2"/>
    <w:rsid w:val="5F202869"/>
    <w:rsid w:val="5F3129B5"/>
    <w:rsid w:val="5F43AEAE"/>
    <w:rsid w:val="5F440386"/>
    <w:rsid w:val="5F4D7897"/>
    <w:rsid w:val="5F63B73D"/>
    <w:rsid w:val="5F8ED6DF"/>
    <w:rsid w:val="5F9FBAA3"/>
    <w:rsid w:val="5FA898EE"/>
    <w:rsid w:val="5FAA950E"/>
    <w:rsid w:val="5FC47A70"/>
    <w:rsid w:val="5FC8AE74"/>
    <w:rsid w:val="5FD9BB9F"/>
    <w:rsid w:val="5FDF33E4"/>
    <w:rsid w:val="5FE79A43"/>
    <w:rsid w:val="5FEFF74D"/>
    <w:rsid w:val="5FF89B88"/>
    <w:rsid w:val="6002608B"/>
    <w:rsid w:val="600C8810"/>
    <w:rsid w:val="60136A06"/>
    <w:rsid w:val="6026B321"/>
    <w:rsid w:val="603AFA10"/>
    <w:rsid w:val="603C41EF"/>
    <w:rsid w:val="603D77CF"/>
    <w:rsid w:val="605D76B0"/>
    <w:rsid w:val="6085AFA2"/>
    <w:rsid w:val="6099676B"/>
    <w:rsid w:val="609F4110"/>
    <w:rsid w:val="60A38B55"/>
    <w:rsid w:val="60AE88A0"/>
    <w:rsid w:val="60C6A9BF"/>
    <w:rsid w:val="60CCB606"/>
    <w:rsid w:val="60D5F222"/>
    <w:rsid w:val="60DB09B6"/>
    <w:rsid w:val="60DB6441"/>
    <w:rsid w:val="60E55096"/>
    <w:rsid w:val="60EE0089"/>
    <w:rsid w:val="60F394D1"/>
    <w:rsid w:val="610FD631"/>
    <w:rsid w:val="6110000E"/>
    <w:rsid w:val="6126EA8A"/>
    <w:rsid w:val="6160224D"/>
    <w:rsid w:val="617C303B"/>
    <w:rsid w:val="61A75C20"/>
    <w:rsid w:val="61AFF40F"/>
    <w:rsid w:val="61B40CB6"/>
    <w:rsid w:val="61B5B80D"/>
    <w:rsid w:val="61BDFE98"/>
    <w:rsid w:val="61BF861B"/>
    <w:rsid w:val="61C7D300"/>
    <w:rsid w:val="61CE36F8"/>
    <w:rsid w:val="61D18B63"/>
    <w:rsid w:val="61F29962"/>
    <w:rsid w:val="6200F607"/>
    <w:rsid w:val="62157C02"/>
    <w:rsid w:val="621CE4AE"/>
    <w:rsid w:val="6227B659"/>
    <w:rsid w:val="6236A215"/>
    <w:rsid w:val="623AF063"/>
    <w:rsid w:val="62448A57"/>
    <w:rsid w:val="62455E23"/>
    <w:rsid w:val="6245D6D7"/>
    <w:rsid w:val="624E6F01"/>
    <w:rsid w:val="6259D25A"/>
    <w:rsid w:val="625E5F63"/>
    <w:rsid w:val="62615979"/>
    <w:rsid w:val="6276C6DC"/>
    <w:rsid w:val="627F360C"/>
    <w:rsid w:val="628AD4AF"/>
    <w:rsid w:val="62928BDE"/>
    <w:rsid w:val="62A21805"/>
    <w:rsid w:val="62B8F491"/>
    <w:rsid w:val="62BDA727"/>
    <w:rsid w:val="62D17705"/>
    <w:rsid w:val="62D34931"/>
    <w:rsid w:val="62D527D2"/>
    <w:rsid w:val="62DBDE25"/>
    <w:rsid w:val="62E501AD"/>
    <w:rsid w:val="62EAC34C"/>
    <w:rsid w:val="62EFFF96"/>
    <w:rsid w:val="62F3EF58"/>
    <w:rsid w:val="62FACE69"/>
    <w:rsid w:val="632B69E6"/>
    <w:rsid w:val="632E65B0"/>
    <w:rsid w:val="63401DD2"/>
    <w:rsid w:val="6345073A"/>
    <w:rsid w:val="634713D0"/>
    <w:rsid w:val="634F867A"/>
    <w:rsid w:val="63551FC9"/>
    <w:rsid w:val="635BA1DA"/>
    <w:rsid w:val="635DC0FE"/>
    <w:rsid w:val="6364A5EE"/>
    <w:rsid w:val="636AC9F7"/>
    <w:rsid w:val="63B07BB5"/>
    <w:rsid w:val="63B26195"/>
    <w:rsid w:val="63B45C35"/>
    <w:rsid w:val="63B56D62"/>
    <w:rsid w:val="63CD0AE2"/>
    <w:rsid w:val="63CD4612"/>
    <w:rsid w:val="63F20906"/>
    <w:rsid w:val="640522D7"/>
    <w:rsid w:val="6412C877"/>
    <w:rsid w:val="64176A83"/>
    <w:rsid w:val="64215E9A"/>
    <w:rsid w:val="64303903"/>
    <w:rsid w:val="64336339"/>
    <w:rsid w:val="643F6CA3"/>
    <w:rsid w:val="6440C573"/>
    <w:rsid w:val="6460211A"/>
    <w:rsid w:val="64672952"/>
    <w:rsid w:val="646E0995"/>
    <w:rsid w:val="64706192"/>
    <w:rsid w:val="6475D118"/>
    <w:rsid w:val="647FD657"/>
    <w:rsid w:val="64821484"/>
    <w:rsid w:val="64850E3B"/>
    <w:rsid w:val="64A09C3F"/>
    <w:rsid w:val="64A84B18"/>
    <w:rsid w:val="64B49093"/>
    <w:rsid w:val="64B55812"/>
    <w:rsid w:val="64B7E0E2"/>
    <w:rsid w:val="64B7F84C"/>
    <w:rsid w:val="64B85A32"/>
    <w:rsid w:val="64C14009"/>
    <w:rsid w:val="64D2B773"/>
    <w:rsid w:val="64D591E8"/>
    <w:rsid w:val="64DFA1EF"/>
    <w:rsid w:val="64E626A5"/>
    <w:rsid w:val="64ED2389"/>
    <w:rsid w:val="64F457F5"/>
    <w:rsid w:val="64F6C189"/>
    <w:rsid w:val="650860F9"/>
    <w:rsid w:val="65104E8C"/>
    <w:rsid w:val="65162EFF"/>
    <w:rsid w:val="65251A6D"/>
    <w:rsid w:val="653442BC"/>
    <w:rsid w:val="65449052"/>
    <w:rsid w:val="65475AB7"/>
    <w:rsid w:val="654A36A1"/>
    <w:rsid w:val="654DA34F"/>
    <w:rsid w:val="655132AC"/>
    <w:rsid w:val="6557F7CA"/>
    <w:rsid w:val="6563CB16"/>
    <w:rsid w:val="6566A1CF"/>
    <w:rsid w:val="656B24D1"/>
    <w:rsid w:val="656E0CAA"/>
    <w:rsid w:val="658BB8F4"/>
    <w:rsid w:val="6590FD76"/>
    <w:rsid w:val="6593F111"/>
    <w:rsid w:val="659AEFBE"/>
    <w:rsid w:val="659DFEF3"/>
    <w:rsid w:val="65A72F5B"/>
    <w:rsid w:val="65BE1166"/>
    <w:rsid w:val="65DCF5B5"/>
    <w:rsid w:val="66124D38"/>
    <w:rsid w:val="6612E01D"/>
    <w:rsid w:val="66149247"/>
    <w:rsid w:val="66185976"/>
    <w:rsid w:val="6619A24F"/>
    <w:rsid w:val="661A901F"/>
    <w:rsid w:val="662A5D43"/>
    <w:rsid w:val="66422914"/>
    <w:rsid w:val="6645A18C"/>
    <w:rsid w:val="6657787D"/>
    <w:rsid w:val="6667EA04"/>
    <w:rsid w:val="666B58C5"/>
    <w:rsid w:val="668A3C8B"/>
    <w:rsid w:val="668CE23F"/>
    <w:rsid w:val="66983983"/>
    <w:rsid w:val="6698E796"/>
    <w:rsid w:val="66AD87D6"/>
    <w:rsid w:val="66C580A5"/>
    <w:rsid w:val="66C975DA"/>
    <w:rsid w:val="66D27CE1"/>
    <w:rsid w:val="66D3FB22"/>
    <w:rsid w:val="66DDDF8E"/>
    <w:rsid w:val="66ED5F77"/>
    <w:rsid w:val="66FB85FE"/>
    <w:rsid w:val="670FCFBC"/>
    <w:rsid w:val="671BD6D1"/>
    <w:rsid w:val="673E2156"/>
    <w:rsid w:val="6744278B"/>
    <w:rsid w:val="675B864B"/>
    <w:rsid w:val="676E9AFF"/>
    <w:rsid w:val="6771392D"/>
    <w:rsid w:val="6782264C"/>
    <w:rsid w:val="678FFA87"/>
    <w:rsid w:val="679B23BA"/>
    <w:rsid w:val="679E5EAA"/>
    <w:rsid w:val="67A25C20"/>
    <w:rsid w:val="67B57C87"/>
    <w:rsid w:val="67C05F90"/>
    <w:rsid w:val="67D0697F"/>
    <w:rsid w:val="67DE58C1"/>
    <w:rsid w:val="67DE8C31"/>
    <w:rsid w:val="681E90E2"/>
    <w:rsid w:val="681F8990"/>
    <w:rsid w:val="6820B58E"/>
    <w:rsid w:val="6824D9BC"/>
    <w:rsid w:val="682AECBB"/>
    <w:rsid w:val="6876E4A1"/>
    <w:rsid w:val="688695F5"/>
    <w:rsid w:val="6886FDA7"/>
    <w:rsid w:val="68882AEE"/>
    <w:rsid w:val="689AB1FB"/>
    <w:rsid w:val="689C507E"/>
    <w:rsid w:val="68A4AED3"/>
    <w:rsid w:val="68A5A329"/>
    <w:rsid w:val="68A62ECA"/>
    <w:rsid w:val="68B18721"/>
    <w:rsid w:val="68E0A70B"/>
    <w:rsid w:val="68E42835"/>
    <w:rsid w:val="68E84DFD"/>
    <w:rsid w:val="68E865E1"/>
    <w:rsid w:val="68EB9FC7"/>
    <w:rsid w:val="68EC67E7"/>
    <w:rsid w:val="68F37EA2"/>
    <w:rsid w:val="68FE1B6B"/>
    <w:rsid w:val="6902AF32"/>
    <w:rsid w:val="6902E87E"/>
    <w:rsid w:val="691559F6"/>
    <w:rsid w:val="691D4B5F"/>
    <w:rsid w:val="69230957"/>
    <w:rsid w:val="6926D36B"/>
    <w:rsid w:val="694904DF"/>
    <w:rsid w:val="696C1DF7"/>
    <w:rsid w:val="69710B41"/>
    <w:rsid w:val="6972A959"/>
    <w:rsid w:val="698431F8"/>
    <w:rsid w:val="69880CFB"/>
    <w:rsid w:val="69B759B9"/>
    <w:rsid w:val="69C34A9E"/>
    <w:rsid w:val="69C9C69F"/>
    <w:rsid w:val="69CEE067"/>
    <w:rsid w:val="69E7696E"/>
    <w:rsid w:val="69EF7E58"/>
    <w:rsid w:val="69F63153"/>
    <w:rsid w:val="6A384FEE"/>
    <w:rsid w:val="6A3E4E47"/>
    <w:rsid w:val="6A46358B"/>
    <w:rsid w:val="6A87A4FC"/>
    <w:rsid w:val="6A8C91C8"/>
    <w:rsid w:val="6A95475E"/>
    <w:rsid w:val="6A969AD8"/>
    <w:rsid w:val="6AB7C7D9"/>
    <w:rsid w:val="6AC4E91D"/>
    <w:rsid w:val="6ADAFB6A"/>
    <w:rsid w:val="6B0C3B5D"/>
    <w:rsid w:val="6B165093"/>
    <w:rsid w:val="6B18CDAE"/>
    <w:rsid w:val="6B19188F"/>
    <w:rsid w:val="6B195A9F"/>
    <w:rsid w:val="6B1FCCA8"/>
    <w:rsid w:val="6B294CD2"/>
    <w:rsid w:val="6B393AC9"/>
    <w:rsid w:val="6B43F7F6"/>
    <w:rsid w:val="6B48A8C5"/>
    <w:rsid w:val="6B673566"/>
    <w:rsid w:val="6B6CD6C0"/>
    <w:rsid w:val="6B883ACA"/>
    <w:rsid w:val="6BA05A34"/>
    <w:rsid w:val="6BB69047"/>
    <w:rsid w:val="6BC56B98"/>
    <w:rsid w:val="6BD24708"/>
    <w:rsid w:val="6C06A36A"/>
    <w:rsid w:val="6C0EE71D"/>
    <w:rsid w:val="6C196271"/>
    <w:rsid w:val="6C198D9B"/>
    <w:rsid w:val="6C20C5CD"/>
    <w:rsid w:val="6C2CCE23"/>
    <w:rsid w:val="6C47E464"/>
    <w:rsid w:val="6C6AF1ED"/>
    <w:rsid w:val="6C6C65F0"/>
    <w:rsid w:val="6C876208"/>
    <w:rsid w:val="6C90B20E"/>
    <w:rsid w:val="6CAC525C"/>
    <w:rsid w:val="6CB01237"/>
    <w:rsid w:val="6CB7A28C"/>
    <w:rsid w:val="6CD4E1ED"/>
    <w:rsid w:val="6CD69228"/>
    <w:rsid w:val="6CFF8DAA"/>
    <w:rsid w:val="6D005FA1"/>
    <w:rsid w:val="6D007AD5"/>
    <w:rsid w:val="6D3B3BB5"/>
    <w:rsid w:val="6D42A98D"/>
    <w:rsid w:val="6D4CFDD9"/>
    <w:rsid w:val="6D5B0C0D"/>
    <w:rsid w:val="6D67A568"/>
    <w:rsid w:val="6D6DCFCF"/>
    <w:rsid w:val="6D7FC3B2"/>
    <w:rsid w:val="6D809990"/>
    <w:rsid w:val="6D9345B3"/>
    <w:rsid w:val="6D9B2D3A"/>
    <w:rsid w:val="6DA07FC1"/>
    <w:rsid w:val="6DB32E87"/>
    <w:rsid w:val="6DC71198"/>
    <w:rsid w:val="6DEB2B3E"/>
    <w:rsid w:val="6DECD2A7"/>
    <w:rsid w:val="6E2A98E2"/>
    <w:rsid w:val="6E39FA45"/>
    <w:rsid w:val="6E4ABEB0"/>
    <w:rsid w:val="6E4FD3CD"/>
    <w:rsid w:val="6E5EC934"/>
    <w:rsid w:val="6E767A31"/>
    <w:rsid w:val="6E8046C5"/>
    <w:rsid w:val="6E8B5346"/>
    <w:rsid w:val="6E8B9C47"/>
    <w:rsid w:val="6E979719"/>
    <w:rsid w:val="6EB124B1"/>
    <w:rsid w:val="6EB98A9E"/>
    <w:rsid w:val="6EBDEE15"/>
    <w:rsid w:val="6EC58312"/>
    <w:rsid w:val="6ED2E625"/>
    <w:rsid w:val="6ED88AEC"/>
    <w:rsid w:val="6EE6E17A"/>
    <w:rsid w:val="6EEF181D"/>
    <w:rsid w:val="6EF238D8"/>
    <w:rsid w:val="6F07FD7E"/>
    <w:rsid w:val="6F1536CC"/>
    <w:rsid w:val="6F1BB029"/>
    <w:rsid w:val="6F1E9693"/>
    <w:rsid w:val="6F2BA066"/>
    <w:rsid w:val="6F3424FA"/>
    <w:rsid w:val="6F39D108"/>
    <w:rsid w:val="6F3B5178"/>
    <w:rsid w:val="6F4448A2"/>
    <w:rsid w:val="6F711D5E"/>
    <w:rsid w:val="6F742F21"/>
    <w:rsid w:val="6F9698D8"/>
    <w:rsid w:val="6FB91967"/>
    <w:rsid w:val="6FC1313C"/>
    <w:rsid w:val="6FC1E9ED"/>
    <w:rsid w:val="6FC3750F"/>
    <w:rsid w:val="6FCB745E"/>
    <w:rsid w:val="6FCC7786"/>
    <w:rsid w:val="6FD853F0"/>
    <w:rsid w:val="6FDBBA22"/>
    <w:rsid w:val="6FDE3D52"/>
    <w:rsid w:val="6FF07234"/>
    <w:rsid w:val="6FF30CF0"/>
    <w:rsid w:val="6FFA4A25"/>
    <w:rsid w:val="7011B21E"/>
    <w:rsid w:val="701A3112"/>
    <w:rsid w:val="7026C880"/>
    <w:rsid w:val="703C7449"/>
    <w:rsid w:val="703F0E7E"/>
    <w:rsid w:val="7045C8C8"/>
    <w:rsid w:val="7072971D"/>
    <w:rsid w:val="707BD302"/>
    <w:rsid w:val="70854573"/>
    <w:rsid w:val="70898DF1"/>
    <w:rsid w:val="708B9C36"/>
    <w:rsid w:val="7097643A"/>
    <w:rsid w:val="709D9E5C"/>
    <w:rsid w:val="70A09271"/>
    <w:rsid w:val="70A28C14"/>
    <w:rsid w:val="70A8BC11"/>
    <w:rsid w:val="70A979FC"/>
    <w:rsid w:val="70BFE1C4"/>
    <w:rsid w:val="70DD53F0"/>
    <w:rsid w:val="70E40C93"/>
    <w:rsid w:val="70F0573A"/>
    <w:rsid w:val="710C60E7"/>
    <w:rsid w:val="711687A6"/>
    <w:rsid w:val="711EB7D5"/>
    <w:rsid w:val="7159B4B8"/>
    <w:rsid w:val="715A32B6"/>
    <w:rsid w:val="716A600A"/>
    <w:rsid w:val="7178729A"/>
    <w:rsid w:val="717906BD"/>
    <w:rsid w:val="718AFFEA"/>
    <w:rsid w:val="718BB7D8"/>
    <w:rsid w:val="71971856"/>
    <w:rsid w:val="719F1D7B"/>
    <w:rsid w:val="71A4F32E"/>
    <w:rsid w:val="71CCBCA3"/>
    <w:rsid w:val="71D7345A"/>
    <w:rsid w:val="71E79942"/>
    <w:rsid w:val="71F19334"/>
    <w:rsid w:val="7213E62F"/>
    <w:rsid w:val="7215094E"/>
    <w:rsid w:val="722B7DF3"/>
    <w:rsid w:val="723FCD2C"/>
    <w:rsid w:val="7245A509"/>
    <w:rsid w:val="7249BF5E"/>
    <w:rsid w:val="724F8D9D"/>
    <w:rsid w:val="72617817"/>
    <w:rsid w:val="7299C83A"/>
    <w:rsid w:val="72B577EF"/>
    <w:rsid w:val="72B68D96"/>
    <w:rsid w:val="72D9890D"/>
    <w:rsid w:val="72D9A62B"/>
    <w:rsid w:val="72E52875"/>
    <w:rsid w:val="72EAA2C6"/>
    <w:rsid w:val="72F92FE0"/>
    <w:rsid w:val="72FFCFDC"/>
    <w:rsid w:val="73079408"/>
    <w:rsid w:val="73091200"/>
    <w:rsid w:val="7316B897"/>
    <w:rsid w:val="7320E167"/>
    <w:rsid w:val="73247D4D"/>
    <w:rsid w:val="732666E0"/>
    <w:rsid w:val="733555E2"/>
    <w:rsid w:val="734E64AF"/>
    <w:rsid w:val="734EE9A4"/>
    <w:rsid w:val="73521E20"/>
    <w:rsid w:val="73526326"/>
    <w:rsid w:val="73527D34"/>
    <w:rsid w:val="7352D4E1"/>
    <w:rsid w:val="73600A8A"/>
    <w:rsid w:val="736425F0"/>
    <w:rsid w:val="736E09BB"/>
    <w:rsid w:val="736EFC1C"/>
    <w:rsid w:val="7375DB61"/>
    <w:rsid w:val="73836FC7"/>
    <w:rsid w:val="73904831"/>
    <w:rsid w:val="73977438"/>
    <w:rsid w:val="73A70848"/>
    <w:rsid w:val="73B4F259"/>
    <w:rsid w:val="73BD7345"/>
    <w:rsid w:val="73F4917E"/>
    <w:rsid w:val="74148C69"/>
    <w:rsid w:val="741BAE00"/>
    <w:rsid w:val="741FC11C"/>
    <w:rsid w:val="74202290"/>
    <w:rsid w:val="74245C59"/>
    <w:rsid w:val="7458833B"/>
    <w:rsid w:val="745A07F0"/>
    <w:rsid w:val="74713AB6"/>
    <w:rsid w:val="7494A0C9"/>
    <w:rsid w:val="7496325E"/>
    <w:rsid w:val="7497C8AA"/>
    <w:rsid w:val="749FF10A"/>
    <w:rsid w:val="74AA3E24"/>
    <w:rsid w:val="74CF5F3A"/>
    <w:rsid w:val="74EC3DB3"/>
    <w:rsid w:val="74ED1687"/>
    <w:rsid w:val="74FE15D6"/>
    <w:rsid w:val="7517809D"/>
    <w:rsid w:val="752E8341"/>
    <w:rsid w:val="7545A312"/>
    <w:rsid w:val="755964D2"/>
    <w:rsid w:val="7571F157"/>
    <w:rsid w:val="75778F2D"/>
    <w:rsid w:val="759345A1"/>
    <w:rsid w:val="7598BAE4"/>
    <w:rsid w:val="75B3592B"/>
    <w:rsid w:val="75C94A9A"/>
    <w:rsid w:val="75D6BECA"/>
    <w:rsid w:val="75DCC343"/>
    <w:rsid w:val="75DDFCD5"/>
    <w:rsid w:val="75EAA53A"/>
    <w:rsid w:val="75EAED3D"/>
    <w:rsid w:val="760BF90D"/>
    <w:rsid w:val="760C9F0C"/>
    <w:rsid w:val="7610DB72"/>
    <w:rsid w:val="7616F6CD"/>
    <w:rsid w:val="763FA581"/>
    <w:rsid w:val="7665CAF2"/>
    <w:rsid w:val="76740FF4"/>
    <w:rsid w:val="76805CE3"/>
    <w:rsid w:val="7688D0FE"/>
    <w:rsid w:val="769740A1"/>
    <w:rsid w:val="769D199C"/>
    <w:rsid w:val="76A3A74B"/>
    <w:rsid w:val="76A462FF"/>
    <w:rsid w:val="76B1C4BE"/>
    <w:rsid w:val="76B4DE29"/>
    <w:rsid w:val="76BD5B08"/>
    <w:rsid w:val="76BEB2BD"/>
    <w:rsid w:val="76C82645"/>
    <w:rsid w:val="76CA5629"/>
    <w:rsid w:val="76CDE9AA"/>
    <w:rsid w:val="76D37D88"/>
    <w:rsid w:val="76DB633E"/>
    <w:rsid w:val="76E58219"/>
    <w:rsid w:val="77138EA4"/>
    <w:rsid w:val="77445106"/>
    <w:rsid w:val="774AE4DB"/>
    <w:rsid w:val="777E8A4B"/>
    <w:rsid w:val="778E145D"/>
    <w:rsid w:val="7798E4FF"/>
    <w:rsid w:val="77A3F20B"/>
    <w:rsid w:val="77B5490F"/>
    <w:rsid w:val="77E1DE07"/>
    <w:rsid w:val="77E4D2D2"/>
    <w:rsid w:val="77EACC67"/>
    <w:rsid w:val="78010F18"/>
    <w:rsid w:val="7803638F"/>
    <w:rsid w:val="780BDEF0"/>
    <w:rsid w:val="780F7C39"/>
    <w:rsid w:val="78110888"/>
    <w:rsid w:val="7811C9ED"/>
    <w:rsid w:val="78160D6E"/>
    <w:rsid w:val="7832E4E5"/>
    <w:rsid w:val="784645E8"/>
    <w:rsid w:val="785302C8"/>
    <w:rsid w:val="785669E0"/>
    <w:rsid w:val="7864484D"/>
    <w:rsid w:val="786FBBF2"/>
    <w:rsid w:val="7871EB42"/>
    <w:rsid w:val="7886F161"/>
    <w:rsid w:val="78903B5F"/>
    <w:rsid w:val="7891EDD0"/>
    <w:rsid w:val="789A8073"/>
    <w:rsid w:val="78A3DBB4"/>
    <w:rsid w:val="78B3F4F0"/>
    <w:rsid w:val="78BB2F34"/>
    <w:rsid w:val="78C3F2F6"/>
    <w:rsid w:val="78EB96D6"/>
    <w:rsid w:val="78FED94C"/>
    <w:rsid w:val="791F1733"/>
    <w:rsid w:val="7928FCC8"/>
    <w:rsid w:val="7934DEFA"/>
    <w:rsid w:val="793B9DAE"/>
    <w:rsid w:val="793F5AE2"/>
    <w:rsid w:val="794140EB"/>
    <w:rsid w:val="7959853A"/>
    <w:rsid w:val="79644968"/>
    <w:rsid w:val="796547B1"/>
    <w:rsid w:val="79779957"/>
    <w:rsid w:val="798295AB"/>
    <w:rsid w:val="79C10879"/>
    <w:rsid w:val="79D49C24"/>
    <w:rsid w:val="79F82128"/>
    <w:rsid w:val="79FCC8EA"/>
    <w:rsid w:val="7A036BB0"/>
    <w:rsid w:val="7A03E58C"/>
    <w:rsid w:val="7A12A6CB"/>
    <w:rsid w:val="7A199DF7"/>
    <w:rsid w:val="7A1F4288"/>
    <w:rsid w:val="7A25CC77"/>
    <w:rsid w:val="7A4CFC1D"/>
    <w:rsid w:val="7A568800"/>
    <w:rsid w:val="7A57E8A3"/>
    <w:rsid w:val="7A5CE994"/>
    <w:rsid w:val="7A7546F5"/>
    <w:rsid w:val="7A806E16"/>
    <w:rsid w:val="7A96A494"/>
    <w:rsid w:val="7A97D01C"/>
    <w:rsid w:val="7A99F3B9"/>
    <w:rsid w:val="7A9E9BD6"/>
    <w:rsid w:val="7AA7AD50"/>
    <w:rsid w:val="7AB0549C"/>
    <w:rsid w:val="7AC0061B"/>
    <w:rsid w:val="7AC8F20E"/>
    <w:rsid w:val="7AD73132"/>
    <w:rsid w:val="7ADB205C"/>
    <w:rsid w:val="7AEC33E3"/>
    <w:rsid w:val="7AEEBBF9"/>
    <w:rsid w:val="7AF340AA"/>
    <w:rsid w:val="7AFDDD28"/>
    <w:rsid w:val="7B05BF2E"/>
    <w:rsid w:val="7B33EFC5"/>
    <w:rsid w:val="7B39307D"/>
    <w:rsid w:val="7B3BF2AF"/>
    <w:rsid w:val="7B4B5E9F"/>
    <w:rsid w:val="7B4D9AB7"/>
    <w:rsid w:val="7B4F6A8B"/>
    <w:rsid w:val="7B85CBE1"/>
    <w:rsid w:val="7B876C33"/>
    <w:rsid w:val="7B877DE2"/>
    <w:rsid w:val="7B893BB1"/>
    <w:rsid w:val="7B8E2A84"/>
    <w:rsid w:val="7B99A126"/>
    <w:rsid w:val="7B99D8EC"/>
    <w:rsid w:val="7B9D8F0F"/>
    <w:rsid w:val="7BA39B9D"/>
    <w:rsid w:val="7BA86A89"/>
    <w:rsid w:val="7BAD247E"/>
    <w:rsid w:val="7BBCB41F"/>
    <w:rsid w:val="7BC0A770"/>
    <w:rsid w:val="7BC429D9"/>
    <w:rsid w:val="7BC662F7"/>
    <w:rsid w:val="7BCC5621"/>
    <w:rsid w:val="7BD14AF8"/>
    <w:rsid w:val="7BE47E5F"/>
    <w:rsid w:val="7BE9DA0C"/>
    <w:rsid w:val="7BF50D2A"/>
    <w:rsid w:val="7BFF121A"/>
    <w:rsid w:val="7C06EBCC"/>
    <w:rsid w:val="7C1095EB"/>
    <w:rsid w:val="7C1C03A7"/>
    <w:rsid w:val="7C32642B"/>
    <w:rsid w:val="7C481D17"/>
    <w:rsid w:val="7C53D25F"/>
    <w:rsid w:val="7C82216D"/>
    <w:rsid w:val="7C84F166"/>
    <w:rsid w:val="7CA36CB7"/>
    <w:rsid w:val="7CA53803"/>
    <w:rsid w:val="7CA7E5EC"/>
    <w:rsid w:val="7CB0A374"/>
    <w:rsid w:val="7CB55296"/>
    <w:rsid w:val="7CDEF149"/>
    <w:rsid w:val="7CF60610"/>
    <w:rsid w:val="7D058D48"/>
    <w:rsid w:val="7D08C859"/>
    <w:rsid w:val="7D1C1C31"/>
    <w:rsid w:val="7D32FBFE"/>
    <w:rsid w:val="7D4AFA13"/>
    <w:rsid w:val="7D628E6B"/>
    <w:rsid w:val="7D724BBE"/>
    <w:rsid w:val="7D820D74"/>
    <w:rsid w:val="7D83ABC0"/>
    <w:rsid w:val="7D993EB2"/>
    <w:rsid w:val="7D9EC7CF"/>
    <w:rsid w:val="7DABBBF0"/>
    <w:rsid w:val="7DC27EF0"/>
    <w:rsid w:val="7DCF63E7"/>
    <w:rsid w:val="7DE5DAD4"/>
    <w:rsid w:val="7DE72D8C"/>
    <w:rsid w:val="7DF3A8EF"/>
    <w:rsid w:val="7DFD6EBD"/>
    <w:rsid w:val="7E05F994"/>
    <w:rsid w:val="7E0C44BF"/>
    <w:rsid w:val="7E116A29"/>
    <w:rsid w:val="7E1222BB"/>
    <w:rsid w:val="7E3F6AF9"/>
    <w:rsid w:val="7E414B2C"/>
    <w:rsid w:val="7E427750"/>
    <w:rsid w:val="7E50783A"/>
    <w:rsid w:val="7E573F1D"/>
    <w:rsid w:val="7E77979B"/>
    <w:rsid w:val="7E875F59"/>
    <w:rsid w:val="7E8DC675"/>
    <w:rsid w:val="7E921263"/>
    <w:rsid w:val="7E9AD707"/>
    <w:rsid w:val="7EA6B8F6"/>
    <w:rsid w:val="7EB96030"/>
    <w:rsid w:val="7EBA888C"/>
    <w:rsid w:val="7EC36F93"/>
    <w:rsid w:val="7ECA1081"/>
    <w:rsid w:val="7ECE2059"/>
    <w:rsid w:val="7ED456ED"/>
    <w:rsid w:val="7ED9F0FF"/>
    <w:rsid w:val="7EEAB58A"/>
    <w:rsid w:val="7EF2B77D"/>
    <w:rsid w:val="7EF8FD9F"/>
    <w:rsid w:val="7EFCB2EB"/>
    <w:rsid w:val="7F06F780"/>
    <w:rsid w:val="7F1347EF"/>
    <w:rsid w:val="7F14469A"/>
    <w:rsid w:val="7F4806C7"/>
    <w:rsid w:val="7F4E6D68"/>
    <w:rsid w:val="7F5227D2"/>
    <w:rsid w:val="7F55E90F"/>
    <w:rsid w:val="7F5ED070"/>
    <w:rsid w:val="7F61FA52"/>
    <w:rsid w:val="7F7F0D17"/>
    <w:rsid w:val="7FB57399"/>
    <w:rsid w:val="7FBD62E2"/>
    <w:rsid w:val="7FD7B444"/>
    <w:rsid w:val="7FEB6D8B"/>
    <w:rsid w:val="7FF83D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EEEA6"/>
  <w15:chartTrackingRefBased/>
  <w15:docId w15:val="{D5BE8DB9-CD45-CF43-B547-4DD331D9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D40"/>
    <w:pPr>
      <w:spacing w:after="240" w:line="320" w:lineRule="exact"/>
    </w:pPr>
    <w:rPr>
      <w:rFonts w:ascii="Aptos" w:hAnsi="Aptos" w:cs="Calibri"/>
      <w:color w:val="000000" w:themeColor="text1"/>
    </w:rPr>
  </w:style>
  <w:style w:type="paragraph" w:styleId="Heading1">
    <w:name w:val="heading 1"/>
    <w:basedOn w:val="Normal"/>
    <w:next w:val="Normal"/>
    <w:link w:val="Heading1Char"/>
    <w:uiPriority w:val="9"/>
    <w:qFormat/>
    <w:rsid w:val="00426684"/>
    <w:pPr>
      <w:keepNext/>
      <w:keepLines/>
      <w:widowControl w:val="0"/>
      <w:numPr>
        <w:numId w:val="54"/>
      </w:numPr>
      <w:tabs>
        <w:tab w:val="clear" w:pos="1134"/>
        <w:tab w:val="num" w:pos="851"/>
      </w:tabs>
      <w:adjustRightInd w:val="0"/>
      <w:snapToGrid w:val="0"/>
      <w:spacing w:before="200" w:after="120" w:line="276" w:lineRule="auto"/>
      <w:ind w:left="851" w:hanging="851"/>
      <w:outlineLvl w:val="0"/>
    </w:pPr>
    <w:rPr>
      <w:rFonts w:eastAsia="Times New Roman" w:cstheme="minorHAnsi"/>
      <w:b/>
      <w:bCs/>
      <w:color w:val="0D2B58"/>
      <w:kern w:val="32"/>
      <w:sz w:val="56"/>
      <w:szCs w:val="56"/>
      <w:lang w:eastAsia="en-AU"/>
    </w:rPr>
  </w:style>
  <w:style w:type="paragraph" w:styleId="Heading2">
    <w:name w:val="heading 2"/>
    <w:basedOn w:val="Normal"/>
    <w:next w:val="Normal"/>
    <w:link w:val="Heading2Char"/>
    <w:uiPriority w:val="9"/>
    <w:unhideWhenUsed/>
    <w:qFormat/>
    <w:rsid w:val="00EB2989"/>
    <w:pPr>
      <w:keepNext/>
      <w:spacing w:before="240" w:after="160" w:line="276" w:lineRule="auto"/>
      <w:outlineLvl w:val="1"/>
    </w:pPr>
    <w:rPr>
      <w:rFonts w:eastAsiaTheme="majorEastAsia" w:cstheme="majorBidi"/>
      <w:color w:val="0F4761" w:themeColor="accent1" w:themeShade="BF"/>
      <w:sz w:val="32"/>
      <w:szCs w:val="32"/>
      <w:lang w:eastAsia="ja-JP"/>
    </w:rPr>
  </w:style>
  <w:style w:type="paragraph" w:styleId="Heading3">
    <w:name w:val="heading 3"/>
    <w:basedOn w:val="Heading2"/>
    <w:next w:val="Normal"/>
    <w:link w:val="Heading3Char"/>
    <w:uiPriority w:val="9"/>
    <w:unhideWhenUsed/>
    <w:qFormat/>
    <w:rsid w:val="00B03CDC"/>
    <w:pPr>
      <w:outlineLvl w:val="2"/>
    </w:pPr>
  </w:style>
  <w:style w:type="paragraph" w:styleId="Heading4">
    <w:name w:val="heading 4"/>
    <w:basedOn w:val="Heading3"/>
    <w:next w:val="Normal"/>
    <w:link w:val="Heading4Char"/>
    <w:uiPriority w:val="9"/>
    <w:unhideWhenUsed/>
    <w:qFormat/>
    <w:rsid w:val="004B4A20"/>
    <w:pPr>
      <w:outlineLvl w:val="3"/>
    </w:pPr>
    <w:rPr>
      <w:color w:val="002060"/>
      <w:sz w:val="28"/>
      <w:szCs w:val="28"/>
      <w:lang w:eastAsia="en-AU"/>
    </w:rPr>
  </w:style>
  <w:style w:type="paragraph" w:styleId="Heading5">
    <w:name w:val="heading 5"/>
    <w:basedOn w:val="Heading4"/>
    <w:next w:val="Normal"/>
    <w:link w:val="Heading5Char"/>
    <w:autoRedefine/>
    <w:uiPriority w:val="9"/>
    <w:unhideWhenUsed/>
    <w:qFormat/>
    <w:rsid w:val="000C5F41"/>
    <w:pPr>
      <w:outlineLvl w:val="4"/>
    </w:pPr>
    <w:rPr>
      <w:b/>
      <w:bCs/>
      <w:sz w:val="24"/>
      <w:szCs w:val="24"/>
    </w:rPr>
  </w:style>
  <w:style w:type="paragraph" w:styleId="Heading6">
    <w:name w:val="heading 6"/>
    <w:basedOn w:val="Normal"/>
    <w:next w:val="Normal"/>
    <w:link w:val="Heading6Char"/>
    <w:autoRedefine/>
    <w:uiPriority w:val="9"/>
    <w:semiHidden/>
    <w:unhideWhenUsed/>
    <w:qFormat/>
    <w:rsid w:val="00A155E1"/>
    <w:pPr>
      <w:keepNext/>
      <w:keepLines/>
      <w:numPr>
        <w:ilvl w:val="5"/>
        <w:numId w:val="15"/>
      </w:numPr>
      <w:spacing w:before="40"/>
      <w:outlineLvl w:val="5"/>
    </w:pPr>
    <w:rPr>
      <w:rFonts w:eastAsiaTheme="majorEastAsia" w:cstheme="majorBidi"/>
      <w:color w:val="30305B"/>
    </w:rPr>
  </w:style>
  <w:style w:type="paragraph" w:styleId="Heading7">
    <w:name w:val="heading 7"/>
    <w:basedOn w:val="Normal"/>
    <w:next w:val="Normal"/>
    <w:link w:val="Heading7Char"/>
    <w:autoRedefine/>
    <w:uiPriority w:val="9"/>
    <w:semiHidden/>
    <w:unhideWhenUsed/>
    <w:qFormat/>
    <w:rsid w:val="00A155E1"/>
    <w:pPr>
      <w:keepNext/>
      <w:keepLines/>
      <w:numPr>
        <w:ilvl w:val="6"/>
        <w:numId w:val="15"/>
      </w:numPr>
      <w:spacing w:before="40"/>
      <w:outlineLvl w:val="6"/>
    </w:pPr>
    <w:rPr>
      <w:rFonts w:eastAsiaTheme="majorEastAsia" w:cstheme="majorBidi"/>
      <w:iCs/>
      <w:color w:val="30305B"/>
    </w:rPr>
  </w:style>
  <w:style w:type="paragraph" w:styleId="Heading8">
    <w:name w:val="heading 8"/>
    <w:basedOn w:val="Normal"/>
    <w:next w:val="Normal"/>
    <w:link w:val="Heading8Char"/>
    <w:autoRedefine/>
    <w:uiPriority w:val="9"/>
    <w:semiHidden/>
    <w:unhideWhenUsed/>
    <w:qFormat/>
    <w:rsid w:val="00A155E1"/>
    <w:pPr>
      <w:keepNext/>
      <w:keepLines/>
      <w:numPr>
        <w:ilvl w:val="7"/>
        <w:numId w:val="15"/>
      </w:numPr>
      <w:spacing w:before="40"/>
      <w:outlineLvl w:val="7"/>
    </w:pPr>
    <w:rPr>
      <w:rFonts w:eastAsiaTheme="majorEastAsia" w:cstheme="majorBidi"/>
      <w:color w:val="30305B"/>
      <w:sz w:val="21"/>
      <w:szCs w:val="21"/>
    </w:rPr>
  </w:style>
  <w:style w:type="paragraph" w:styleId="Heading9">
    <w:name w:val="heading 9"/>
    <w:basedOn w:val="Normal"/>
    <w:next w:val="Normal"/>
    <w:link w:val="Heading9Char"/>
    <w:autoRedefine/>
    <w:uiPriority w:val="9"/>
    <w:unhideWhenUsed/>
    <w:qFormat/>
    <w:rsid w:val="00A155E1"/>
    <w:pPr>
      <w:keepNext/>
      <w:keepLines/>
      <w:numPr>
        <w:ilvl w:val="8"/>
        <w:numId w:val="15"/>
      </w:numPr>
      <w:spacing w:before="40"/>
      <w:outlineLvl w:val="8"/>
    </w:pPr>
    <w:rPr>
      <w:rFonts w:eastAsiaTheme="majorEastAsia" w:cstheme="majorBid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1C92"/>
    <w:pPr>
      <w:suppressAutoHyphens/>
      <w:spacing w:after="180" w:line="240" w:lineRule="auto"/>
    </w:pPr>
    <w:rPr>
      <w:rFonts w:asciiTheme="majorHAnsi" w:eastAsia="SimSun" w:hAnsiTheme="majorHAnsi" w:cstheme="majorHAnsi"/>
      <w:b/>
      <w:bCs/>
      <w:color w:val="FFFFFF" w:themeColor="background1"/>
      <w:sz w:val="72"/>
      <w:szCs w:val="72"/>
      <w:lang w:val="en-GB"/>
    </w:rPr>
  </w:style>
  <w:style w:type="paragraph" w:styleId="Header">
    <w:name w:val="header"/>
    <w:basedOn w:val="Normal"/>
    <w:link w:val="HeaderChar"/>
    <w:uiPriority w:val="99"/>
    <w:unhideWhenUsed/>
    <w:qFormat/>
    <w:rsid w:val="0016240A"/>
    <w:pPr>
      <w:tabs>
        <w:tab w:val="center" w:pos="4513"/>
        <w:tab w:val="right" w:pos="9026"/>
      </w:tabs>
      <w:spacing w:after="0"/>
    </w:pPr>
  </w:style>
  <w:style w:type="character" w:customStyle="1" w:styleId="HeaderChar">
    <w:name w:val="Header Char"/>
    <w:basedOn w:val="DefaultParagraphFont"/>
    <w:link w:val="Header"/>
    <w:uiPriority w:val="99"/>
    <w:rsid w:val="0016240A"/>
    <w:rPr>
      <w:rFonts w:ascii="Calibri" w:hAnsi="Calibri" w:cs="Calibri"/>
      <w:color w:val="000000" w:themeColor="text1"/>
    </w:rPr>
  </w:style>
  <w:style w:type="paragraph" w:styleId="Footer">
    <w:name w:val="footer"/>
    <w:basedOn w:val="Normal"/>
    <w:link w:val="FooterChar"/>
    <w:uiPriority w:val="99"/>
    <w:unhideWhenUsed/>
    <w:qFormat/>
    <w:rsid w:val="0016240A"/>
    <w:pPr>
      <w:tabs>
        <w:tab w:val="center" w:pos="4513"/>
        <w:tab w:val="right" w:pos="9026"/>
      </w:tabs>
      <w:spacing w:after="0"/>
    </w:pPr>
  </w:style>
  <w:style w:type="character" w:customStyle="1" w:styleId="FooterChar">
    <w:name w:val="Footer Char"/>
    <w:basedOn w:val="DefaultParagraphFont"/>
    <w:link w:val="Footer"/>
    <w:uiPriority w:val="99"/>
    <w:rsid w:val="0016240A"/>
    <w:rPr>
      <w:rFonts w:ascii="Calibri" w:hAnsi="Calibri" w:cs="Calibri"/>
      <w:color w:val="000000" w:themeColor="text1"/>
    </w:rPr>
  </w:style>
  <w:style w:type="character" w:customStyle="1" w:styleId="TitleChar">
    <w:name w:val="Title Char"/>
    <w:basedOn w:val="DefaultParagraphFont"/>
    <w:link w:val="Title"/>
    <w:uiPriority w:val="10"/>
    <w:rsid w:val="00DB1C92"/>
    <w:rPr>
      <w:rFonts w:asciiTheme="majorHAnsi" w:eastAsia="SimSun" w:hAnsiTheme="majorHAnsi" w:cstheme="majorHAnsi"/>
      <w:b/>
      <w:bCs/>
      <w:color w:val="FFFFFF" w:themeColor="background1"/>
      <w:sz w:val="72"/>
      <w:szCs w:val="72"/>
      <w:lang w:val="en-GB"/>
    </w:rPr>
  </w:style>
  <w:style w:type="character" w:customStyle="1" w:styleId="Heading1Char">
    <w:name w:val="Heading 1 Char"/>
    <w:basedOn w:val="DefaultParagraphFont"/>
    <w:link w:val="Heading1"/>
    <w:uiPriority w:val="9"/>
    <w:rsid w:val="00426684"/>
    <w:rPr>
      <w:rFonts w:ascii="Aptos" w:eastAsia="Times New Roman" w:hAnsi="Aptos" w:cstheme="minorHAnsi"/>
      <w:b/>
      <w:bCs/>
      <w:color w:val="0D2B58"/>
      <w:kern w:val="32"/>
      <w:sz w:val="56"/>
      <w:szCs w:val="56"/>
      <w:lang w:eastAsia="en-AU"/>
    </w:rPr>
  </w:style>
  <w:style w:type="character" w:customStyle="1" w:styleId="Heading2Char">
    <w:name w:val="Heading 2 Char"/>
    <w:basedOn w:val="DefaultParagraphFont"/>
    <w:link w:val="Heading2"/>
    <w:uiPriority w:val="9"/>
    <w:rsid w:val="00EB2989"/>
    <w:rPr>
      <w:rFonts w:ascii="Aptos" w:eastAsiaTheme="majorEastAsia" w:hAnsi="Aptos" w:cstheme="majorBidi"/>
      <w:color w:val="0F4761" w:themeColor="accent1" w:themeShade="BF"/>
      <w:sz w:val="32"/>
      <w:szCs w:val="32"/>
      <w:lang w:eastAsia="ja-JP"/>
    </w:rPr>
  </w:style>
  <w:style w:type="character" w:customStyle="1" w:styleId="Heading3Char">
    <w:name w:val="Heading 3 Char"/>
    <w:basedOn w:val="DefaultParagraphFont"/>
    <w:link w:val="Heading3"/>
    <w:uiPriority w:val="9"/>
    <w:rsid w:val="00B03CDC"/>
    <w:rPr>
      <w:rFonts w:ascii="Aptos" w:eastAsiaTheme="majorEastAsia" w:hAnsi="Aptos" w:cstheme="majorBidi"/>
      <w:color w:val="0F4761" w:themeColor="accent1" w:themeShade="BF"/>
      <w:sz w:val="32"/>
      <w:szCs w:val="32"/>
      <w:lang w:eastAsia="ja-JP"/>
    </w:rPr>
  </w:style>
  <w:style w:type="character" w:customStyle="1" w:styleId="Heading4Char">
    <w:name w:val="Heading 4 Char"/>
    <w:basedOn w:val="DefaultParagraphFont"/>
    <w:link w:val="Heading4"/>
    <w:uiPriority w:val="9"/>
    <w:rsid w:val="004B4A20"/>
    <w:rPr>
      <w:rFonts w:ascii="Aptos" w:eastAsiaTheme="majorEastAsia" w:hAnsi="Aptos" w:cstheme="majorBidi"/>
      <w:color w:val="002060"/>
      <w:sz w:val="28"/>
      <w:szCs w:val="28"/>
      <w:lang w:eastAsia="en-AU"/>
    </w:rPr>
  </w:style>
  <w:style w:type="numbering" w:customStyle="1" w:styleId="CurrentList1">
    <w:name w:val="Current List1"/>
    <w:uiPriority w:val="99"/>
    <w:rsid w:val="007333C5"/>
    <w:pPr>
      <w:numPr>
        <w:numId w:val="3"/>
      </w:numPr>
    </w:pPr>
  </w:style>
  <w:style w:type="character" w:styleId="IntenseEmphasis">
    <w:name w:val="Intense Emphasis"/>
    <w:basedOn w:val="DefaultParagraphFont"/>
    <w:uiPriority w:val="21"/>
    <w:qFormat/>
    <w:rsid w:val="00561119"/>
    <w:rPr>
      <w:i/>
      <w:iCs/>
      <w:color w:val="30305B"/>
    </w:rPr>
  </w:style>
  <w:style w:type="character" w:styleId="FootnoteReference">
    <w:name w:val="footnote reference"/>
    <w:basedOn w:val="DefaultParagraphFont"/>
    <w:uiPriority w:val="99"/>
    <w:semiHidden/>
    <w:unhideWhenUsed/>
    <w:rsid w:val="009752FB"/>
    <w:rPr>
      <w:vertAlign w:val="superscript"/>
    </w:rPr>
  </w:style>
  <w:style w:type="character" w:customStyle="1" w:styleId="FootnoteTextChar">
    <w:name w:val="Footnote Text Char"/>
    <w:basedOn w:val="DefaultParagraphFont"/>
    <w:link w:val="FootnoteText"/>
    <w:uiPriority w:val="99"/>
    <w:rsid w:val="009752FB"/>
    <w:rPr>
      <w:sz w:val="20"/>
      <w:szCs w:val="20"/>
    </w:rPr>
  </w:style>
  <w:style w:type="paragraph" w:customStyle="1" w:styleId="FootnoteText1">
    <w:name w:val="Footnote Text1"/>
    <w:basedOn w:val="Normal"/>
    <w:next w:val="FootnoteText"/>
    <w:uiPriority w:val="99"/>
    <w:unhideWhenUsed/>
    <w:rsid w:val="00D17C32"/>
    <w:pPr>
      <w:tabs>
        <w:tab w:val="left" w:pos="284"/>
      </w:tabs>
      <w:spacing w:after="0" w:line="240" w:lineRule="auto"/>
      <w:ind w:left="284" w:hanging="284"/>
    </w:pPr>
    <w:rPr>
      <w:rFonts w:asciiTheme="minorHAnsi" w:eastAsia="MS Mincho" w:hAnsiTheme="minorHAnsi" w:cstheme="minorHAnsi"/>
      <w:color w:val="auto"/>
      <w:sz w:val="20"/>
      <w:szCs w:val="20"/>
      <w:lang w:val="en-US" w:eastAsia="ja-JP"/>
    </w:rPr>
  </w:style>
  <w:style w:type="paragraph" w:customStyle="1" w:styleId="CommentText1">
    <w:name w:val="Comment Text1"/>
    <w:basedOn w:val="Normal"/>
    <w:next w:val="CommentText"/>
    <w:link w:val="CommentTextChar"/>
    <w:uiPriority w:val="99"/>
    <w:semiHidden/>
    <w:unhideWhenUsed/>
    <w:rsid w:val="009752FB"/>
    <w:pPr>
      <w:spacing w:after="160"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1"/>
    <w:uiPriority w:val="99"/>
    <w:rsid w:val="009752FB"/>
    <w:rPr>
      <w:sz w:val="20"/>
      <w:szCs w:val="20"/>
    </w:rPr>
  </w:style>
  <w:style w:type="paragraph" w:styleId="ListParagraph">
    <w:name w:val="List Paragraph"/>
    <w:basedOn w:val="Normal"/>
    <w:link w:val="ListParagraphChar"/>
    <w:uiPriority w:val="34"/>
    <w:qFormat/>
    <w:rsid w:val="00DB5AFB"/>
    <w:pPr>
      <w:contextualSpacing/>
    </w:pPr>
  </w:style>
  <w:style w:type="character" w:customStyle="1" w:styleId="ListParagraphChar">
    <w:name w:val="List Paragraph Char"/>
    <w:link w:val="ListParagraph"/>
    <w:uiPriority w:val="34"/>
    <w:qFormat/>
    <w:locked/>
    <w:rsid w:val="00DB5AFB"/>
    <w:rPr>
      <w:rFonts w:ascii="Calibri" w:hAnsi="Calibri" w:cs="Calibri"/>
      <w:color w:val="000000" w:themeColor="text1"/>
    </w:rPr>
  </w:style>
  <w:style w:type="character" w:styleId="CommentReference">
    <w:name w:val="annotation reference"/>
    <w:basedOn w:val="DefaultParagraphFont"/>
    <w:uiPriority w:val="99"/>
    <w:semiHidden/>
    <w:unhideWhenUsed/>
    <w:rsid w:val="009752FB"/>
    <w:rPr>
      <w:sz w:val="16"/>
      <w:szCs w:val="16"/>
    </w:rPr>
  </w:style>
  <w:style w:type="character" w:customStyle="1" w:styleId="Heading5Char">
    <w:name w:val="Heading 5 Char"/>
    <w:basedOn w:val="DefaultParagraphFont"/>
    <w:link w:val="Heading5"/>
    <w:uiPriority w:val="9"/>
    <w:rsid w:val="000C5F41"/>
    <w:rPr>
      <w:rFonts w:ascii="Aptos" w:eastAsiaTheme="majorEastAsia" w:hAnsi="Aptos" w:cstheme="majorBidi"/>
      <w:b/>
      <w:bCs/>
      <w:color w:val="002060"/>
      <w:lang w:val="en-US" w:eastAsia="en-AU"/>
    </w:rPr>
  </w:style>
  <w:style w:type="character" w:customStyle="1" w:styleId="Heading6Char">
    <w:name w:val="Heading 6 Char"/>
    <w:basedOn w:val="DefaultParagraphFont"/>
    <w:link w:val="Heading6"/>
    <w:uiPriority w:val="9"/>
    <w:semiHidden/>
    <w:rsid w:val="00B80B4D"/>
    <w:rPr>
      <w:rFonts w:ascii="Calibri" w:eastAsiaTheme="majorEastAsia" w:hAnsi="Calibri" w:cstheme="majorBidi"/>
      <w:color w:val="30305B"/>
    </w:rPr>
  </w:style>
  <w:style w:type="character" w:customStyle="1" w:styleId="Heading7Char">
    <w:name w:val="Heading 7 Char"/>
    <w:basedOn w:val="DefaultParagraphFont"/>
    <w:link w:val="Heading7"/>
    <w:uiPriority w:val="9"/>
    <w:semiHidden/>
    <w:rsid w:val="00B80B4D"/>
    <w:rPr>
      <w:rFonts w:ascii="Calibri" w:eastAsiaTheme="majorEastAsia" w:hAnsi="Calibri" w:cstheme="majorBidi"/>
      <w:iCs/>
      <w:color w:val="30305B"/>
    </w:rPr>
  </w:style>
  <w:style w:type="character" w:customStyle="1" w:styleId="Heading8Char">
    <w:name w:val="Heading 8 Char"/>
    <w:basedOn w:val="DefaultParagraphFont"/>
    <w:link w:val="Heading8"/>
    <w:uiPriority w:val="9"/>
    <w:semiHidden/>
    <w:rsid w:val="00B80B4D"/>
    <w:rPr>
      <w:rFonts w:ascii="Calibri" w:eastAsiaTheme="majorEastAsia" w:hAnsi="Calibri" w:cstheme="majorBidi"/>
      <w:color w:val="30305B"/>
      <w:sz w:val="21"/>
      <w:szCs w:val="21"/>
    </w:rPr>
  </w:style>
  <w:style w:type="character" w:customStyle="1" w:styleId="Heading9Char">
    <w:name w:val="Heading 9 Char"/>
    <w:basedOn w:val="DefaultParagraphFont"/>
    <w:link w:val="Heading9"/>
    <w:uiPriority w:val="9"/>
    <w:rsid w:val="00B80B4D"/>
    <w:rPr>
      <w:rFonts w:ascii="Calibri" w:eastAsiaTheme="majorEastAsia" w:hAnsi="Calibri" w:cstheme="majorBidi"/>
      <w:iCs/>
      <w:color w:val="272727" w:themeColor="text1" w:themeTint="D8"/>
      <w:sz w:val="18"/>
      <w:szCs w:val="21"/>
    </w:rPr>
  </w:style>
  <w:style w:type="paragraph" w:styleId="IntenseQuote">
    <w:name w:val="Intense Quote"/>
    <w:basedOn w:val="Normal"/>
    <w:next w:val="Normal"/>
    <w:link w:val="IntenseQuoteChar"/>
    <w:uiPriority w:val="30"/>
    <w:qFormat/>
    <w:rsid w:val="00661599"/>
    <w:pPr>
      <w:keepLines/>
      <w:pBdr>
        <w:top w:val="single" w:sz="4" w:space="10" w:color="156082" w:themeColor="accent1"/>
        <w:bottom w:val="single" w:sz="4" w:space="10" w:color="156082" w:themeColor="accent1"/>
      </w:pBdr>
      <w:spacing w:before="360" w:after="360" w:line="264" w:lineRule="auto"/>
      <w:ind w:left="862" w:right="862"/>
      <w:jc w:val="center"/>
    </w:pPr>
    <w:rPr>
      <w:i/>
      <w:iCs/>
      <w:color w:val="156082" w:themeColor="accent1"/>
    </w:rPr>
  </w:style>
  <w:style w:type="character" w:customStyle="1" w:styleId="IntenseQuoteChar">
    <w:name w:val="Intense Quote Char"/>
    <w:basedOn w:val="DefaultParagraphFont"/>
    <w:link w:val="IntenseQuote"/>
    <w:uiPriority w:val="30"/>
    <w:rsid w:val="00661599"/>
    <w:rPr>
      <w:rFonts w:ascii="Calibri" w:eastAsia="Calibri" w:hAnsi="Calibri" w:cs="Calibri"/>
      <w:i/>
      <w:iCs/>
      <w:color w:val="156082" w:themeColor="accent1"/>
    </w:rPr>
  </w:style>
  <w:style w:type="character" w:styleId="IntenseReference">
    <w:name w:val="Intense Reference"/>
    <w:basedOn w:val="DefaultParagraphFont"/>
    <w:uiPriority w:val="32"/>
    <w:qFormat/>
    <w:rsid w:val="00B80B4D"/>
    <w:rPr>
      <w:b/>
      <w:bCs/>
      <w:smallCaps/>
      <w:color w:val="30305B"/>
      <w:spacing w:val="5"/>
    </w:rPr>
  </w:style>
  <w:style w:type="paragraph" w:styleId="FootnoteText">
    <w:name w:val="footnote text"/>
    <w:basedOn w:val="Normal"/>
    <w:link w:val="FootnoteTextChar"/>
    <w:uiPriority w:val="99"/>
    <w:unhideWhenUsed/>
    <w:rsid w:val="009752FB"/>
    <w:pPr>
      <w:spacing w:after="0" w:line="240" w:lineRule="auto"/>
    </w:pPr>
    <w:rPr>
      <w:rFonts w:asciiTheme="minorHAnsi" w:hAnsiTheme="minorHAnsi" w:cstheme="minorBidi"/>
      <w:color w:val="auto"/>
      <w:sz w:val="20"/>
      <w:szCs w:val="20"/>
    </w:rPr>
  </w:style>
  <w:style w:type="character" w:customStyle="1" w:styleId="FootnoteTextChar1">
    <w:name w:val="Footnote Text Char1"/>
    <w:basedOn w:val="DefaultParagraphFont"/>
    <w:uiPriority w:val="99"/>
    <w:semiHidden/>
    <w:rsid w:val="009752FB"/>
    <w:rPr>
      <w:rFonts w:ascii="Calibri" w:hAnsi="Calibri" w:cs="Calibri"/>
      <w:color w:val="000000" w:themeColor="text1"/>
      <w:sz w:val="20"/>
      <w:szCs w:val="20"/>
    </w:rPr>
  </w:style>
  <w:style w:type="paragraph" w:styleId="CommentText">
    <w:name w:val="annotation text"/>
    <w:basedOn w:val="Normal"/>
    <w:link w:val="CommentTextChar1"/>
    <w:uiPriority w:val="99"/>
    <w:unhideWhenUsed/>
    <w:rsid w:val="009752FB"/>
    <w:pPr>
      <w:spacing w:line="240" w:lineRule="auto"/>
    </w:pPr>
    <w:rPr>
      <w:sz w:val="20"/>
      <w:szCs w:val="20"/>
    </w:rPr>
  </w:style>
  <w:style w:type="character" w:customStyle="1" w:styleId="CommentTextChar1">
    <w:name w:val="Comment Text Char1"/>
    <w:basedOn w:val="DefaultParagraphFont"/>
    <w:link w:val="CommentText"/>
    <w:uiPriority w:val="99"/>
    <w:rsid w:val="009752FB"/>
    <w:rPr>
      <w:rFonts w:ascii="Calibri" w:hAnsi="Calibri" w:cs="Calibri"/>
      <w:color w:val="000000" w:themeColor="text1"/>
      <w:sz w:val="20"/>
      <w:szCs w:val="20"/>
    </w:rPr>
  </w:style>
  <w:style w:type="character" w:customStyle="1" w:styleId="Footnotehyperlink">
    <w:name w:val="Footnote hyperlink"/>
    <w:basedOn w:val="DefaultParagraphFont"/>
    <w:uiPriority w:val="1"/>
    <w:qFormat/>
    <w:rsid w:val="00C6484C"/>
    <w:rPr>
      <w:rFonts w:asciiTheme="minorHAnsi" w:hAnsiTheme="minorHAnsi" w:cstheme="minorHAnsi"/>
      <w:color w:val="0E2841" w:themeColor="text2"/>
      <w:sz w:val="20"/>
      <w:szCs w:val="20"/>
      <w:u w:val="single"/>
    </w:rPr>
  </w:style>
  <w:style w:type="paragraph" w:styleId="Revision">
    <w:name w:val="Revision"/>
    <w:hidden/>
    <w:uiPriority w:val="99"/>
    <w:semiHidden/>
    <w:rsid w:val="007237A8"/>
    <w:rPr>
      <w:rFonts w:ascii="Calibri" w:hAnsi="Calibri" w:cs="Calibri"/>
      <w:color w:val="000000" w:themeColor="text1"/>
    </w:rPr>
  </w:style>
  <w:style w:type="paragraph" w:customStyle="1" w:styleId="Authorname">
    <w:name w:val="Author name"/>
    <w:basedOn w:val="Normal"/>
    <w:qFormat/>
    <w:rsid w:val="003506F8"/>
    <w:pPr>
      <w:spacing w:after="200" w:line="276" w:lineRule="auto"/>
    </w:pPr>
    <w:rPr>
      <w:rFonts w:asciiTheme="minorHAnsi" w:eastAsiaTheme="minorEastAsia" w:hAnsiTheme="minorHAnsi" w:cstheme="minorBidi"/>
      <w:b/>
      <w:bCs/>
      <w:sz w:val="36"/>
      <w:szCs w:val="36"/>
      <w:lang w:val="en-GB"/>
    </w:rPr>
  </w:style>
  <w:style w:type="character" w:styleId="Hyperlink">
    <w:name w:val="Hyperlink"/>
    <w:basedOn w:val="DefaultParagraphFont"/>
    <w:uiPriority w:val="99"/>
    <w:unhideWhenUsed/>
    <w:qFormat/>
    <w:rsid w:val="007A526F"/>
    <w:rPr>
      <w:rFonts w:ascii="Arial" w:hAnsi="Arial"/>
      <w:noProof w:val="0"/>
      <w:color w:val="0E2841" w:themeColor="text2"/>
      <w:u w:val="single"/>
      <w:lang w:val="en-AU"/>
    </w:rPr>
  </w:style>
  <w:style w:type="numbering" w:customStyle="1" w:styleId="Heading2NumberedList">
    <w:name w:val="Heading 2 Numbered List"/>
    <w:basedOn w:val="NoList"/>
    <w:uiPriority w:val="99"/>
    <w:rsid w:val="00F15F0C"/>
    <w:pPr>
      <w:numPr>
        <w:numId w:val="2"/>
      </w:numPr>
    </w:pPr>
  </w:style>
  <w:style w:type="paragraph" w:styleId="TOC4">
    <w:name w:val="toc 4"/>
    <w:basedOn w:val="Normal"/>
    <w:next w:val="Normal"/>
    <w:autoRedefine/>
    <w:uiPriority w:val="39"/>
    <w:semiHidden/>
    <w:unhideWhenUsed/>
    <w:rsid w:val="008A2D68"/>
    <w:pPr>
      <w:spacing w:after="100"/>
      <w:ind w:left="720"/>
    </w:pPr>
  </w:style>
  <w:style w:type="character" w:styleId="PageNumber">
    <w:name w:val="page number"/>
    <w:basedOn w:val="DefaultParagraphFont"/>
    <w:uiPriority w:val="99"/>
    <w:semiHidden/>
    <w:unhideWhenUsed/>
    <w:qFormat/>
    <w:rsid w:val="00CA5DC4"/>
    <w:rPr>
      <w:sz w:val="18"/>
    </w:rPr>
  </w:style>
  <w:style w:type="paragraph" w:styleId="Caption">
    <w:name w:val="caption"/>
    <w:basedOn w:val="Normal"/>
    <w:next w:val="Normal"/>
    <w:uiPriority w:val="35"/>
    <w:unhideWhenUsed/>
    <w:qFormat/>
    <w:rsid w:val="005B230A"/>
    <w:pPr>
      <w:spacing w:after="0"/>
    </w:pPr>
    <w:rPr>
      <w:bCs/>
      <w:sz w:val="18"/>
      <w:szCs w:val="18"/>
    </w:rPr>
  </w:style>
  <w:style w:type="table" w:styleId="GridTable4-Accent4">
    <w:name w:val="Grid Table 4 Accent 4"/>
    <w:aliases w:val="TSD Grid Table 4"/>
    <w:basedOn w:val="TableNormal"/>
    <w:uiPriority w:val="49"/>
    <w:rsid w:val="00200052"/>
    <w:pPr>
      <w:snapToGrid w:val="0"/>
    </w:pPr>
    <w:tblPr>
      <w:tblStyleRowBandSize w:val="1"/>
      <w:tblStyleColBandSize w:val="1"/>
      <w:tblBorders>
        <w:top w:val="single" w:sz="4" w:space="0" w:color="500778"/>
        <w:left w:val="single" w:sz="4" w:space="0" w:color="500778"/>
        <w:bottom w:val="single" w:sz="4" w:space="0" w:color="500778"/>
        <w:right w:val="single" w:sz="4" w:space="0" w:color="500778"/>
        <w:insideH w:val="single" w:sz="4" w:space="0" w:color="500778"/>
        <w:insideV w:val="single" w:sz="4" w:space="0" w:color="500778"/>
      </w:tblBorders>
      <w:tblCellMar>
        <w:top w:w="57" w:type="dxa"/>
        <w:left w:w="57" w:type="dxa"/>
        <w:bottom w:w="57" w:type="dxa"/>
        <w:right w:w="57" w:type="dxa"/>
      </w:tblCellMar>
    </w:tblPr>
    <w:tblStylePr w:type="firstRow">
      <w:pPr>
        <w:wordWrap/>
        <w:adjustRightInd w:val="0"/>
        <w:snapToGrid w:val="0"/>
        <w:spacing w:beforeLines="0" w:before="0" w:beforeAutospacing="0" w:afterLines="0" w:after="0" w:afterAutospacing="0" w:line="240" w:lineRule="auto"/>
        <w:ind w:leftChars="0" w:left="0" w:rightChars="0" w:right="0"/>
        <w:contextualSpacing w:val="0"/>
        <w:mirrorIndents w:val="0"/>
        <w:jc w:val="left"/>
        <w:outlineLvl w:val="9"/>
      </w:pPr>
      <w:rPr>
        <w:rFonts w:asciiTheme="minorHAnsi" w:hAnsiTheme="minorHAnsi"/>
        <w:b/>
        <w:bCs/>
        <w:i w:val="0"/>
        <w:caps w:val="0"/>
        <w:smallCaps w:val="0"/>
        <w:strike w:val="0"/>
        <w:dstrike w:val="0"/>
        <w:vanish w:val="0"/>
        <w:color w:val="FFFFFF" w:themeColor="background1"/>
        <w:sz w:val="24"/>
        <w:u w:val="none"/>
        <w:vertAlign w:val="baseline"/>
      </w:rPr>
      <w:tblPr/>
      <w:tcPr>
        <w:shd w:val="clear" w:color="auto" w:fill="156082" w:themeFill="accent1"/>
        <w:noWrap/>
        <w:tcMar>
          <w:top w:w="57" w:type="dxa"/>
          <w:left w:w="57" w:type="dxa"/>
          <w:bottom w:w="57" w:type="dxa"/>
          <w:right w:w="57" w:type="dxa"/>
        </w:tcMar>
      </w:tcPr>
    </w:tblStylePr>
    <w:tblStylePr w:type="lastRow">
      <w:rPr>
        <w:b/>
        <w:bCs/>
      </w:rPr>
      <w:tblPr/>
      <w:tcPr>
        <w:tcBorders>
          <w:top w:val="double" w:sz="4" w:space="0" w:color="0F9ED5" w:themeColor="accent4"/>
        </w:tcBorders>
      </w:tcPr>
    </w:tblStylePr>
    <w:tblStylePr w:type="firstCol">
      <w:pPr>
        <w:wordWrap/>
        <w:adjustRightInd w:val="0"/>
        <w:snapToGrid w:val="0"/>
        <w:spacing w:beforeLines="0" w:before="0" w:beforeAutospacing="0" w:afterLines="0" w:after="0" w:afterAutospacing="0" w:line="240" w:lineRule="auto"/>
        <w:ind w:leftChars="50" w:left="50" w:rightChars="50" w:right="50"/>
        <w:contextualSpacing w:val="0"/>
        <w:mirrorIndents w:val="0"/>
        <w:jc w:val="left"/>
        <w:outlineLvl w:val="9"/>
      </w:pPr>
      <w:rPr>
        <w:rFonts w:asciiTheme="minorHAnsi" w:hAnsiTheme="minorHAnsi"/>
        <w:b w:val="0"/>
        <w:bCs/>
        <w:sz w:val="24"/>
      </w:rPr>
    </w:tblStylePr>
    <w:tblStylePr w:type="lastCol">
      <w:rPr>
        <w:b/>
        <w:bCs/>
      </w:rPr>
    </w:tblStylePr>
    <w:tblStylePr w:type="band1Vert">
      <w:tblPr/>
      <w:tcPr>
        <w:shd w:val="clear" w:color="auto" w:fill="CAEDFB" w:themeFill="accent4" w:themeFillTint="33"/>
      </w:tcPr>
    </w:tblStylePr>
    <w:tblStylePr w:type="band1Horz">
      <w:pPr>
        <w:wordWrap/>
        <w:adjustRightInd w:val="0"/>
        <w:snapToGrid w:val="0"/>
        <w:spacing w:beforeLines="0" w:before="0" w:beforeAutospacing="0" w:afterLines="0" w:after="0" w:afterAutospacing="0" w:line="240" w:lineRule="auto"/>
        <w:ind w:leftChars="57" w:left="57" w:rightChars="57" w:right="57"/>
        <w:contextualSpacing w:val="0"/>
        <w:mirrorIndents w:val="0"/>
        <w:jc w:val="left"/>
        <w:outlineLvl w:val="9"/>
      </w:pPr>
      <w:rPr>
        <w:rFonts w:asciiTheme="minorHAnsi" w:hAnsiTheme="minorHAnsi"/>
        <w:sz w:val="24"/>
      </w:rPr>
      <w:tblPr/>
      <w:tcPr>
        <w:shd w:val="clear" w:color="auto" w:fill="F2F2F2" w:themeFill="background1" w:themeFillShade="F2"/>
      </w:tcPr>
    </w:tblStylePr>
    <w:tblStylePr w:type="band2Horz">
      <w:pPr>
        <w:wordWrap/>
        <w:snapToGrid w:val="0"/>
        <w:spacing w:beforeLines="0" w:before="0" w:beforeAutospacing="0" w:afterLines="0" w:after="0" w:afterAutospacing="0" w:line="240" w:lineRule="auto"/>
        <w:ind w:leftChars="57" w:left="57" w:rightChars="57" w:right="57"/>
        <w:contextualSpacing w:val="0"/>
        <w:jc w:val="left"/>
        <w:outlineLvl w:val="9"/>
      </w:pPr>
      <w:rPr>
        <w:rFonts w:asciiTheme="minorHAnsi" w:hAnsiTheme="minorHAnsi"/>
        <w:sz w:val="24"/>
      </w:rPr>
    </w:tblStylePr>
  </w:style>
  <w:style w:type="paragraph" w:styleId="Subtitle">
    <w:name w:val="Subtitle"/>
    <w:aliases w:val="Event Title"/>
    <w:basedOn w:val="Normal"/>
    <w:next w:val="Normal"/>
    <w:link w:val="SubtitleChar"/>
    <w:uiPriority w:val="11"/>
    <w:qFormat/>
    <w:rsid w:val="001E7C32"/>
    <w:pPr>
      <w:spacing w:after="360"/>
      <w:jc w:val="center"/>
    </w:pPr>
    <w:rPr>
      <w:rFonts w:eastAsiaTheme="majorEastAsia"/>
      <w:iCs/>
    </w:rPr>
  </w:style>
  <w:style w:type="character" w:customStyle="1" w:styleId="SubtitleChar">
    <w:name w:val="Subtitle Char"/>
    <w:aliases w:val="Event Title Char"/>
    <w:basedOn w:val="DefaultParagraphFont"/>
    <w:link w:val="Subtitle"/>
    <w:uiPriority w:val="11"/>
    <w:rsid w:val="001E7C32"/>
    <w:rPr>
      <w:rFonts w:ascii="Calibri" w:eastAsiaTheme="majorEastAsia" w:hAnsi="Calibri" w:cs="Calibri"/>
      <w:iCs/>
      <w:kern w:val="24"/>
      <w14:ligatures w14:val="standardContextual"/>
    </w:rPr>
  </w:style>
  <w:style w:type="character" w:styleId="FollowedHyperlink">
    <w:name w:val="FollowedHyperlink"/>
    <w:basedOn w:val="DefaultParagraphFont"/>
    <w:uiPriority w:val="99"/>
    <w:semiHidden/>
    <w:unhideWhenUsed/>
    <w:rsid w:val="002625E7"/>
    <w:rPr>
      <w:color w:val="634665"/>
      <w:u w:val="single"/>
    </w:rPr>
  </w:style>
  <w:style w:type="paragraph" w:styleId="List">
    <w:name w:val="List"/>
    <w:basedOn w:val="Normal"/>
    <w:uiPriority w:val="99"/>
    <w:unhideWhenUsed/>
    <w:rsid w:val="00A94DD3"/>
    <w:pPr>
      <w:ind w:left="283" w:hanging="283"/>
      <w:contextualSpacing/>
    </w:pPr>
  </w:style>
  <w:style w:type="table" w:styleId="ListTable4-Accent1">
    <w:name w:val="List Table 4 Accent 1"/>
    <w:aliases w:val="TSD Profiles"/>
    <w:basedOn w:val="TableNormal"/>
    <w:uiPriority w:val="49"/>
    <w:rsid w:val="006178A2"/>
    <w:rPr>
      <w:rFonts w:eastAsiaTheme="minorHAnsi"/>
    </w:rPr>
    <w:tblPr>
      <w:tblBorders>
        <w:insideH w:val="single" w:sz="4" w:space="0" w:color="auto"/>
      </w:tblBorders>
      <w:tblCellMar>
        <w:top w:w="113" w:type="dxa"/>
        <w:left w:w="57" w:type="dxa"/>
        <w:bottom w:w="113" w:type="dxa"/>
        <w:right w:w="57" w:type="dxa"/>
      </w:tblCellMar>
    </w:tblPr>
    <w:trPr>
      <w:cantSplit/>
    </w:tr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FA0B19"/>
    <w:pPr>
      <w:ind w:left="720"/>
    </w:pPr>
    <w:rPr>
      <w:i/>
      <w:iCs/>
    </w:rPr>
  </w:style>
  <w:style w:type="character" w:customStyle="1" w:styleId="QuoteChar">
    <w:name w:val="Quote Char"/>
    <w:basedOn w:val="DefaultParagraphFont"/>
    <w:link w:val="Quote"/>
    <w:uiPriority w:val="29"/>
    <w:rsid w:val="00FA0B19"/>
    <w:rPr>
      <w:rFonts w:ascii="Calibri" w:hAnsi="Calibri" w:cs="Calibri"/>
      <w:i/>
      <w:iCs/>
      <w:color w:val="000000" w:themeColor="text1"/>
    </w:rPr>
  </w:style>
  <w:style w:type="character" w:customStyle="1" w:styleId="cf01">
    <w:name w:val="cf01"/>
    <w:basedOn w:val="DefaultParagraphFont"/>
    <w:rsid w:val="002A42BF"/>
    <w:rPr>
      <w:rFonts w:ascii="Segoe UI" w:hAnsi="Segoe UI" w:cs="Segoe UI" w:hint="default"/>
      <w:sz w:val="18"/>
      <w:szCs w:val="18"/>
    </w:rPr>
  </w:style>
  <w:style w:type="paragraph" w:customStyle="1" w:styleId="pf0">
    <w:name w:val="pf0"/>
    <w:basedOn w:val="Normal"/>
    <w:rsid w:val="00052364"/>
    <w:pPr>
      <w:spacing w:before="100" w:beforeAutospacing="1" w:after="100" w:afterAutospacing="1" w:line="240" w:lineRule="auto"/>
    </w:pPr>
    <w:rPr>
      <w:rFonts w:ascii="Times New Roman" w:eastAsia="Times New Roman" w:hAnsi="Times New Roman" w:cs="Times New Roman"/>
      <w:color w:val="auto"/>
      <w:lang w:eastAsia="en-AU"/>
    </w:rPr>
  </w:style>
  <w:style w:type="character" w:styleId="Mention">
    <w:name w:val="Mention"/>
    <w:basedOn w:val="DefaultParagraphFont"/>
    <w:uiPriority w:val="99"/>
    <w:unhideWhenUsed/>
    <w:rsid w:val="00052364"/>
    <w:rPr>
      <w:color w:val="2B579A"/>
      <w:shd w:val="clear" w:color="auto" w:fill="E1DFDD"/>
    </w:rPr>
  </w:style>
  <w:style w:type="paragraph" w:customStyle="1" w:styleId="paragraph">
    <w:name w:val="paragraph"/>
    <w:basedOn w:val="Normal"/>
    <w:rsid w:val="00E23341"/>
    <w:pPr>
      <w:spacing w:before="100" w:beforeAutospacing="1" w:after="100" w:afterAutospacing="1" w:line="240" w:lineRule="auto"/>
    </w:pPr>
    <w:rPr>
      <w:rFonts w:ascii="Times New Roman" w:eastAsia="Times New Roman" w:hAnsi="Times New Roman" w:cs="Times New Roman"/>
      <w:color w:val="auto"/>
      <w:lang w:eastAsia="en-AU"/>
    </w:rPr>
  </w:style>
  <w:style w:type="character" w:customStyle="1" w:styleId="normaltextrun">
    <w:name w:val="normaltextrun"/>
    <w:basedOn w:val="DefaultParagraphFont"/>
    <w:rsid w:val="00E23341"/>
  </w:style>
  <w:style w:type="character" w:customStyle="1" w:styleId="eop">
    <w:name w:val="eop"/>
    <w:basedOn w:val="DefaultParagraphFont"/>
    <w:rsid w:val="00E23341"/>
  </w:style>
  <w:style w:type="character" w:customStyle="1" w:styleId="spellingerror">
    <w:name w:val="spellingerror"/>
    <w:basedOn w:val="DefaultParagraphFont"/>
    <w:rsid w:val="00E23341"/>
  </w:style>
  <w:style w:type="paragraph" w:customStyle="1" w:styleId="Numberlist">
    <w:name w:val="Number list"/>
    <w:basedOn w:val="Normal"/>
    <w:link w:val="NumberlistChar"/>
    <w:uiPriority w:val="3"/>
    <w:qFormat/>
    <w:rsid w:val="00035D76"/>
    <w:pPr>
      <w:tabs>
        <w:tab w:val="left" w:pos="357"/>
        <w:tab w:val="left" w:pos="720"/>
        <w:tab w:val="left" w:pos="1077"/>
        <w:tab w:val="left" w:pos="1418"/>
        <w:tab w:val="left" w:pos="1701"/>
      </w:tabs>
      <w:spacing w:before="120" w:after="120" w:line="264" w:lineRule="auto"/>
      <w:contextualSpacing/>
    </w:pPr>
    <w:rPr>
      <w:rFonts w:asciiTheme="minorHAnsi" w:eastAsiaTheme="minorEastAsia" w:hAnsiTheme="minorHAnsi" w:cstheme="minorBidi"/>
      <w:color w:val="auto"/>
      <w:szCs w:val="21"/>
    </w:rPr>
  </w:style>
  <w:style w:type="character" w:customStyle="1" w:styleId="NumberlistChar">
    <w:name w:val="Number list Char"/>
    <w:basedOn w:val="DefaultParagraphFont"/>
    <w:link w:val="Numberlist"/>
    <w:uiPriority w:val="3"/>
    <w:rsid w:val="00035D76"/>
    <w:rPr>
      <w:rFonts w:eastAsiaTheme="minorEastAsia"/>
      <w:szCs w:val="21"/>
    </w:rPr>
  </w:style>
  <w:style w:type="paragraph" w:customStyle="1" w:styleId="acthead5">
    <w:name w:val="acthead5"/>
    <w:basedOn w:val="Normal"/>
    <w:rsid w:val="00035D76"/>
    <w:pPr>
      <w:spacing w:before="100" w:beforeAutospacing="1" w:after="100" w:afterAutospacing="1" w:line="240" w:lineRule="auto"/>
    </w:pPr>
    <w:rPr>
      <w:rFonts w:ascii="Times New Roman" w:eastAsia="Times New Roman" w:hAnsi="Times New Roman" w:cs="Times New Roman"/>
      <w:color w:val="auto"/>
      <w:lang w:eastAsia="en-AU"/>
    </w:rPr>
  </w:style>
  <w:style w:type="paragraph" w:customStyle="1" w:styleId="Default">
    <w:name w:val="Default"/>
    <w:rsid w:val="00B20AFA"/>
    <w:pPr>
      <w:autoSpaceDE w:val="0"/>
      <w:autoSpaceDN w:val="0"/>
      <w:adjustRightInd w:val="0"/>
    </w:pPr>
    <w:rPr>
      <w:rFonts w:ascii="Arial" w:eastAsiaTheme="minorEastAsia" w:hAnsi="Arial" w:cs="Arial"/>
      <w:color w:val="000000"/>
      <w:lang w:eastAsia="ja-JP"/>
    </w:rPr>
  </w:style>
  <w:style w:type="paragraph" w:styleId="ListBullet">
    <w:name w:val="List Bullet"/>
    <w:basedOn w:val="Normal"/>
    <w:uiPriority w:val="99"/>
    <w:unhideWhenUsed/>
    <w:rsid w:val="002D3BE6"/>
    <w:pPr>
      <w:numPr>
        <w:numId w:val="11"/>
      </w:numPr>
      <w:contextualSpacing/>
    </w:pPr>
  </w:style>
  <w:style w:type="paragraph" w:styleId="ListBullet2">
    <w:name w:val="List Bullet 2"/>
    <w:basedOn w:val="Normal"/>
    <w:uiPriority w:val="99"/>
    <w:unhideWhenUsed/>
    <w:rsid w:val="002D3BE6"/>
    <w:pPr>
      <w:numPr>
        <w:numId w:val="12"/>
      </w:numPr>
      <w:contextualSpacing/>
    </w:pPr>
  </w:style>
  <w:style w:type="paragraph" w:styleId="TOC1">
    <w:name w:val="toc 1"/>
    <w:basedOn w:val="Normal"/>
    <w:next w:val="Normal"/>
    <w:autoRedefine/>
    <w:uiPriority w:val="39"/>
    <w:unhideWhenUsed/>
    <w:qFormat/>
    <w:rsid w:val="009B1AE4"/>
    <w:pPr>
      <w:tabs>
        <w:tab w:val="left" w:pos="426"/>
        <w:tab w:val="right" w:pos="9016"/>
      </w:tabs>
      <w:spacing w:before="120" w:after="0"/>
    </w:pPr>
    <w:rPr>
      <w:b/>
      <w:bCs/>
      <w:noProof/>
    </w:rPr>
  </w:style>
  <w:style w:type="paragraph" w:styleId="TOC2">
    <w:name w:val="toc 2"/>
    <w:basedOn w:val="Normal"/>
    <w:next w:val="Normal"/>
    <w:uiPriority w:val="39"/>
    <w:unhideWhenUsed/>
    <w:qFormat/>
    <w:rsid w:val="009B1AE4"/>
    <w:pPr>
      <w:tabs>
        <w:tab w:val="left" w:pos="1134"/>
        <w:tab w:val="right" w:pos="9016"/>
      </w:tabs>
      <w:spacing w:after="40"/>
      <w:ind w:left="425"/>
    </w:pPr>
    <w:rPr>
      <w:noProof/>
    </w:rPr>
  </w:style>
  <w:style w:type="paragraph" w:styleId="TOC3">
    <w:name w:val="toc 3"/>
    <w:basedOn w:val="Normal"/>
    <w:next w:val="Normal"/>
    <w:autoRedefine/>
    <w:uiPriority w:val="39"/>
    <w:unhideWhenUsed/>
    <w:rsid w:val="00C96B81"/>
    <w:pPr>
      <w:spacing w:after="100"/>
      <w:ind w:left="48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2C5B60"/>
    <w:rPr>
      <w:b/>
      <w:bCs/>
    </w:rPr>
  </w:style>
  <w:style w:type="character" w:customStyle="1" w:styleId="CommentSubjectChar">
    <w:name w:val="Comment Subject Char"/>
    <w:basedOn w:val="CommentTextChar1"/>
    <w:link w:val="CommentSubject"/>
    <w:uiPriority w:val="99"/>
    <w:semiHidden/>
    <w:rsid w:val="002C5B60"/>
    <w:rPr>
      <w:rFonts w:ascii="Calibri" w:hAnsi="Calibri" w:cs="Calibri"/>
      <w:b/>
      <w:bCs/>
      <w:color w:val="000000" w:themeColor="text1"/>
      <w:sz w:val="20"/>
      <w:szCs w:val="20"/>
    </w:rPr>
  </w:style>
  <w:style w:type="character" w:styleId="UnresolvedMention">
    <w:name w:val="Unresolved Mention"/>
    <w:basedOn w:val="DefaultParagraphFont"/>
    <w:uiPriority w:val="99"/>
    <w:semiHidden/>
    <w:unhideWhenUsed/>
    <w:rsid w:val="00922627"/>
    <w:rPr>
      <w:color w:val="605E5C"/>
      <w:shd w:val="clear" w:color="auto" w:fill="E1DFDD"/>
    </w:rPr>
  </w:style>
  <w:style w:type="paragraph" w:customStyle="1" w:styleId="Submissions">
    <w:name w:val="Submissions"/>
    <w:basedOn w:val="Normal"/>
    <w:uiPriority w:val="1"/>
    <w:qFormat/>
    <w:rsid w:val="6EB98A9E"/>
    <w:pPr>
      <w:spacing w:before="200" w:after="200" w:line="264" w:lineRule="auto"/>
      <w:ind w:left="993" w:right="340"/>
    </w:pPr>
    <w:rPr>
      <w:rFonts w:asciiTheme="minorHAnsi" w:eastAsiaTheme="minorEastAsia" w:hAnsiTheme="minorHAnsi" w:cstheme="minorBidi"/>
      <w:noProof/>
      <w:color w:val="595959" w:themeColor="text1" w:themeTint="A6"/>
      <w:lang w:val="en-GB"/>
    </w:rPr>
  </w:style>
  <w:style w:type="character" w:styleId="Emphasis">
    <w:name w:val="Emphasis"/>
    <w:basedOn w:val="DefaultParagraphFont"/>
    <w:uiPriority w:val="20"/>
    <w:qFormat/>
    <w:rPr>
      <w:i/>
      <w:iCs/>
    </w:rPr>
  </w:style>
  <w:style w:type="character" w:customStyle="1" w:styleId="logoroyal-commission">
    <w:name w:val="logo__royal-commission"/>
    <w:basedOn w:val="DefaultParagraphFont"/>
    <w:rsid w:val="001A6F9E"/>
  </w:style>
  <w:style w:type="character" w:customStyle="1" w:styleId="logosite-slogan">
    <w:name w:val="logo__site-slogan"/>
    <w:basedOn w:val="DefaultParagraphFont"/>
    <w:rsid w:val="001A6F9E"/>
  </w:style>
  <w:style w:type="paragraph" w:styleId="NormalWeb">
    <w:name w:val="Normal (Web)"/>
    <w:basedOn w:val="Normal"/>
    <w:uiPriority w:val="99"/>
    <w:semiHidden/>
    <w:unhideWhenUsed/>
    <w:rsid w:val="00F735AC"/>
    <w:pPr>
      <w:spacing w:before="100" w:beforeAutospacing="1" w:after="100" w:afterAutospacing="1" w:line="240" w:lineRule="auto"/>
    </w:pPr>
    <w:rPr>
      <w:rFonts w:ascii="Times New Roman" w:eastAsia="Times New Roman" w:hAnsi="Times New Roman" w:cs="Times New Roman"/>
      <w:color w:val="auto"/>
      <w:lang w:eastAsia="en-AU"/>
    </w:rPr>
  </w:style>
  <w:style w:type="character" w:styleId="Strong">
    <w:name w:val="Strong"/>
    <w:basedOn w:val="DefaultParagraphFont"/>
    <w:uiPriority w:val="22"/>
    <w:qFormat/>
    <w:rsid w:val="00F735AC"/>
    <w:rPr>
      <w:b/>
      <w:bCs/>
    </w:rPr>
  </w:style>
  <w:style w:type="paragraph" w:customStyle="1" w:styleId="TSDBodyNOSPACEAFTER">
    <w:name w:val="TSD Body NO SPACE AFTER"/>
    <w:basedOn w:val="Normal"/>
    <w:uiPriority w:val="1"/>
    <w:qFormat/>
    <w:rsid w:val="260E4EB2"/>
    <w:pPr>
      <w:spacing w:line="264" w:lineRule="auto"/>
    </w:pPr>
    <w:rPr>
      <w:rFonts w:asciiTheme="minorHAnsi" w:eastAsiaTheme="minorEastAsia" w:hAnsiTheme="minorHAnsi" w:cstheme="minorBidi"/>
      <w:noProof/>
    </w:rPr>
  </w:style>
  <w:style w:type="paragraph" w:customStyle="1" w:styleId="RECOMMENDATIONBOX">
    <w:name w:val="RECOMMENDATION BOX"/>
    <w:basedOn w:val="Normal"/>
    <w:qFormat/>
    <w:rsid w:val="0049650A"/>
    <w:pPr>
      <w:pBdr>
        <w:top w:val="single" w:sz="18" w:space="4" w:color="000000" w:themeColor="text1"/>
        <w:left w:val="single" w:sz="18" w:space="4" w:color="000000" w:themeColor="text1"/>
        <w:bottom w:val="single" w:sz="18" w:space="4" w:color="000000" w:themeColor="text1"/>
        <w:right w:val="single" w:sz="18" w:space="4" w:color="000000" w:themeColor="text1"/>
      </w:pBdr>
      <w:shd w:val="clear" w:color="auto" w:fill="E8E8E8" w:themeFill="background2"/>
      <w:spacing w:before="120" w:after="120"/>
    </w:pPr>
    <w:rPr>
      <w:lang w:val="en-US"/>
    </w:rPr>
  </w:style>
  <w:style w:type="paragraph" w:customStyle="1" w:styleId="TSDAltHeading2">
    <w:name w:val="TSD_Alt Heading 2"/>
    <w:basedOn w:val="Heading2"/>
    <w:next w:val="BodyText"/>
    <w:qFormat/>
    <w:rsid w:val="008422E8"/>
    <w:pPr>
      <w:keepLines/>
      <w:numPr>
        <w:ilvl w:val="1"/>
        <w:numId w:val="54"/>
      </w:numPr>
      <w:spacing w:before="200" w:after="120"/>
    </w:pPr>
    <w:rPr>
      <w:rFonts w:eastAsia="Aptos"/>
      <w:b/>
      <w:bCs/>
      <w:iCs/>
      <w:noProof/>
      <w:color w:val="0D2B58"/>
      <w:sz w:val="36"/>
      <w:szCs w:val="36"/>
      <w:lang w:eastAsia="en-AU"/>
    </w:rPr>
  </w:style>
  <w:style w:type="paragraph" w:customStyle="1" w:styleId="TSDAltHeading3">
    <w:name w:val="TSD_Alt Heading 3"/>
    <w:basedOn w:val="Heading3"/>
    <w:next w:val="BodyText"/>
    <w:autoRedefine/>
    <w:qFormat/>
    <w:rsid w:val="009F682D"/>
    <w:pPr>
      <w:keepLines/>
      <w:numPr>
        <w:ilvl w:val="2"/>
        <w:numId w:val="54"/>
      </w:numPr>
      <w:spacing w:before="360" w:after="120"/>
    </w:pPr>
    <w:rPr>
      <w:rFonts w:eastAsia="Times New Roman"/>
      <w:noProof/>
      <w:color w:val="0D2B58"/>
      <w:lang w:val="en-US" w:eastAsia="en-AU"/>
    </w:rPr>
  </w:style>
  <w:style w:type="paragraph" w:customStyle="1" w:styleId="TSDAltHeading4">
    <w:name w:val="TSD_Alt Heading 4"/>
    <w:basedOn w:val="Heading5"/>
    <w:next w:val="BodyText"/>
    <w:qFormat/>
    <w:rsid w:val="00E45B8F"/>
    <w:pPr>
      <w:numPr>
        <w:ilvl w:val="4"/>
        <w:numId w:val="25"/>
      </w:numPr>
      <w:ind w:left="284"/>
    </w:pPr>
  </w:style>
  <w:style w:type="paragraph" w:customStyle="1" w:styleId="TSDAltHeading1">
    <w:name w:val="TSD_Alt Heading 1"/>
    <w:basedOn w:val="Heading1"/>
    <w:next w:val="BodyText"/>
    <w:qFormat/>
    <w:rsid w:val="00B1430E"/>
    <w:pPr>
      <w:tabs>
        <w:tab w:val="clear" w:pos="851"/>
        <w:tab w:val="num" w:pos="1134"/>
      </w:tabs>
      <w:ind w:left="1134" w:hanging="1134"/>
    </w:pPr>
    <w:rPr>
      <w:b w:val="0"/>
      <w:bCs w:val="0"/>
    </w:rPr>
  </w:style>
  <w:style w:type="paragraph" w:styleId="BodyText">
    <w:name w:val="Body Text"/>
    <w:basedOn w:val="Normal"/>
    <w:link w:val="BodyTextChar"/>
    <w:uiPriority w:val="99"/>
    <w:unhideWhenUsed/>
    <w:qFormat/>
    <w:rsid w:val="00D94E14"/>
    <w:pPr>
      <w:spacing w:after="120"/>
    </w:pPr>
  </w:style>
  <w:style w:type="character" w:customStyle="1" w:styleId="BodyTextChar">
    <w:name w:val="Body Text Char"/>
    <w:basedOn w:val="DefaultParagraphFont"/>
    <w:link w:val="BodyText"/>
    <w:uiPriority w:val="99"/>
    <w:rsid w:val="00D94E14"/>
    <w:rPr>
      <w:rFonts w:ascii="Calibri" w:hAnsi="Calibri" w:cs="Calibri"/>
      <w:color w:val="000000" w:themeColor="text1"/>
    </w:rPr>
  </w:style>
  <w:style w:type="character" w:customStyle="1" w:styleId="ui-provider">
    <w:name w:val="ui-provider"/>
    <w:basedOn w:val="DefaultParagraphFont"/>
    <w:rsid w:val="000D7512"/>
  </w:style>
  <w:style w:type="paragraph" w:styleId="EndnoteText">
    <w:name w:val="endnote text"/>
    <w:basedOn w:val="Normal"/>
    <w:link w:val="EndnoteTextChar"/>
    <w:uiPriority w:val="99"/>
    <w:semiHidden/>
    <w:unhideWhenUsed/>
    <w:qFormat/>
    <w:rsid w:val="00121D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1DCD"/>
    <w:rPr>
      <w:rFonts w:ascii="Calibri" w:hAnsi="Calibri" w:cs="Calibri"/>
      <w:color w:val="000000" w:themeColor="text1"/>
      <w:sz w:val="20"/>
      <w:szCs w:val="20"/>
    </w:rPr>
  </w:style>
  <w:style w:type="character" w:styleId="EndnoteReference">
    <w:name w:val="endnote reference"/>
    <w:basedOn w:val="DefaultParagraphFont"/>
    <w:uiPriority w:val="99"/>
    <w:semiHidden/>
    <w:unhideWhenUsed/>
    <w:rsid w:val="00121D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631">
      <w:bodyDiv w:val="1"/>
      <w:marLeft w:val="0"/>
      <w:marRight w:val="0"/>
      <w:marTop w:val="0"/>
      <w:marBottom w:val="0"/>
      <w:divBdr>
        <w:top w:val="none" w:sz="0" w:space="0" w:color="auto"/>
        <w:left w:val="none" w:sz="0" w:space="0" w:color="auto"/>
        <w:bottom w:val="none" w:sz="0" w:space="0" w:color="auto"/>
        <w:right w:val="none" w:sz="0" w:space="0" w:color="auto"/>
      </w:divBdr>
    </w:div>
    <w:div w:id="81532116">
      <w:bodyDiv w:val="1"/>
      <w:marLeft w:val="0"/>
      <w:marRight w:val="0"/>
      <w:marTop w:val="0"/>
      <w:marBottom w:val="0"/>
      <w:divBdr>
        <w:top w:val="none" w:sz="0" w:space="0" w:color="auto"/>
        <w:left w:val="none" w:sz="0" w:space="0" w:color="auto"/>
        <w:bottom w:val="none" w:sz="0" w:space="0" w:color="auto"/>
        <w:right w:val="none" w:sz="0" w:space="0" w:color="auto"/>
      </w:divBdr>
    </w:div>
    <w:div w:id="93673030">
      <w:bodyDiv w:val="1"/>
      <w:marLeft w:val="0"/>
      <w:marRight w:val="0"/>
      <w:marTop w:val="0"/>
      <w:marBottom w:val="0"/>
      <w:divBdr>
        <w:top w:val="none" w:sz="0" w:space="0" w:color="auto"/>
        <w:left w:val="none" w:sz="0" w:space="0" w:color="auto"/>
        <w:bottom w:val="none" w:sz="0" w:space="0" w:color="auto"/>
        <w:right w:val="none" w:sz="0" w:space="0" w:color="auto"/>
      </w:divBdr>
    </w:div>
    <w:div w:id="223880402">
      <w:bodyDiv w:val="1"/>
      <w:marLeft w:val="0"/>
      <w:marRight w:val="0"/>
      <w:marTop w:val="0"/>
      <w:marBottom w:val="0"/>
      <w:divBdr>
        <w:top w:val="none" w:sz="0" w:space="0" w:color="auto"/>
        <w:left w:val="none" w:sz="0" w:space="0" w:color="auto"/>
        <w:bottom w:val="none" w:sz="0" w:space="0" w:color="auto"/>
        <w:right w:val="none" w:sz="0" w:space="0" w:color="auto"/>
      </w:divBdr>
    </w:div>
    <w:div w:id="493104428">
      <w:bodyDiv w:val="1"/>
      <w:marLeft w:val="0"/>
      <w:marRight w:val="0"/>
      <w:marTop w:val="0"/>
      <w:marBottom w:val="0"/>
      <w:divBdr>
        <w:top w:val="none" w:sz="0" w:space="0" w:color="auto"/>
        <w:left w:val="none" w:sz="0" w:space="0" w:color="auto"/>
        <w:bottom w:val="none" w:sz="0" w:space="0" w:color="auto"/>
        <w:right w:val="none" w:sz="0" w:space="0" w:color="auto"/>
      </w:divBdr>
    </w:div>
    <w:div w:id="733429953">
      <w:bodyDiv w:val="1"/>
      <w:marLeft w:val="0"/>
      <w:marRight w:val="0"/>
      <w:marTop w:val="0"/>
      <w:marBottom w:val="0"/>
      <w:divBdr>
        <w:top w:val="none" w:sz="0" w:space="0" w:color="auto"/>
        <w:left w:val="none" w:sz="0" w:space="0" w:color="auto"/>
        <w:bottom w:val="none" w:sz="0" w:space="0" w:color="auto"/>
        <w:right w:val="none" w:sz="0" w:space="0" w:color="auto"/>
      </w:divBdr>
    </w:div>
    <w:div w:id="757555924">
      <w:bodyDiv w:val="1"/>
      <w:marLeft w:val="0"/>
      <w:marRight w:val="0"/>
      <w:marTop w:val="0"/>
      <w:marBottom w:val="0"/>
      <w:divBdr>
        <w:top w:val="none" w:sz="0" w:space="0" w:color="auto"/>
        <w:left w:val="none" w:sz="0" w:space="0" w:color="auto"/>
        <w:bottom w:val="none" w:sz="0" w:space="0" w:color="auto"/>
        <w:right w:val="none" w:sz="0" w:space="0" w:color="auto"/>
      </w:divBdr>
    </w:div>
    <w:div w:id="844856631">
      <w:bodyDiv w:val="1"/>
      <w:marLeft w:val="0"/>
      <w:marRight w:val="0"/>
      <w:marTop w:val="0"/>
      <w:marBottom w:val="0"/>
      <w:divBdr>
        <w:top w:val="none" w:sz="0" w:space="0" w:color="auto"/>
        <w:left w:val="none" w:sz="0" w:space="0" w:color="auto"/>
        <w:bottom w:val="none" w:sz="0" w:space="0" w:color="auto"/>
        <w:right w:val="none" w:sz="0" w:space="0" w:color="auto"/>
      </w:divBdr>
    </w:div>
    <w:div w:id="952521686">
      <w:bodyDiv w:val="1"/>
      <w:marLeft w:val="0"/>
      <w:marRight w:val="0"/>
      <w:marTop w:val="0"/>
      <w:marBottom w:val="0"/>
      <w:divBdr>
        <w:top w:val="none" w:sz="0" w:space="0" w:color="auto"/>
        <w:left w:val="none" w:sz="0" w:space="0" w:color="auto"/>
        <w:bottom w:val="none" w:sz="0" w:space="0" w:color="auto"/>
        <w:right w:val="none" w:sz="0" w:space="0" w:color="auto"/>
      </w:divBdr>
    </w:div>
    <w:div w:id="1134909948">
      <w:bodyDiv w:val="1"/>
      <w:marLeft w:val="0"/>
      <w:marRight w:val="0"/>
      <w:marTop w:val="0"/>
      <w:marBottom w:val="0"/>
      <w:divBdr>
        <w:top w:val="none" w:sz="0" w:space="0" w:color="auto"/>
        <w:left w:val="none" w:sz="0" w:space="0" w:color="auto"/>
        <w:bottom w:val="none" w:sz="0" w:space="0" w:color="auto"/>
        <w:right w:val="none" w:sz="0" w:space="0" w:color="auto"/>
      </w:divBdr>
    </w:div>
    <w:div w:id="1245988610">
      <w:bodyDiv w:val="1"/>
      <w:marLeft w:val="0"/>
      <w:marRight w:val="0"/>
      <w:marTop w:val="0"/>
      <w:marBottom w:val="0"/>
      <w:divBdr>
        <w:top w:val="none" w:sz="0" w:space="0" w:color="auto"/>
        <w:left w:val="none" w:sz="0" w:space="0" w:color="auto"/>
        <w:bottom w:val="none" w:sz="0" w:space="0" w:color="auto"/>
        <w:right w:val="none" w:sz="0" w:space="0" w:color="auto"/>
      </w:divBdr>
    </w:div>
    <w:div w:id="1579318594">
      <w:bodyDiv w:val="1"/>
      <w:marLeft w:val="0"/>
      <w:marRight w:val="0"/>
      <w:marTop w:val="0"/>
      <w:marBottom w:val="0"/>
      <w:divBdr>
        <w:top w:val="none" w:sz="0" w:space="0" w:color="auto"/>
        <w:left w:val="none" w:sz="0" w:space="0" w:color="auto"/>
        <w:bottom w:val="none" w:sz="0" w:space="0" w:color="auto"/>
        <w:right w:val="none" w:sz="0" w:space="0" w:color="auto"/>
      </w:divBdr>
    </w:div>
    <w:div w:id="1921673027">
      <w:bodyDiv w:val="1"/>
      <w:marLeft w:val="0"/>
      <w:marRight w:val="0"/>
      <w:marTop w:val="0"/>
      <w:marBottom w:val="0"/>
      <w:divBdr>
        <w:top w:val="none" w:sz="0" w:space="0" w:color="auto"/>
        <w:left w:val="none" w:sz="0" w:space="0" w:color="auto"/>
        <w:bottom w:val="none" w:sz="0" w:space="0" w:color="auto"/>
        <w:right w:val="none" w:sz="0" w:space="0" w:color="auto"/>
      </w:divBdr>
    </w:div>
    <w:div w:id="202797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21" Type="http://schemas.openxmlformats.org/officeDocument/2006/relationships/hyperlink" Target="https://www.ndisreview.gov.au/resources/reports/working-together-deliver-ndis/part-two-markets-and-support-systems-empower-7" TargetMode="Externa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ndisreview.gov.au/news/final-report-has-been-published"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eader" Target="header13.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ndisreview.gov.au/resources/reports/working-together-deliver-ndis/preface/recommendations-and-actions" TargetMode="Externa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ss.gov.au/disability-and-carers-standards-and-quality-assurance/ndis-provider-and-worker-registration-taskforce-terms-of-reference" TargetMode="External"/><Relationship Id="rId27" Type="http://schemas.openxmlformats.org/officeDocument/2006/relationships/header" Target="header9.xml"/><Relationship Id="rId30" Type="http://schemas.openxmlformats.org/officeDocument/2006/relationships/hyperlink" Target="https://www.ndiscommission.gov.au/providers/becoming-registered-provider/registration-requirements-process-and-timeline"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www.ndis.gov.au/about-us/policies/supported-decision-making-policy" TargetMode="External"/><Relationship Id="rId18" Type="http://schemas.openxmlformats.org/officeDocument/2006/relationships/hyperlink" Target="https://www.ndiscommission.gov.au/sites/default/files/2022-02/independent-review-report-commissioner-public-310820_1.pdf" TargetMode="External"/><Relationship Id="rId26" Type="http://schemas.openxmlformats.org/officeDocument/2006/relationships/hyperlink" Target="https://www.legislation.gov.au/C2013A00020/latest/text" TargetMode="External"/><Relationship Id="rId39" Type="http://schemas.openxmlformats.org/officeDocument/2006/relationships/hyperlink" Target="https://www.ndiscommission.gov.au/providers/registered-ndis-providers/provider-obligations-and-requirements/ndis-practice-standards" TargetMode="External"/><Relationship Id="rId21" Type="http://schemas.openxmlformats.org/officeDocument/2006/relationships/hyperlink" Target="https://hireup.com.au/" TargetMode="External"/><Relationship Id="rId34" Type="http://schemas.openxmlformats.org/officeDocument/2006/relationships/hyperlink" Target="https://federation.gov.au/sites/default/files/about/agreements/iga-nat-consistent-worker-screening.pdf" TargetMode="External"/><Relationship Id="rId42" Type="http://schemas.openxmlformats.org/officeDocument/2006/relationships/hyperlink" Target="https://parlinfo.aph.gov.au/parlInfo/download/committees/estimate/28105/toc_pdf/Community%20Affairs%20Legislation%20Committee_2024_06_03.pdf;fileType=application%2Fpdf" TargetMode="External"/><Relationship Id="rId47" Type="http://schemas.openxmlformats.org/officeDocument/2006/relationships/hyperlink" Target="https://www.aph.gov.au/Parliamentary_Business/Committees/Joint/National_Disability_Insurance_Scheme" TargetMode="External"/><Relationship Id="rId7" Type="http://schemas.openxmlformats.org/officeDocument/2006/relationships/hyperlink" Target="https://www.ndisreview.gov.au/about/terms-of-reference" TargetMode="External"/><Relationship Id="rId2" Type="http://schemas.openxmlformats.org/officeDocument/2006/relationships/hyperlink" Target="https://www.ndiscommission.gov.au/sites/default/files/2022-08/independent-review-report-commissioner-public-310820_0%20%281%29.pdf" TargetMode="External"/><Relationship Id="rId16" Type="http://schemas.openxmlformats.org/officeDocument/2006/relationships/hyperlink" Target="https://www.dss.gov.au/sites/default/files/documents/02_2017/ndis_quality_and_safeguarding_framework_final.pdf" TargetMode="External"/><Relationship Id="rId29" Type="http://schemas.openxmlformats.org/officeDocument/2006/relationships/hyperlink" Target="https://www.legislation.gov.au/C2013A00020/latest/text" TargetMode="External"/><Relationship Id="rId1" Type="http://schemas.openxmlformats.org/officeDocument/2006/relationships/hyperlink" Target="https://www.dss.gov.au/sites/default/files/documents/01_2020/ndis-act-review-final-accessibility-and-prepared-publishing1.pdf" TargetMode="External"/><Relationship Id="rId6" Type="http://schemas.openxmlformats.org/officeDocument/2006/relationships/hyperlink" Target="https://ministers.dss.gov.au/media-releases/9436" TargetMode="External"/><Relationship Id="rId11" Type="http://schemas.openxmlformats.org/officeDocument/2006/relationships/hyperlink" Target="https://www.ndiscommission.gov.au/sites/default/files/2022-11/Compliance%20and%20Enforcement%20Policy%20Nov%202022.pdf" TargetMode="External"/><Relationship Id="rId24" Type="http://schemas.openxmlformats.org/officeDocument/2006/relationships/hyperlink" Target="https://appliedselfdirection.com/what-self-direction" TargetMode="External"/><Relationship Id="rId32" Type="http://schemas.openxmlformats.org/officeDocument/2006/relationships/hyperlink" Target="https://www.ndiscommission.gov.au/workers/worker-training-modules-and-resources/worker-orientation-module" TargetMode="External"/><Relationship Id="rId37" Type="http://schemas.openxmlformats.org/officeDocument/2006/relationships/hyperlink" Target="https://www.legislation.gov.au/F2018L00635/latest/text" TargetMode="External"/><Relationship Id="rId40" Type="http://schemas.openxmlformats.org/officeDocument/2006/relationships/hyperlink" Target="https://www.ndiscommission.gov.au/resources/reports-policies-and-frameworks/research-deaths-people-disability/2019-report-scoping." TargetMode="External"/><Relationship Id="rId45" Type="http://schemas.openxmlformats.org/officeDocument/2006/relationships/hyperlink" Target="https://www.dss.gov.au/sites/default/files/documents/02_2020/pdf-version-community-visitors-review_0.pdf" TargetMode="External"/><Relationship Id="rId5" Type="http://schemas.openxmlformats.org/officeDocument/2006/relationships/hyperlink" Target="https://disability.royalcommission.gov.au/publications/final-report" TargetMode="External"/><Relationship Id="rId15" Type="http://schemas.openxmlformats.org/officeDocument/2006/relationships/hyperlink" Target="https://www.ndisreview.gov.au/sites/default/files/resource/download/NDIS-Review-Supporting-Analysis.pdf" TargetMode="External"/><Relationship Id="rId23" Type="http://schemas.openxmlformats.org/officeDocument/2006/relationships/hyperlink" Target="https://documents.un.org/doc/undoc/gen/g14/241/66/pdf/g1424166.pdf?token=eyvvsfmWuQeIaIT5Ay&amp;fe=true" TargetMode="External"/><Relationship Id="rId28" Type="http://schemas.openxmlformats.org/officeDocument/2006/relationships/hyperlink" Target="https://www.legislation.gov.au/F2013L01064/latest/text" TargetMode="External"/><Relationship Id="rId36" Type="http://schemas.openxmlformats.org/officeDocument/2006/relationships/hyperlink" Target="https://www.ndiscommission.gov.au/sites/default/files/2022-02/detailed-guidance-reportable-incidents-detailed-guidance-registered_0.pdf" TargetMode="External"/><Relationship Id="rId10" Type="http://schemas.openxmlformats.org/officeDocument/2006/relationships/hyperlink" Target="https://www.legislation.gov.au/F2018L00629/latest/text" TargetMode="External"/><Relationship Id="rId19" Type="http://schemas.openxmlformats.org/officeDocument/2006/relationships/hyperlink" Target="https://www.ndiscommission.gov.au/sites/default/files/2022-02/independent-review-report-commissioner-public-310820_1.pdf" TargetMode="External"/><Relationship Id="rId31" Type="http://schemas.openxmlformats.org/officeDocument/2006/relationships/hyperlink" Target="https://www.ndiscommission.gov.au/about/ndis-code-conduct" TargetMode="External"/><Relationship Id="rId44" Type="http://schemas.openxmlformats.org/officeDocument/2006/relationships/hyperlink" Target="https://aus01.safelinks.protection.outlook.com/?url=https%3A%2F%2Fwww.pm.gov.au%2Fmedia%2Fmeeting-national-cabinet-better-future-federation&amp;data=05%7C02%7Csteve%40thesocialdeck.com%7C4e4bd633fd074ad36b5d08dc9b28daf2%7C360e558d185949b5a8a7faabcdf1254b%7C0%7C0%7C638555847017475842%7CUnknown%7CTWFpbGZsb3d8eyJWIjoiMC4wLjAwMDAiLCJQIjoiV2luMzIiLCJBTiI6Ik1haWwiLCJXVCI6Mn0%3D%7C0%7C%7C%7C&amp;sdata=ZfUKU0yAmMPg9zJ9xVJiQ98YcCPeZ7oxN%2BGRbUOQBF4%3D&amp;reserved=0" TargetMode="External"/><Relationship Id="rId4" Type="http://schemas.openxmlformats.org/officeDocument/2006/relationships/hyperlink" Target="https://www.aph.gov.au/Parliamentary_Business/Committees/Joint/National_Disability_Insurance_Scheme/QS_Commission/Report" TargetMode="External"/><Relationship Id="rId9" Type="http://schemas.openxmlformats.org/officeDocument/2006/relationships/hyperlink" Target="https://www.legislation.gov.au/C2013A00020/latest/text" TargetMode="External"/><Relationship Id="rId14" Type="http://schemas.openxmlformats.org/officeDocument/2006/relationships/hyperlink" Target="https://disability.royalcommission.gov.au/publications/diversity-dignity-equity-and-best-practice-framework-supported-decision-making" TargetMode="External"/><Relationship Id="rId22" Type="http://schemas.openxmlformats.org/officeDocument/2006/relationships/hyperlink" Target="https://www.fivegoodfriends.com.au/ndis-supports" TargetMode="External"/><Relationship Id="rId27" Type="http://schemas.openxmlformats.org/officeDocument/2006/relationships/hyperlink" Target="https://www.ndis.gov.au/media/6403/download?attachment" TargetMode="External"/><Relationship Id="rId30" Type="http://schemas.openxmlformats.org/officeDocument/2006/relationships/hyperlink" Target="https://www.legislation.gov.au/F2013L01064/latest/text" TargetMode="External"/><Relationship Id="rId35" Type="http://schemas.openxmlformats.org/officeDocument/2006/relationships/hyperlink" Target="https://www.ndiscommission.gov.au/contact-us/makeacomplaint" TargetMode="External"/><Relationship Id="rId43" Type="http://schemas.openxmlformats.org/officeDocument/2006/relationships/hyperlink" Target="https://www.iso.org/standard/62085.html" TargetMode="External"/><Relationship Id="rId48" Type="http://schemas.openxmlformats.org/officeDocument/2006/relationships/hyperlink" Target="https://dhs.sa.gov.au/_resources/documents/old/disability/Safeguarding-Task-Force-Report-September-2020.pdf" TargetMode="External"/><Relationship Id="rId8" Type="http://schemas.openxmlformats.org/officeDocument/2006/relationships/hyperlink" Target="https://ministers.dss.gov.au/media-releases/14236" TargetMode="External"/><Relationship Id="rId3" Type="http://schemas.openxmlformats.org/officeDocument/2006/relationships/hyperlink" Target="https://www.ndisreview.gov.au/" TargetMode="External"/><Relationship Id="rId12" Type="http://schemas.openxmlformats.org/officeDocument/2006/relationships/hyperlink" Target="https://www.un.org/disabilities/documents/convention/convoptprot-e.pdf" TargetMode="External"/><Relationship Id="rId17" Type="http://schemas.openxmlformats.org/officeDocument/2006/relationships/hyperlink" Target="https://disability.royalcommission.gov.au/system/files/2023-09/Final%20Report%20-%20Volume%203%2C%20Nature%20and%20Extent%20of%20Violence%2C%20abuse%2C%20neglect%20and%20exploitation.pdf" TargetMode="External"/><Relationship Id="rId25" Type="http://schemas.openxmlformats.org/officeDocument/2006/relationships/hyperlink" Target="https://www.un.org/development/desa/disabilities/convention-on-the-rights-of-persons-with-disabilities/article-19-living-independently-and-being-included-in-the-community.html" TargetMode="External"/><Relationship Id="rId33" Type="http://schemas.openxmlformats.org/officeDocument/2006/relationships/hyperlink" Target="https://federation.gov.au/sites/default/files/about/agreements/iga-nat-consistent-worker-screening.pdf" TargetMode="External"/><Relationship Id="rId38" Type="http://schemas.openxmlformats.org/officeDocument/2006/relationships/hyperlink" Target="https://www.ndiscommission.gov.au/providers/registered-ndis-providers/provider-obligations-and-requirements/ndis-practice-standards" TargetMode="External"/><Relationship Id="rId46" Type="http://schemas.openxmlformats.org/officeDocument/2006/relationships/hyperlink" Target="file:///C:\Users\stevenspeldewinde\Downloads\,%20https:\www.ndiscommission.gov.au\sites\default\files\2022-03\independent-review-report-commissioner-public-310820.pdf" TargetMode="External"/><Relationship Id="rId20" Type="http://schemas.openxmlformats.org/officeDocument/2006/relationships/hyperlink" Target="https://www.ndiscommission.gov.au/resources/find-registered-provider/list-registered-providers" TargetMode="External"/><Relationship Id="rId41" Type="http://schemas.openxmlformats.org/officeDocument/2006/relationships/hyperlink" Target="https://www.ndiscommission.gov.au/sites/default/files/2022-02/suit-assess-process-guide0-2_0.pdf"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2b0962-67b0-40b8-8bda-eb1e5336332e">
      <Terms xmlns="http://schemas.microsoft.com/office/infopath/2007/PartnerControls"/>
    </lcf76f155ced4ddcb4097134ff3c332f>
    <TaxCatchAll xmlns="b87a0ca5-9692-42a6-8f4b-86b507af2eb0" xsi:nil="true"/>
    <Date xmlns="942b0962-67b0-40b8-8bda-eb1e533633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9" ma:contentTypeDescription="Create a new document." ma:contentTypeScope="" ma:versionID="0b63402fcc5a18f073d295db9a9dee4c">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f0f66c27cbfc64e13968040a6e5cdadc"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a8b65e-c01f-462e-a6b0-029fc9e4be20"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ac25f2-818c-49fb-92d7-d9d8071eff53}" ma:internalName="TaxCatchAll" ma:showField="CatchAllData" ma:web="b87a0ca5-9692-42a6-8f4b-86b507af2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4E9DC-FEEB-4EB8-97BE-AD6A55B23E89}">
  <ds:schemaRefs>
    <ds:schemaRef ds:uri="http://schemas.microsoft.com/sharepoint/v3/contenttype/forms"/>
  </ds:schemaRefs>
</ds:datastoreItem>
</file>

<file path=customXml/itemProps2.xml><?xml version="1.0" encoding="utf-8"?>
<ds:datastoreItem xmlns:ds="http://schemas.openxmlformats.org/officeDocument/2006/customXml" ds:itemID="{1B77E076-8746-4F0D-92EF-0856D6AB76FF}">
  <ds:schemaRefs>
    <ds:schemaRef ds:uri="http://schemas.microsoft.com/office/2006/metadata/properties"/>
    <ds:schemaRef ds:uri="http://schemas.microsoft.com/office/infopath/2007/PartnerControls"/>
    <ds:schemaRef ds:uri="942b0962-67b0-40b8-8bda-eb1e5336332e"/>
    <ds:schemaRef ds:uri="b87a0ca5-9692-42a6-8f4b-86b507af2eb0"/>
  </ds:schemaRefs>
</ds:datastoreItem>
</file>

<file path=customXml/itemProps3.xml><?xml version="1.0" encoding="utf-8"?>
<ds:datastoreItem xmlns:ds="http://schemas.openxmlformats.org/officeDocument/2006/customXml" ds:itemID="{E731D23C-B613-4A31-BF5A-0BD5F87C853F}">
  <ds:schemaRefs>
    <ds:schemaRef ds:uri="http://schemas.openxmlformats.org/officeDocument/2006/bibliography"/>
  </ds:schemaRefs>
</ds:datastoreItem>
</file>

<file path=customXml/itemProps4.xml><?xml version="1.0" encoding="utf-8"?>
<ds:datastoreItem xmlns:ds="http://schemas.openxmlformats.org/officeDocument/2006/customXml" ds:itemID="{1D847BA4-CE03-4191-BF72-180999E7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117</Pages>
  <Words>38034</Words>
  <Characters>215277</Characters>
  <Application>Microsoft Office Word</Application>
  <DocSecurity>0</DocSecurity>
  <Lines>4221</Lines>
  <Paragraphs>1376</Paragraphs>
  <ScaleCrop>false</ScaleCrop>
  <HeadingPairs>
    <vt:vector size="2" baseType="variant">
      <vt:variant>
        <vt:lpstr>Title</vt:lpstr>
      </vt:variant>
      <vt:variant>
        <vt:i4>1</vt:i4>
      </vt:variant>
    </vt:vector>
  </HeadingPairs>
  <TitlesOfParts>
    <vt:vector size="1" baseType="lpstr">
      <vt:lpstr>NDIS Provider and Workforce Registration Taskforce</vt:lpstr>
    </vt:vector>
  </TitlesOfParts>
  <Manager/>
  <Company/>
  <LinksUpToDate>false</LinksUpToDate>
  <CharactersWithSpaces>251935</CharactersWithSpaces>
  <SharedDoc>false</SharedDoc>
  <HyperlinkBase/>
  <HLinks>
    <vt:vector size="726" baseType="variant">
      <vt:variant>
        <vt:i4>4587625</vt:i4>
      </vt:variant>
      <vt:variant>
        <vt:i4>297</vt:i4>
      </vt:variant>
      <vt:variant>
        <vt:i4>0</vt:i4>
      </vt:variant>
      <vt:variant>
        <vt:i4>5</vt:i4>
      </vt:variant>
      <vt:variant>
        <vt:lpwstr/>
      </vt:variant>
      <vt:variant>
        <vt:lpwstr>_NDIS_Provider_Obligations</vt:lpwstr>
      </vt:variant>
      <vt:variant>
        <vt:i4>4849777</vt:i4>
      </vt:variant>
      <vt:variant>
        <vt:i4>294</vt:i4>
      </vt:variant>
      <vt:variant>
        <vt:i4>0</vt:i4>
      </vt:variant>
      <vt:variant>
        <vt:i4>5</vt:i4>
      </vt:variant>
      <vt:variant>
        <vt:lpwstr/>
      </vt:variant>
      <vt:variant>
        <vt:lpwstr>_Regulation_of_the</vt:lpwstr>
      </vt:variant>
      <vt:variant>
        <vt:i4>4587625</vt:i4>
      </vt:variant>
      <vt:variant>
        <vt:i4>291</vt:i4>
      </vt:variant>
      <vt:variant>
        <vt:i4>0</vt:i4>
      </vt:variant>
      <vt:variant>
        <vt:i4>5</vt:i4>
      </vt:variant>
      <vt:variant>
        <vt:lpwstr/>
      </vt:variant>
      <vt:variant>
        <vt:lpwstr>_NDIS_Provider_Obligations</vt:lpwstr>
      </vt:variant>
      <vt:variant>
        <vt:i4>2162726</vt:i4>
      </vt:variant>
      <vt:variant>
        <vt:i4>288</vt:i4>
      </vt:variant>
      <vt:variant>
        <vt:i4>0</vt:i4>
      </vt:variant>
      <vt:variant>
        <vt:i4>5</vt:i4>
      </vt:variant>
      <vt:variant>
        <vt:lpwstr/>
      </vt:variant>
      <vt:variant>
        <vt:lpwstr>_Registration_categories</vt:lpwstr>
      </vt:variant>
      <vt:variant>
        <vt:i4>4587625</vt:i4>
      </vt:variant>
      <vt:variant>
        <vt:i4>285</vt:i4>
      </vt:variant>
      <vt:variant>
        <vt:i4>0</vt:i4>
      </vt:variant>
      <vt:variant>
        <vt:i4>5</vt:i4>
      </vt:variant>
      <vt:variant>
        <vt:lpwstr/>
      </vt:variant>
      <vt:variant>
        <vt:lpwstr>_NDIS_Provider_Obligations</vt:lpwstr>
      </vt:variant>
      <vt:variant>
        <vt:i4>4587625</vt:i4>
      </vt:variant>
      <vt:variant>
        <vt:i4>282</vt:i4>
      </vt:variant>
      <vt:variant>
        <vt:i4>0</vt:i4>
      </vt:variant>
      <vt:variant>
        <vt:i4>5</vt:i4>
      </vt:variant>
      <vt:variant>
        <vt:lpwstr/>
      </vt:variant>
      <vt:variant>
        <vt:lpwstr>_NDIS_Provider_Obligations</vt:lpwstr>
      </vt:variant>
      <vt:variant>
        <vt:i4>786479</vt:i4>
      </vt:variant>
      <vt:variant>
        <vt:i4>279</vt:i4>
      </vt:variant>
      <vt:variant>
        <vt:i4>0</vt:i4>
      </vt:variant>
      <vt:variant>
        <vt:i4>5</vt:i4>
      </vt:variant>
      <vt:variant>
        <vt:lpwstr/>
      </vt:variant>
      <vt:variant>
        <vt:lpwstr>_Defining_‘Providers’_and</vt:lpwstr>
      </vt:variant>
      <vt:variant>
        <vt:i4>4587625</vt:i4>
      </vt:variant>
      <vt:variant>
        <vt:i4>276</vt:i4>
      </vt:variant>
      <vt:variant>
        <vt:i4>0</vt:i4>
      </vt:variant>
      <vt:variant>
        <vt:i4>5</vt:i4>
      </vt:variant>
      <vt:variant>
        <vt:lpwstr/>
      </vt:variant>
      <vt:variant>
        <vt:lpwstr>_NDIS_Provider_Obligations</vt:lpwstr>
      </vt:variant>
      <vt:variant>
        <vt:i4>8323168</vt:i4>
      </vt:variant>
      <vt:variant>
        <vt:i4>273</vt:i4>
      </vt:variant>
      <vt:variant>
        <vt:i4>0</vt:i4>
      </vt:variant>
      <vt:variant>
        <vt:i4>5</vt:i4>
      </vt:variant>
      <vt:variant>
        <vt:lpwstr>https://www.ndiscommission.gov.au/providers/becoming-registered-provider/registration-requirements-process-and-timeline</vt:lpwstr>
      </vt:variant>
      <vt:variant>
        <vt:lpwstr>paragraph-id-2772</vt:lpwstr>
      </vt:variant>
      <vt:variant>
        <vt:i4>4587625</vt:i4>
      </vt:variant>
      <vt:variant>
        <vt:i4>270</vt:i4>
      </vt:variant>
      <vt:variant>
        <vt:i4>0</vt:i4>
      </vt:variant>
      <vt:variant>
        <vt:i4>5</vt:i4>
      </vt:variant>
      <vt:variant>
        <vt:lpwstr/>
      </vt:variant>
      <vt:variant>
        <vt:lpwstr>_NDIS_Provider_Obligations</vt:lpwstr>
      </vt:variant>
      <vt:variant>
        <vt:i4>7733333</vt:i4>
      </vt:variant>
      <vt:variant>
        <vt:i4>267</vt:i4>
      </vt:variant>
      <vt:variant>
        <vt:i4>0</vt:i4>
      </vt:variant>
      <vt:variant>
        <vt:i4>5</vt:i4>
      </vt:variant>
      <vt:variant>
        <vt:lpwstr/>
      </vt:variant>
      <vt:variant>
        <vt:lpwstr>_Implementation</vt:lpwstr>
      </vt:variant>
      <vt:variant>
        <vt:i4>7733333</vt:i4>
      </vt:variant>
      <vt:variant>
        <vt:i4>264</vt:i4>
      </vt:variant>
      <vt:variant>
        <vt:i4>0</vt:i4>
      </vt:variant>
      <vt:variant>
        <vt:i4>5</vt:i4>
      </vt:variant>
      <vt:variant>
        <vt:lpwstr/>
      </vt:variant>
      <vt:variant>
        <vt:lpwstr>_Implementation</vt:lpwstr>
      </vt:variant>
      <vt:variant>
        <vt:i4>5505148</vt:i4>
      </vt:variant>
      <vt:variant>
        <vt:i4>261</vt:i4>
      </vt:variant>
      <vt:variant>
        <vt:i4>0</vt:i4>
      </vt:variant>
      <vt:variant>
        <vt:i4>5</vt:i4>
      </vt:variant>
      <vt:variant>
        <vt:lpwstr/>
      </vt:variant>
      <vt:variant>
        <vt:lpwstr>_Inclusion_of_types</vt:lpwstr>
      </vt:variant>
      <vt:variant>
        <vt:i4>2162726</vt:i4>
      </vt:variant>
      <vt:variant>
        <vt:i4>258</vt:i4>
      </vt:variant>
      <vt:variant>
        <vt:i4>0</vt:i4>
      </vt:variant>
      <vt:variant>
        <vt:i4>5</vt:i4>
      </vt:variant>
      <vt:variant>
        <vt:lpwstr/>
      </vt:variant>
      <vt:variant>
        <vt:lpwstr>_Registration_categories</vt:lpwstr>
      </vt:variant>
      <vt:variant>
        <vt:i4>7733333</vt:i4>
      </vt:variant>
      <vt:variant>
        <vt:i4>255</vt:i4>
      </vt:variant>
      <vt:variant>
        <vt:i4>0</vt:i4>
      </vt:variant>
      <vt:variant>
        <vt:i4>5</vt:i4>
      </vt:variant>
      <vt:variant>
        <vt:lpwstr/>
      </vt:variant>
      <vt:variant>
        <vt:lpwstr>_Implementation</vt:lpwstr>
      </vt:variant>
      <vt:variant>
        <vt:i4>4587625</vt:i4>
      </vt:variant>
      <vt:variant>
        <vt:i4>252</vt:i4>
      </vt:variant>
      <vt:variant>
        <vt:i4>0</vt:i4>
      </vt:variant>
      <vt:variant>
        <vt:i4>5</vt:i4>
      </vt:variant>
      <vt:variant>
        <vt:lpwstr/>
      </vt:variant>
      <vt:variant>
        <vt:lpwstr>_NDIS_Provider_Obligations</vt:lpwstr>
      </vt:variant>
      <vt:variant>
        <vt:i4>7733333</vt:i4>
      </vt:variant>
      <vt:variant>
        <vt:i4>249</vt:i4>
      </vt:variant>
      <vt:variant>
        <vt:i4>0</vt:i4>
      </vt:variant>
      <vt:variant>
        <vt:i4>5</vt:i4>
      </vt:variant>
      <vt:variant>
        <vt:lpwstr/>
      </vt:variant>
      <vt:variant>
        <vt:lpwstr>_Implementation</vt:lpwstr>
      </vt:variant>
      <vt:variant>
        <vt:i4>4849777</vt:i4>
      </vt:variant>
      <vt:variant>
        <vt:i4>246</vt:i4>
      </vt:variant>
      <vt:variant>
        <vt:i4>0</vt:i4>
      </vt:variant>
      <vt:variant>
        <vt:i4>5</vt:i4>
      </vt:variant>
      <vt:variant>
        <vt:lpwstr/>
      </vt:variant>
      <vt:variant>
        <vt:lpwstr>_Regulation_of_the</vt:lpwstr>
      </vt:variant>
      <vt:variant>
        <vt:i4>2621449</vt:i4>
      </vt:variant>
      <vt:variant>
        <vt:i4>243</vt:i4>
      </vt:variant>
      <vt:variant>
        <vt:i4>0</vt:i4>
      </vt:variant>
      <vt:variant>
        <vt:i4>5</vt:i4>
      </vt:variant>
      <vt:variant>
        <vt:lpwstr/>
      </vt:variant>
      <vt:variant>
        <vt:lpwstr>_Provider_Risk_Framework</vt:lpwstr>
      </vt:variant>
      <vt:variant>
        <vt:i4>2621449</vt:i4>
      </vt:variant>
      <vt:variant>
        <vt:i4>240</vt:i4>
      </vt:variant>
      <vt:variant>
        <vt:i4>0</vt:i4>
      </vt:variant>
      <vt:variant>
        <vt:i4>5</vt:i4>
      </vt:variant>
      <vt:variant>
        <vt:lpwstr/>
      </vt:variant>
      <vt:variant>
        <vt:lpwstr>_Provider_Risk_Framework</vt:lpwstr>
      </vt:variant>
      <vt:variant>
        <vt:i4>7733333</vt:i4>
      </vt:variant>
      <vt:variant>
        <vt:i4>237</vt:i4>
      </vt:variant>
      <vt:variant>
        <vt:i4>0</vt:i4>
      </vt:variant>
      <vt:variant>
        <vt:i4>5</vt:i4>
      </vt:variant>
      <vt:variant>
        <vt:lpwstr/>
      </vt:variant>
      <vt:variant>
        <vt:lpwstr>_Implementation</vt:lpwstr>
      </vt:variant>
      <vt:variant>
        <vt:i4>4587625</vt:i4>
      </vt:variant>
      <vt:variant>
        <vt:i4>234</vt:i4>
      </vt:variant>
      <vt:variant>
        <vt:i4>0</vt:i4>
      </vt:variant>
      <vt:variant>
        <vt:i4>5</vt:i4>
      </vt:variant>
      <vt:variant>
        <vt:lpwstr/>
      </vt:variant>
      <vt:variant>
        <vt:lpwstr>_NDIS_Provider_Obligations</vt:lpwstr>
      </vt:variant>
      <vt:variant>
        <vt:i4>2162726</vt:i4>
      </vt:variant>
      <vt:variant>
        <vt:i4>231</vt:i4>
      </vt:variant>
      <vt:variant>
        <vt:i4>0</vt:i4>
      </vt:variant>
      <vt:variant>
        <vt:i4>5</vt:i4>
      </vt:variant>
      <vt:variant>
        <vt:lpwstr/>
      </vt:variant>
      <vt:variant>
        <vt:lpwstr>_Registration_categories</vt:lpwstr>
      </vt:variant>
      <vt:variant>
        <vt:i4>4587625</vt:i4>
      </vt:variant>
      <vt:variant>
        <vt:i4>228</vt:i4>
      </vt:variant>
      <vt:variant>
        <vt:i4>0</vt:i4>
      </vt:variant>
      <vt:variant>
        <vt:i4>5</vt:i4>
      </vt:variant>
      <vt:variant>
        <vt:lpwstr/>
      </vt:variant>
      <vt:variant>
        <vt:lpwstr>_NDIS_Provider_Obligations</vt:lpwstr>
      </vt:variant>
      <vt:variant>
        <vt:i4>5505148</vt:i4>
      </vt:variant>
      <vt:variant>
        <vt:i4>225</vt:i4>
      </vt:variant>
      <vt:variant>
        <vt:i4>0</vt:i4>
      </vt:variant>
      <vt:variant>
        <vt:i4>5</vt:i4>
      </vt:variant>
      <vt:variant>
        <vt:lpwstr/>
      </vt:variant>
      <vt:variant>
        <vt:lpwstr>_Inclusion_of_types</vt:lpwstr>
      </vt:variant>
      <vt:variant>
        <vt:i4>3211293</vt:i4>
      </vt:variant>
      <vt:variant>
        <vt:i4>222</vt:i4>
      </vt:variant>
      <vt:variant>
        <vt:i4>0</vt:i4>
      </vt:variant>
      <vt:variant>
        <vt:i4>5</vt:i4>
      </vt:variant>
      <vt:variant>
        <vt:lpwstr/>
      </vt:variant>
      <vt:variant>
        <vt:lpwstr>_Overview_of_the</vt:lpwstr>
      </vt:variant>
      <vt:variant>
        <vt:i4>786479</vt:i4>
      </vt:variant>
      <vt:variant>
        <vt:i4>219</vt:i4>
      </vt:variant>
      <vt:variant>
        <vt:i4>0</vt:i4>
      </vt:variant>
      <vt:variant>
        <vt:i4>5</vt:i4>
      </vt:variant>
      <vt:variant>
        <vt:lpwstr/>
      </vt:variant>
      <vt:variant>
        <vt:lpwstr>_Defining_‘Providers’_and</vt:lpwstr>
      </vt:variant>
      <vt:variant>
        <vt:i4>4587625</vt:i4>
      </vt:variant>
      <vt:variant>
        <vt:i4>216</vt:i4>
      </vt:variant>
      <vt:variant>
        <vt:i4>0</vt:i4>
      </vt:variant>
      <vt:variant>
        <vt:i4>5</vt:i4>
      </vt:variant>
      <vt:variant>
        <vt:lpwstr/>
      </vt:variant>
      <vt:variant>
        <vt:lpwstr>_NDIS_Provider_Obligations</vt:lpwstr>
      </vt:variant>
      <vt:variant>
        <vt:i4>4587625</vt:i4>
      </vt:variant>
      <vt:variant>
        <vt:i4>213</vt:i4>
      </vt:variant>
      <vt:variant>
        <vt:i4>0</vt:i4>
      </vt:variant>
      <vt:variant>
        <vt:i4>5</vt:i4>
      </vt:variant>
      <vt:variant>
        <vt:lpwstr/>
      </vt:variant>
      <vt:variant>
        <vt:lpwstr>_NDIS_Provider_Obligations</vt:lpwstr>
      </vt:variant>
      <vt:variant>
        <vt:i4>7733316</vt:i4>
      </vt:variant>
      <vt:variant>
        <vt:i4>210</vt:i4>
      </vt:variant>
      <vt:variant>
        <vt:i4>0</vt:i4>
      </vt:variant>
      <vt:variant>
        <vt:i4>5</vt:i4>
      </vt:variant>
      <vt:variant>
        <vt:lpwstr/>
      </vt:variant>
      <vt:variant>
        <vt:lpwstr>_Annexures</vt:lpwstr>
      </vt:variant>
      <vt:variant>
        <vt:i4>6619254</vt:i4>
      </vt:variant>
      <vt:variant>
        <vt:i4>207</vt:i4>
      </vt:variant>
      <vt:variant>
        <vt:i4>0</vt:i4>
      </vt:variant>
      <vt:variant>
        <vt:i4>5</vt:i4>
      </vt:variant>
      <vt:variant>
        <vt:lpwstr>https://www.dss.gov.au/disability-and-carers-standards-and-quality-assurance/ndis-provider-and-worker-registration-taskforce-terms-of-reference</vt:lpwstr>
      </vt:variant>
      <vt:variant>
        <vt:lpwstr/>
      </vt:variant>
      <vt:variant>
        <vt:i4>6750271</vt:i4>
      </vt:variant>
      <vt:variant>
        <vt:i4>204</vt:i4>
      </vt:variant>
      <vt:variant>
        <vt:i4>0</vt:i4>
      </vt:variant>
      <vt:variant>
        <vt:i4>5</vt:i4>
      </vt:variant>
      <vt:variant>
        <vt:lpwstr>https://www.ndisreview.gov.au/resources/reports/working-together-deliver-ndis/part-two-markets-and-support-systems-empower-7</vt:lpwstr>
      </vt:variant>
      <vt:variant>
        <vt:lpwstr>recommendation-17-develop-and-deliver-a-risk-proportionate-model-for-the-visibility-and-regulation-of-all-providers-and-workers-and-strengthen-the-regulatory-response-to-long-standing-and-emerging-quality-and-safeguards-issues</vt:lpwstr>
      </vt:variant>
      <vt:variant>
        <vt:i4>6553711</vt:i4>
      </vt:variant>
      <vt:variant>
        <vt:i4>201</vt:i4>
      </vt:variant>
      <vt:variant>
        <vt:i4>0</vt:i4>
      </vt:variant>
      <vt:variant>
        <vt:i4>5</vt:i4>
      </vt:variant>
      <vt:variant>
        <vt:lpwstr>https://www.ndisreview.gov.au/news/final-report-has-been-published</vt:lpwstr>
      </vt:variant>
      <vt:variant>
        <vt:lpwstr/>
      </vt:variant>
      <vt:variant>
        <vt:i4>1048631</vt:i4>
      </vt:variant>
      <vt:variant>
        <vt:i4>194</vt:i4>
      </vt:variant>
      <vt:variant>
        <vt:i4>0</vt:i4>
      </vt:variant>
      <vt:variant>
        <vt:i4>5</vt:i4>
      </vt:variant>
      <vt:variant>
        <vt:lpwstr/>
      </vt:variant>
      <vt:variant>
        <vt:lpwstr>_Toc170919706</vt:lpwstr>
      </vt:variant>
      <vt:variant>
        <vt:i4>1048631</vt:i4>
      </vt:variant>
      <vt:variant>
        <vt:i4>188</vt:i4>
      </vt:variant>
      <vt:variant>
        <vt:i4>0</vt:i4>
      </vt:variant>
      <vt:variant>
        <vt:i4>5</vt:i4>
      </vt:variant>
      <vt:variant>
        <vt:lpwstr/>
      </vt:variant>
      <vt:variant>
        <vt:lpwstr>_Toc170919705</vt:lpwstr>
      </vt:variant>
      <vt:variant>
        <vt:i4>1048631</vt:i4>
      </vt:variant>
      <vt:variant>
        <vt:i4>182</vt:i4>
      </vt:variant>
      <vt:variant>
        <vt:i4>0</vt:i4>
      </vt:variant>
      <vt:variant>
        <vt:i4>5</vt:i4>
      </vt:variant>
      <vt:variant>
        <vt:lpwstr/>
      </vt:variant>
      <vt:variant>
        <vt:lpwstr>_Toc170919704</vt:lpwstr>
      </vt:variant>
      <vt:variant>
        <vt:i4>1048631</vt:i4>
      </vt:variant>
      <vt:variant>
        <vt:i4>176</vt:i4>
      </vt:variant>
      <vt:variant>
        <vt:i4>0</vt:i4>
      </vt:variant>
      <vt:variant>
        <vt:i4>5</vt:i4>
      </vt:variant>
      <vt:variant>
        <vt:lpwstr/>
      </vt:variant>
      <vt:variant>
        <vt:lpwstr>_Toc170919703</vt:lpwstr>
      </vt:variant>
      <vt:variant>
        <vt:i4>1638454</vt:i4>
      </vt:variant>
      <vt:variant>
        <vt:i4>170</vt:i4>
      </vt:variant>
      <vt:variant>
        <vt:i4>0</vt:i4>
      </vt:variant>
      <vt:variant>
        <vt:i4>5</vt:i4>
      </vt:variant>
      <vt:variant>
        <vt:lpwstr/>
      </vt:variant>
      <vt:variant>
        <vt:lpwstr>_Toc170919699</vt:lpwstr>
      </vt:variant>
      <vt:variant>
        <vt:i4>1638454</vt:i4>
      </vt:variant>
      <vt:variant>
        <vt:i4>164</vt:i4>
      </vt:variant>
      <vt:variant>
        <vt:i4>0</vt:i4>
      </vt:variant>
      <vt:variant>
        <vt:i4>5</vt:i4>
      </vt:variant>
      <vt:variant>
        <vt:lpwstr/>
      </vt:variant>
      <vt:variant>
        <vt:lpwstr>_Toc170919698</vt:lpwstr>
      </vt:variant>
      <vt:variant>
        <vt:i4>1638454</vt:i4>
      </vt:variant>
      <vt:variant>
        <vt:i4>158</vt:i4>
      </vt:variant>
      <vt:variant>
        <vt:i4>0</vt:i4>
      </vt:variant>
      <vt:variant>
        <vt:i4>5</vt:i4>
      </vt:variant>
      <vt:variant>
        <vt:lpwstr/>
      </vt:variant>
      <vt:variant>
        <vt:lpwstr>_Toc170919696</vt:lpwstr>
      </vt:variant>
      <vt:variant>
        <vt:i4>1638454</vt:i4>
      </vt:variant>
      <vt:variant>
        <vt:i4>152</vt:i4>
      </vt:variant>
      <vt:variant>
        <vt:i4>0</vt:i4>
      </vt:variant>
      <vt:variant>
        <vt:i4>5</vt:i4>
      </vt:variant>
      <vt:variant>
        <vt:lpwstr/>
      </vt:variant>
      <vt:variant>
        <vt:lpwstr>_Toc170919695</vt:lpwstr>
      </vt:variant>
      <vt:variant>
        <vt:i4>1638454</vt:i4>
      </vt:variant>
      <vt:variant>
        <vt:i4>146</vt:i4>
      </vt:variant>
      <vt:variant>
        <vt:i4>0</vt:i4>
      </vt:variant>
      <vt:variant>
        <vt:i4>5</vt:i4>
      </vt:variant>
      <vt:variant>
        <vt:lpwstr/>
      </vt:variant>
      <vt:variant>
        <vt:lpwstr>_Toc170919694</vt:lpwstr>
      </vt:variant>
      <vt:variant>
        <vt:i4>1638454</vt:i4>
      </vt:variant>
      <vt:variant>
        <vt:i4>140</vt:i4>
      </vt:variant>
      <vt:variant>
        <vt:i4>0</vt:i4>
      </vt:variant>
      <vt:variant>
        <vt:i4>5</vt:i4>
      </vt:variant>
      <vt:variant>
        <vt:lpwstr/>
      </vt:variant>
      <vt:variant>
        <vt:lpwstr>_Toc170919692</vt:lpwstr>
      </vt:variant>
      <vt:variant>
        <vt:i4>1638454</vt:i4>
      </vt:variant>
      <vt:variant>
        <vt:i4>134</vt:i4>
      </vt:variant>
      <vt:variant>
        <vt:i4>0</vt:i4>
      </vt:variant>
      <vt:variant>
        <vt:i4>5</vt:i4>
      </vt:variant>
      <vt:variant>
        <vt:lpwstr/>
      </vt:variant>
      <vt:variant>
        <vt:lpwstr>_Toc170919690</vt:lpwstr>
      </vt:variant>
      <vt:variant>
        <vt:i4>1572918</vt:i4>
      </vt:variant>
      <vt:variant>
        <vt:i4>128</vt:i4>
      </vt:variant>
      <vt:variant>
        <vt:i4>0</vt:i4>
      </vt:variant>
      <vt:variant>
        <vt:i4>5</vt:i4>
      </vt:variant>
      <vt:variant>
        <vt:lpwstr/>
      </vt:variant>
      <vt:variant>
        <vt:lpwstr>_Toc170919689</vt:lpwstr>
      </vt:variant>
      <vt:variant>
        <vt:i4>1572918</vt:i4>
      </vt:variant>
      <vt:variant>
        <vt:i4>122</vt:i4>
      </vt:variant>
      <vt:variant>
        <vt:i4>0</vt:i4>
      </vt:variant>
      <vt:variant>
        <vt:i4>5</vt:i4>
      </vt:variant>
      <vt:variant>
        <vt:lpwstr/>
      </vt:variant>
      <vt:variant>
        <vt:lpwstr>_Toc170919688</vt:lpwstr>
      </vt:variant>
      <vt:variant>
        <vt:i4>1572918</vt:i4>
      </vt:variant>
      <vt:variant>
        <vt:i4>116</vt:i4>
      </vt:variant>
      <vt:variant>
        <vt:i4>0</vt:i4>
      </vt:variant>
      <vt:variant>
        <vt:i4>5</vt:i4>
      </vt:variant>
      <vt:variant>
        <vt:lpwstr/>
      </vt:variant>
      <vt:variant>
        <vt:lpwstr>_Toc170919684</vt:lpwstr>
      </vt:variant>
      <vt:variant>
        <vt:i4>1572918</vt:i4>
      </vt:variant>
      <vt:variant>
        <vt:i4>110</vt:i4>
      </vt:variant>
      <vt:variant>
        <vt:i4>0</vt:i4>
      </vt:variant>
      <vt:variant>
        <vt:i4>5</vt:i4>
      </vt:variant>
      <vt:variant>
        <vt:lpwstr/>
      </vt:variant>
      <vt:variant>
        <vt:lpwstr>_Toc170919682</vt:lpwstr>
      </vt:variant>
      <vt:variant>
        <vt:i4>1507382</vt:i4>
      </vt:variant>
      <vt:variant>
        <vt:i4>104</vt:i4>
      </vt:variant>
      <vt:variant>
        <vt:i4>0</vt:i4>
      </vt:variant>
      <vt:variant>
        <vt:i4>5</vt:i4>
      </vt:variant>
      <vt:variant>
        <vt:lpwstr/>
      </vt:variant>
      <vt:variant>
        <vt:lpwstr>_Toc170919679</vt:lpwstr>
      </vt:variant>
      <vt:variant>
        <vt:i4>1507382</vt:i4>
      </vt:variant>
      <vt:variant>
        <vt:i4>98</vt:i4>
      </vt:variant>
      <vt:variant>
        <vt:i4>0</vt:i4>
      </vt:variant>
      <vt:variant>
        <vt:i4>5</vt:i4>
      </vt:variant>
      <vt:variant>
        <vt:lpwstr/>
      </vt:variant>
      <vt:variant>
        <vt:lpwstr>_Toc170919678</vt:lpwstr>
      </vt:variant>
      <vt:variant>
        <vt:i4>1507382</vt:i4>
      </vt:variant>
      <vt:variant>
        <vt:i4>92</vt:i4>
      </vt:variant>
      <vt:variant>
        <vt:i4>0</vt:i4>
      </vt:variant>
      <vt:variant>
        <vt:i4>5</vt:i4>
      </vt:variant>
      <vt:variant>
        <vt:lpwstr/>
      </vt:variant>
      <vt:variant>
        <vt:lpwstr>_Toc170919677</vt:lpwstr>
      </vt:variant>
      <vt:variant>
        <vt:i4>1507382</vt:i4>
      </vt:variant>
      <vt:variant>
        <vt:i4>86</vt:i4>
      </vt:variant>
      <vt:variant>
        <vt:i4>0</vt:i4>
      </vt:variant>
      <vt:variant>
        <vt:i4>5</vt:i4>
      </vt:variant>
      <vt:variant>
        <vt:lpwstr/>
      </vt:variant>
      <vt:variant>
        <vt:lpwstr>_Toc170919676</vt:lpwstr>
      </vt:variant>
      <vt:variant>
        <vt:i4>1507382</vt:i4>
      </vt:variant>
      <vt:variant>
        <vt:i4>80</vt:i4>
      </vt:variant>
      <vt:variant>
        <vt:i4>0</vt:i4>
      </vt:variant>
      <vt:variant>
        <vt:i4>5</vt:i4>
      </vt:variant>
      <vt:variant>
        <vt:lpwstr/>
      </vt:variant>
      <vt:variant>
        <vt:lpwstr>_Toc170919675</vt:lpwstr>
      </vt:variant>
      <vt:variant>
        <vt:i4>1507382</vt:i4>
      </vt:variant>
      <vt:variant>
        <vt:i4>74</vt:i4>
      </vt:variant>
      <vt:variant>
        <vt:i4>0</vt:i4>
      </vt:variant>
      <vt:variant>
        <vt:i4>5</vt:i4>
      </vt:variant>
      <vt:variant>
        <vt:lpwstr/>
      </vt:variant>
      <vt:variant>
        <vt:lpwstr>_Toc170919672</vt:lpwstr>
      </vt:variant>
      <vt:variant>
        <vt:i4>1507382</vt:i4>
      </vt:variant>
      <vt:variant>
        <vt:i4>68</vt:i4>
      </vt:variant>
      <vt:variant>
        <vt:i4>0</vt:i4>
      </vt:variant>
      <vt:variant>
        <vt:i4>5</vt:i4>
      </vt:variant>
      <vt:variant>
        <vt:lpwstr/>
      </vt:variant>
      <vt:variant>
        <vt:lpwstr>_Toc170919671</vt:lpwstr>
      </vt:variant>
      <vt:variant>
        <vt:i4>1507382</vt:i4>
      </vt:variant>
      <vt:variant>
        <vt:i4>62</vt:i4>
      </vt:variant>
      <vt:variant>
        <vt:i4>0</vt:i4>
      </vt:variant>
      <vt:variant>
        <vt:i4>5</vt:i4>
      </vt:variant>
      <vt:variant>
        <vt:lpwstr/>
      </vt:variant>
      <vt:variant>
        <vt:lpwstr>_Toc170919670</vt:lpwstr>
      </vt:variant>
      <vt:variant>
        <vt:i4>1441846</vt:i4>
      </vt:variant>
      <vt:variant>
        <vt:i4>56</vt:i4>
      </vt:variant>
      <vt:variant>
        <vt:i4>0</vt:i4>
      </vt:variant>
      <vt:variant>
        <vt:i4>5</vt:i4>
      </vt:variant>
      <vt:variant>
        <vt:lpwstr/>
      </vt:variant>
      <vt:variant>
        <vt:lpwstr>_Toc170919668</vt:lpwstr>
      </vt:variant>
      <vt:variant>
        <vt:i4>1441846</vt:i4>
      </vt:variant>
      <vt:variant>
        <vt:i4>50</vt:i4>
      </vt:variant>
      <vt:variant>
        <vt:i4>0</vt:i4>
      </vt:variant>
      <vt:variant>
        <vt:i4>5</vt:i4>
      </vt:variant>
      <vt:variant>
        <vt:lpwstr/>
      </vt:variant>
      <vt:variant>
        <vt:lpwstr>_Toc170919667</vt:lpwstr>
      </vt:variant>
      <vt:variant>
        <vt:i4>1441846</vt:i4>
      </vt:variant>
      <vt:variant>
        <vt:i4>44</vt:i4>
      </vt:variant>
      <vt:variant>
        <vt:i4>0</vt:i4>
      </vt:variant>
      <vt:variant>
        <vt:i4>5</vt:i4>
      </vt:variant>
      <vt:variant>
        <vt:lpwstr/>
      </vt:variant>
      <vt:variant>
        <vt:lpwstr>_Toc170919666</vt:lpwstr>
      </vt:variant>
      <vt:variant>
        <vt:i4>1441846</vt:i4>
      </vt:variant>
      <vt:variant>
        <vt:i4>38</vt:i4>
      </vt:variant>
      <vt:variant>
        <vt:i4>0</vt:i4>
      </vt:variant>
      <vt:variant>
        <vt:i4>5</vt:i4>
      </vt:variant>
      <vt:variant>
        <vt:lpwstr/>
      </vt:variant>
      <vt:variant>
        <vt:lpwstr>_Toc170919665</vt:lpwstr>
      </vt:variant>
      <vt:variant>
        <vt:i4>1441846</vt:i4>
      </vt:variant>
      <vt:variant>
        <vt:i4>32</vt:i4>
      </vt:variant>
      <vt:variant>
        <vt:i4>0</vt:i4>
      </vt:variant>
      <vt:variant>
        <vt:i4>5</vt:i4>
      </vt:variant>
      <vt:variant>
        <vt:lpwstr/>
      </vt:variant>
      <vt:variant>
        <vt:lpwstr>_Toc170919664</vt:lpwstr>
      </vt:variant>
      <vt:variant>
        <vt:i4>1441846</vt:i4>
      </vt:variant>
      <vt:variant>
        <vt:i4>26</vt:i4>
      </vt:variant>
      <vt:variant>
        <vt:i4>0</vt:i4>
      </vt:variant>
      <vt:variant>
        <vt:i4>5</vt:i4>
      </vt:variant>
      <vt:variant>
        <vt:lpwstr/>
      </vt:variant>
      <vt:variant>
        <vt:lpwstr>_Toc170919663</vt:lpwstr>
      </vt:variant>
      <vt:variant>
        <vt:i4>1441846</vt:i4>
      </vt:variant>
      <vt:variant>
        <vt:i4>20</vt:i4>
      </vt:variant>
      <vt:variant>
        <vt:i4>0</vt:i4>
      </vt:variant>
      <vt:variant>
        <vt:i4>5</vt:i4>
      </vt:variant>
      <vt:variant>
        <vt:lpwstr/>
      </vt:variant>
      <vt:variant>
        <vt:lpwstr>_Toc170919662</vt:lpwstr>
      </vt:variant>
      <vt:variant>
        <vt:i4>1441846</vt:i4>
      </vt:variant>
      <vt:variant>
        <vt:i4>14</vt:i4>
      </vt:variant>
      <vt:variant>
        <vt:i4>0</vt:i4>
      </vt:variant>
      <vt:variant>
        <vt:i4>5</vt:i4>
      </vt:variant>
      <vt:variant>
        <vt:lpwstr/>
      </vt:variant>
      <vt:variant>
        <vt:lpwstr>_Toc170919661</vt:lpwstr>
      </vt:variant>
      <vt:variant>
        <vt:i4>1441846</vt:i4>
      </vt:variant>
      <vt:variant>
        <vt:i4>8</vt:i4>
      </vt:variant>
      <vt:variant>
        <vt:i4>0</vt:i4>
      </vt:variant>
      <vt:variant>
        <vt:i4>5</vt:i4>
      </vt:variant>
      <vt:variant>
        <vt:lpwstr/>
      </vt:variant>
      <vt:variant>
        <vt:lpwstr>_Toc170919660</vt:lpwstr>
      </vt:variant>
      <vt:variant>
        <vt:i4>1376310</vt:i4>
      </vt:variant>
      <vt:variant>
        <vt:i4>2</vt:i4>
      </vt:variant>
      <vt:variant>
        <vt:i4>0</vt:i4>
      </vt:variant>
      <vt:variant>
        <vt:i4>5</vt:i4>
      </vt:variant>
      <vt:variant>
        <vt:lpwstr/>
      </vt:variant>
      <vt:variant>
        <vt:lpwstr>_Toc170919659</vt:lpwstr>
      </vt:variant>
      <vt:variant>
        <vt:i4>4784195</vt:i4>
      </vt:variant>
      <vt:variant>
        <vt:i4>162</vt:i4>
      </vt:variant>
      <vt:variant>
        <vt:i4>0</vt:i4>
      </vt:variant>
      <vt:variant>
        <vt:i4>5</vt:i4>
      </vt:variant>
      <vt:variant>
        <vt:lpwstr>https://www.aph.gov.au/Parliamentary_Business/Committees/Joint/National_Disability_Insurance_Scheme</vt:lpwstr>
      </vt:variant>
      <vt:variant>
        <vt:lpwstr/>
      </vt:variant>
      <vt:variant>
        <vt:i4>3801142</vt:i4>
      </vt:variant>
      <vt:variant>
        <vt:i4>159</vt:i4>
      </vt:variant>
      <vt:variant>
        <vt:i4>0</vt:i4>
      </vt:variant>
      <vt:variant>
        <vt:i4>5</vt:i4>
      </vt:variant>
      <vt:variant>
        <vt:lpwstr>https://www.dss.gov.au/sites/default/files/documents/02_2020/pdf-version-community-visitors-review_0.pdf</vt:lpwstr>
      </vt:variant>
      <vt:variant>
        <vt:lpwstr/>
      </vt:variant>
      <vt:variant>
        <vt:i4>2752632</vt:i4>
      </vt:variant>
      <vt:variant>
        <vt:i4>156</vt:i4>
      </vt:variant>
      <vt:variant>
        <vt:i4>0</vt:i4>
      </vt:variant>
      <vt:variant>
        <vt:i4>5</vt:i4>
      </vt:variant>
      <vt:variant>
        <vt:lpwstr>https://aus01.safelinks.protection.outlook.com/?url=https%3A%2F%2Fwww.pm.gov.au%2Fmedia%2Fmeeting-national-cabinet-better-future-federation&amp;data=05%7C02%7Csteve%40thesocialdeck.com%7C4e4bd633fd074ad36b5d08dc9b28daf2%7C360e558d185949b5a8a7faabcdf1254b%7C0%7C0%7C638555847017475842%7CUnknown%7CTWFpbGZsb3d8eyJWIjoiMC4wLjAwMDAiLCJQIjoiV2luMzIiLCJBTiI6Ik1haWwiLCJXVCI6Mn0%3D%7C0%7C%7C%7C&amp;sdata=ZfUKU0yAmMPg9zJ9xVJiQ98YcCPeZ7oxN%2BGRbUOQBF4%3D&amp;reserved=0</vt:lpwstr>
      </vt:variant>
      <vt:variant>
        <vt:lpwstr/>
      </vt:variant>
      <vt:variant>
        <vt:i4>6357045</vt:i4>
      </vt:variant>
      <vt:variant>
        <vt:i4>153</vt:i4>
      </vt:variant>
      <vt:variant>
        <vt:i4>0</vt:i4>
      </vt:variant>
      <vt:variant>
        <vt:i4>5</vt:i4>
      </vt:variant>
      <vt:variant>
        <vt:lpwstr>https://www.iso.org/standard/62085.html</vt:lpwstr>
      </vt:variant>
      <vt:variant>
        <vt:lpwstr/>
      </vt:variant>
      <vt:variant>
        <vt:i4>1245185</vt:i4>
      </vt:variant>
      <vt:variant>
        <vt:i4>150</vt:i4>
      </vt:variant>
      <vt:variant>
        <vt:i4>0</vt:i4>
      </vt:variant>
      <vt:variant>
        <vt:i4>5</vt:i4>
      </vt:variant>
      <vt:variant>
        <vt:lpwstr>https://parlinfo.aph.gov.au/parlInfo/download/committees/estimate/28105/toc_pdf/Community Affairs Legislation Committee_2024_06_03.pdf;fileType=application%2Fpdf</vt:lpwstr>
      </vt:variant>
      <vt:variant>
        <vt:lpwstr>search=%22committees/estimate/28105/0000%22</vt:lpwstr>
      </vt:variant>
      <vt:variant>
        <vt:i4>393242</vt:i4>
      </vt:variant>
      <vt:variant>
        <vt:i4>147</vt:i4>
      </vt:variant>
      <vt:variant>
        <vt:i4>0</vt:i4>
      </vt:variant>
      <vt:variant>
        <vt:i4>5</vt:i4>
      </vt:variant>
      <vt:variant>
        <vt:lpwstr>https://www.ndiscommission.gov.au/resources/reports-policies-and-frameworks/research-deaths-people-disability/2019-report-scoping</vt:lpwstr>
      </vt:variant>
      <vt:variant>
        <vt:lpwstr/>
      </vt:variant>
      <vt:variant>
        <vt:i4>2162750</vt:i4>
      </vt:variant>
      <vt:variant>
        <vt:i4>144</vt:i4>
      </vt:variant>
      <vt:variant>
        <vt:i4>0</vt:i4>
      </vt:variant>
      <vt:variant>
        <vt:i4>5</vt:i4>
      </vt:variant>
      <vt:variant>
        <vt:lpwstr>https://www.legislation.gov.au/F2018L00635/latest/text</vt:lpwstr>
      </vt:variant>
      <vt:variant>
        <vt:lpwstr/>
      </vt:variant>
      <vt:variant>
        <vt:i4>5439604</vt:i4>
      </vt:variant>
      <vt:variant>
        <vt:i4>141</vt:i4>
      </vt:variant>
      <vt:variant>
        <vt:i4>0</vt:i4>
      </vt:variant>
      <vt:variant>
        <vt:i4>5</vt:i4>
      </vt:variant>
      <vt:variant>
        <vt:lpwstr>https://www.ndiscommission.gov.au/sites/default/files/2022-02/detailed-guidance-reportable-incidents-detailed-guidance-registered_0.pdf</vt:lpwstr>
      </vt:variant>
      <vt:variant>
        <vt:lpwstr/>
      </vt:variant>
      <vt:variant>
        <vt:i4>7209076</vt:i4>
      </vt:variant>
      <vt:variant>
        <vt:i4>138</vt:i4>
      </vt:variant>
      <vt:variant>
        <vt:i4>0</vt:i4>
      </vt:variant>
      <vt:variant>
        <vt:i4>5</vt:i4>
      </vt:variant>
      <vt:variant>
        <vt:lpwstr>https://federation.gov.au/sites/default/files/about/agreements/iga-nat-consistent-worker-screening.pdf</vt:lpwstr>
      </vt:variant>
      <vt:variant>
        <vt:lpwstr/>
      </vt:variant>
      <vt:variant>
        <vt:i4>6225944</vt:i4>
      </vt:variant>
      <vt:variant>
        <vt:i4>135</vt:i4>
      </vt:variant>
      <vt:variant>
        <vt:i4>0</vt:i4>
      </vt:variant>
      <vt:variant>
        <vt:i4>5</vt:i4>
      </vt:variant>
      <vt:variant>
        <vt:lpwstr>https://www.ndiscommission.gov.au/workers/worker-training-modules-and-resources/worker-orientation-module</vt:lpwstr>
      </vt:variant>
      <vt:variant>
        <vt:lpwstr/>
      </vt:variant>
      <vt:variant>
        <vt:i4>1769476</vt:i4>
      </vt:variant>
      <vt:variant>
        <vt:i4>132</vt:i4>
      </vt:variant>
      <vt:variant>
        <vt:i4>0</vt:i4>
      </vt:variant>
      <vt:variant>
        <vt:i4>5</vt:i4>
      </vt:variant>
      <vt:variant>
        <vt:lpwstr>https://www.ndiscommission.gov.au/about/ndis-code-conduct</vt:lpwstr>
      </vt:variant>
      <vt:variant>
        <vt:lpwstr/>
      </vt:variant>
      <vt:variant>
        <vt:i4>2883634</vt:i4>
      </vt:variant>
      <vt:variant>
        <vt:i4>129</vt:i4>
      </vt:variant>
      <vt:variant>
        <vt:i4>0</vt:i4>
      </vt:variant>
      <vt:variant>
        <vt:i4>5</vt:i4>
      </vt:variant>
      <vt:variant>
        <vt:lpwstr>https://www.legislation.gov.au/C2013A00020/latest/text</vt:lpwstr>
      </vt:variant>
      <vt:variant>
        <vt:lpwstr/>
      </vt:variant>
      <vt:variant>
        <vt:i4>2883634</vt:i4>
      </vt:variant>
      <vt:variant>
        <vt:i4>126</vt:i4>
      </vt:variant>
      <vt:variant>
        <vt:i4>0</vt:i4>
      </vt:variant>
      <vt:variant>
        <vt:i4>5</vt:i4>
      </vt:variant>
      <vt:variant>
        <vt:lpwstr>https://www.legislation.gov.au/C2013A00020/latest/text</vt:lpwstr>
      </vt:variant>
      <vt:variant>
        <vt:lpwstr/>
      </vt:variant>
      <vt:variant>
        <vt:i4>2949178</vt:i4>
      </vt:variant>
      <vt:variant>
        <vt:i4>123</vt:i4>
      </vt:variant>
      <vt:variant>
        <vt:i4>0</vt:i4>
      </vt:variant>
      <vt:variant>
        <vt:i4>5</vt:i4>
      </vt:variant>
      <vt:variant>
        <vt:lpwstr>https://www.legislation.gov.au/F2013L01064/latest/text</vt:lpwstr>
      </vt:variant>
      <vt:variant>
        <vt:lpwstr/>
      </vt:variant>
      <vt:variant>
        <vt:i4>2883634</vt:i4>
      </vt:variant>
      <vt:variant>
        <vt:i4>120</vt:i4>
      </vt:variant>
      <vt:variant>
        <vt:i4>0</vt:i4>
      </vt:variant>
      <vt:variant>
        <vt:i4>5</vt:i4>
      </vt:variant>
      <vt:variant>
        <vt:lpwstr>https://www.legislation.gov.au/C2013A00020/latest/text</vt:lpwstr>
      </vt:variant>
      <vt:variant>
        <vt:lpwstr/>
      </vt:variant>
      <vt:variant>
        <vt:i4>2949178</vt:i4>
      </vt:variant>
      <vt:variant>
        <vt:i4>117</vt:i4>
      </vt:variant>
      <vt:variant>
        <vt:i4>0</vt:i4>
      </vt:variant>
      <vt:variant>
        <vt:i4>5</vt:i4>
      </vt:variant>
      <vt:variant>
        <vt:lpwstr>https://www.legislation.gov.au/F2013L01064/latest/text</vt:lpwstr>
      </vt:variant>
      <vt:variant>
        <vt:lpwstr/>
      </vt:variant>
      <vt:variant>
        <vt:i4>2883634</vt:i4>
      </vt:variant>
      <vt:variant>
        <vt:i4>114</vt:i4>
      </vt:variant>
      <vt:variant>
        <vt:i4>0</vt:i4>
      </vt:variant>
      <vt:variant>
        <vt:i4>5</vt:i4>
      </vt:variant>
      <vt:variant>
        <vt:lpwstr>https://www.legislation.gov.au/C2013A00020/latest/text</vt:lpwstr>
      </vt:variant>
      <vt:variant>
        <vt:lpwstr/>
      </vt:variant>
      <vt:variant>
        <vt:i4>2949178</vt:i4>
      </vt:variant>
      <vt:variant>
        <vt:i4>111</vt:i4>
      </vt:variant>
      <vt:variant>
        <vt:i4>0</vt:i4>
      </vt:variant>
      <vt:variant>
        <vt:i4>5</vt:i4>
      </vt:variant>
      <vt:variant>
        <vt:lpwstr>https://www.legislation.gov.au/F2013L01064/latest/text</vt:lpwstr>
      </vt:variant>
      <vt:variant>
        <vt:lpwstr/>
      </vt:variant>
      <vt:variant>
        <vt:i4>6881379</vt:i4>
      </vt:variant>
      <vt:variant>
        <vt:i4>108</vt:i4>
      </vt:variant>
      <vt:variant>
        <vt:i4>0</vt:i4>
      </vt:variant>
      <vt:variant>
        <vt:i4>5</vt:i4>
      </vt:variant>
      <vt:variant>
        <vt:lpwstr>https://www.ndis.gov.au/media/6403/download?attachment</vt:lpwstr>
      </vt:variant>
      <vt:variant>
        <vt:lpwstr/>
      </vt:variant>
      <vt:variant>
        <vt:i4>2883634</vt:i4>
      </vt:variant>
      <vt:variant>
        <vt:i4>105</vt:i4>
      </vt:variant>
      <vt:variant>
        <vt:i4>0</vt:i4>
      </vt:variant>
      <vt:variant>
        <vt:i4>5</vt:i4>
      </vt:variant>
      <vt:variant>
        <vt:lpwstr>https://www.legislation.gov.au/C2013A00020/latest/text</vt:lpwstr>
      </vt:variant>
      <vt:variant>
        <vt:lpwstr/>
      </vt:variant>
      <vt:variant>
        <vt:i4>5111811</vt:i4>
      </vt:variant>
      <vt:variant>
        <vt:i4>102</vt:i4>
      </vt:variant>
      <vt:variant>
        <vt:i4>0</vt:i4>
      </vt:variant>
      <vt:variant>
        <vt:i4>5</vt:i4>
      </vt:variant>
      <vt:variant>
        <vt:lpwstr>https://www.un.org/development/desa/disabilities/convention-on-the-rights-of-persons-with-disabilities/article-19-living-independently-and-being-included-in-the-community.html</vt:lpwstr>
      </vt:variant>
      <vt:variant>
        <vt:lpwstr>:~:text=States%20Parties%20to%20the%20present%20Convention%20recognize%20the,participation%20in%20the%20community%2C%20including%20by%20ensuring%20that%3A</vt:lpwstr>
      </vt:variant>
      <vt:variant>
        <vt:i4>4259871</vt:i4>
      </vt:variant>
      <vt:variant>
        <vt:i4>99</vt:i4>
      </vt:variant>
      <vt:variant>
        <vt:i4>0</vt:i4>
      </vt:variant>
      <vt:variant>
        <vt:i4>5</vt:i4>
      </vt:variant>
      <vt:variant>
        <vt:lpwstr>https://appliedselfdirection.com/what-self-direction</vt:lpwstr>
      </vt:variant>
      <vt:variant>
        <vt:lpwstr/>
      </vt:variant>
      <vt:variant>
        <vt:i4>6553641</vt:i4>
      </vt:variant>
      <vt:variant>
        <vt:i4>96</vt:i4>
      </vt:variant>
      <vt:variant>
        <vt:i4>0</vt:i4>
      </vt:variant>
      <vt:variant>
        <vt:i4>5</vt:i4>
      </vt:variant>
      <vt:variant>
        <vt:lpwstr>https://documents.un.org/doc/undoc/gen/g14/241/66/pdf/g1424166.pdf?token=eyvvsfmWuQeIaIT5Ay&amp;fe=true</vt:lpwstr>
      </vt:variant>
      <vt:variant>
        <vt:lpwstr/>
      </vt:variant>
      <vt:variant>
        <vt:i4>5505104</vt:i4>
      </vt:variant>
      <vt:variant>
        <vt:i4>93</vt:i4>
      </vt:variant>
      <vt:variant>
        <vt:i4>0</vt:i4>
      </vt:variant>
      <vt:variant>
        <vt:i4>5</vt:i4>
      </vt:variant>
      <vt:variant>
        <vt:lpwstr>https://disability.royalcommission.gov.au/system/files/2023-09/Final Report - Volume 7%2C Inclusive education%2C employment and housing - Summary and recommendations.pdf</vt:lpwstr>
      </vt:variant>
      <vt:variant>
        <vt:lpwstr/>
      </vt:variant>
      <vt:variant>
        <vt:i4>5505104</vt:i4>
      </vt:variant>
      <vt:variant>
        <vt:i4>90</vt:i4>
      </vt:variant>
      <vt:variant>
        <vt:i4>0</vt:i4>
      </vt:variant>
      <vt:variant>
        <vt:i4>5</vt:i4>
      </vt:variant>
      <vt:variant>
        <vt:lpwstr>https://disability.royalcommission.gov.au/system/files/2023-09/Final Report - Volume 7%2C Inclusive education%2C employment and housing - Summary and recommendations.pdf</vt:lpwstr>
      </vt:variant>
      <vt:variant>
        <vt:lpwstr/>
      </vt:variant>
      <vt:variant>
        <vt:i4>5505104</vt:i4>
      </vt:variant>
      <vt:variant>
        <vt:i4>87</vt:i4>
      </vt:variant>
      <vt:variant>
        <vt:i4>0</vt:i4>
      </vt:variant>
      <vt:variant>
        <vt:i4>5</vt:i4>
      </vt:variant>
      <vt:variant>
        <vt:lpwstr>https://disability.royalcommission.gov.au/system/files/2023-09/Final Report - Volume 7%2C Inclusive education%2C employment and housing - Summary and recommendations.pdf</vt:lpwstr>
      </vt:variant>
      <vt:variant>
        <vt:lpwstr/>
      </vt:variant>
      <vt:variant>
        <vt:i4>5505104</vt:i4>
      </vt:variant>
      <vt:variant>
        <vt:i4>84</vt:i4>
      </vt:variant>
      <vt:variant>
        <vt:i4>0</vt:i4>
      </vt:variant>
      <vt:variant>
        <vt:i4>5</vt:i4>
      </vt:variant>
      <vt:variant>
        <vt:lpwstr>https://disability.royalcommission.gov.au/system/files/2023-09/Final Report - Volume 7%2C Inclusive education%2C employment and housing - Summary and recommendations.pdf</vt:lpwstr>
      </vt:variant>
      <vt:variant>
        <vt:lpwstr/>
      </vt:variant>
      <vt:variant>
        <vt:i4>524293</vt:i4>
      </vt:variant>
      <vt:variant>
        <vt:i4>81</vt:i4>
      </vt:variant>
      <vt:variant>
        <vt:i4>0</vt:i4>
      </vt:variant>
      <vt:variant>
        <vt:i4>5</vt:i4>
      </vt:variant>
      <vt:variant>
        <vt:lpwstr>https://www.fivegoodfriends.com.au/ndis-supports</vt:lpwstr>
      </vt:variant>
      <vt:variant>
        <vt:lpwstr/>
      </vt:variant>
      <vt:variant>
        <vt:i4>2949173</vt:i4>
      </vt:variant>
      <vt:variant>
        <vt:i4>78</vt:i4>
      </vt:variant>
      <vt:variant>
        <vt:i4>0</vt:i4>
      </vt:variant>
      <vt:variant>
        <vt:i4>5</vt:i4>
      </vt:variant>
      <vt:variant>
        <vt:lpwstr>https://hireup.com.au/</vt:lpwstr>
      </vt:variant>
      <vt:variant>
        <vt:lpwstr/>
      </vt:variant>
      <vt:variant>
        <vt:i4>2883697</vt:i4>
      </vt:variant>
      <vt:variant>
        <vt:i4>75</vt:i4>
      </vt:variant>
      <vt:variant>
        <vt:i4>0</vt:i4>
      </vt:variant>
      <vt:variant>
        <vt:i4>5</vt:i4>
      </vt:variant>
      <vt:variant>
        <vt:lpwstr>https://www.ndiscommission.gov.au/resources/find-registered-provider/list-registered-providers</vt:lpwstr>
      </vt:variant>
      <vt:variant>
        <vt:lpwstr/>
      </vt:variant>
      <vt:variant>
        <vt:i4>5505106</vt:i4>
      </vt:variant>
      <vt:variant>
        <vt:i4>72</vt:i4>
      </vt:variant>
      <vt:variant>
        <vt:i4>0</vt:i4>
      </vt:variant>
      <vt:variant>
        <vt:i4>5</vt:i4>
      </vt:variant>
      <vt:variant>
        <vt:lpwstr>https://www.ndiscommission.gov.au/resources/reports-policies-and-frameworks/inquiries-reports-and-reviews/own-motion-inquiry-platform</vt:lpwstr>
      </vt:variant>
      <vt:variant>
        <vt:lpwstr>paragraph-id-7050</vt:lpwstr>
      </vt:variant>
      <vt:variant>
        <vt:i4>5505106</vt:i4>
      </vt:variant>
      <vt:variant>
        <vt:i4>69</vt:i4>
      </vt:variant>
      <vt:variant>
        <vt:i4>0</vt:i4>
      </vt:variant>
      <vt:variant>
        <vt:i4>5</vt:i4>
      </vt:variant>
      <vt:variant>
        <vt:lpwstr>https://www.ndiscommission.gov.au/resources/reports-policies-and-frameworks/inquiries-reports-and-reviews/own-motion-inquiry-platform</vt:lpwstr>
      </vt:variant>
      <vt:variant>
        <vt:lpwstr>paragraph-id-7050</vt:lpwstr>
      </vt:variant>
      <vt:variant>
        <vt:i4>5505106</vt:i4>
      </vt:variant>
      <vt:variant>
        <vt:i4>66</vt:i4>
      </vt:variant>
      <vt:variant>
        <vt:i4>0</vt:i4>
      </vt:variant>
      <vt:variant>
        <vt:i4>5</vt:i4>
      </vt:variant>
      <vt:variant>
        <vt:lpwstr>https://www.ndiscommission.gov.au/resources/reports-policies-and-frameworks/inquiries-reports-and-reviews/own-motion-inquiry-platform</vt:lpwstr>
      </vt:variant>
      <vt:variant>
        <vt:lpwstr>paragraph-id-7050</vt:lpwstr>
      </vt:variant>
      <vt:variant>
        <vt:i4>5505106</vt:i4>
      </vt:variant>
      <vt:variant>
        <vt:i4>63</vt:i4>
      </vt:variant>
      <vt:variant>
        <vt:i4>0</vt:i4>
      </vt:variant>
      <vt:variant>
        <vt:i4>5</vt:i4>
      </vt:variant>
      <vt:variant>
        <vt:lpwstr>https://www.ndiscommission.gov.au/resources/reports-policies-and-frameworks/inquiries-reports-and-reviews/own-motion-inquiry-platform</vt:lpwstr>
      </vt:variant>
      <vt:variant>
        <vt:lpwstr>paragraph-id-7050</vt:lpwstr>
      </vt:variant>
      <vt:variant>
        <vt:i4>983146</vt:i4>
      </vt:variant>
      <vt:variant>
        <vt:i4>60</vt:i4>
      </vt:variant>
      <vt:variant>
        <vt:i4>0</vt:i4>
      </vt:variant>
      <vt:variant>
        <vt:i4>5</vt:i4>
      </vt:variant>
      <vt:variant>
        <vt:lpwstr>https://www.ndiscommission.gov.au/sites/default/files/2022-02/independent-review-report-commissioner-public-310820_1.pdf</vt:lpwstr>
      </vt:variant>
      <vt:variant>
        <vt:lpwstr/>
      </vt:variant>
      <vt:variant>
        <vt:i4>983146</vt:i4>
      </vt:variant>
      <vt:variant>
        <vt:i4>57</vt:i4>
      </vt:variant>
      <vt:variant>
        <vt:i4>0</vt:i4>
      </vt:variant>
      <vt:variant>
        <vt:i4>5</vt:i4>
      </vt:variant>
      <vt:variant>
        <vt:lpwstr>https://www.ndiscommission.gov.au/sites/default/files/2022-02/independent-review-report-commissioner-public-310820_1.pdf</vt:lpwstr>
      </vt:variant>
      <vt:variant>
        <vt:lpwstr/>
      </vt:variant>
      <vt:variant>
        <vt:i4>1507418</vt:i4>
      </vt:variant>
      <vt:variant>
        <vt:i4>54</vt:i4>
      </vt:variant>
      <vt:variant>
        <vt:i4>0</vt:i4>
      </vt:variant>
      <vt:variant>
        <vt:i4>5</vt:i4>
      </vt:variant>
      <vt:variant>
        <vt:lpwstr>https://disability.royalcommission.gov.au/system/files/2023-09/Final Report - Volume 3%2C Nature and Extent of Violence%2C abuse%2C neglect and exploitation.pdf</vt:lpwstr>
      </vt:variant>
      <vt:variant>
        <vt:lpwstr/>
      </vt:variant>
      <vt:variant>
        <vt:i4>7471142</vt:i4>
      </vt:variant>
      <vt:variant>
        <vt:i4>51</vt:i4>
      </vt:variant>
      <vt:variant>
        <vt:i4>0</vt:i4>
      </vt:variant>
      <vt:variant>
        <vt:i4>5</vt:i4>
      </vt:variant>
      <vt:variant>
        <vt:lpwstr>https://www.dss.gov.au/sites/default/files/documents/02_2017/ndis_quality_and_safeguarding_framework_final.pdf</vt:lpwstr>
      </vt:variant>
      <vt:variant>
        <vt:lpwstr/>
      </vt:variant>
      <vt:variant>
        <vt:i4>6815864</vt:i4>
      </vt:variant>
      <vt:variant>
        <vt:i4>48</vt:i4>
      </vt:variant>
      <vt:variant>
        <vt:i4>0</vt:i4>
      </vt:variant>
      <vt:variant>
        <vt:i4>5</vt:i4>
      </vt:variant>
      <vt:variant>
        <vt:lpwstr>https://www.ndisreview.gov.au/sites/default/files/resource/download/NDIS-Review-Supporting-Analysis.pdf</vt:lpwstr>
      </vt:variant>
      <vt:variant>
        <vt:lpwstr/>
      </vt:variant>
      <vt:variant>
        <vt:i4>262215</vt:i4>
      </vt:variant>
      <vt:variant>
        <vt:i4>45</vt:i4>
      </vt:variant>
      <vt:variant>
        <vt:i4>0</vt:i4>
      </vt:variant>
      <vt:variant>
        <vt:i4>5</vt:i4>
      </vt:variant>
      <vt:variant>
        <vt:lpwstr>https://disability.royalcommission.gov.au/publications/diversity-dignity-equity-and-best-practice-framework-supported-decision-making</vt:lpwstr>
      </vt:variant>
      <vt:variant>
        <vt:lpwstr/>
      </vt:variant>
      <vt:variant>
        <vt:i4>7471163</vt:i4>
      </vt:variant>
      <vt:variant>
        <vt:i4>42</vt:i4>
      </vt:variant>
      <vt:variant>
        <vt:i4>0</vt:i4>
      </vt:variant>
      <vt:variant>
        <vt:i4>5</vt:i4>
      </vt:variant>
      <vt:variant>
        <vt:lpwstr>https://www.ndis.gov.au/about-us/policies/supported-decision-making-policy</vt:lpwstr>
      </vt:variant>
      <vt:variant>
        <vt:lpwstr/>
      </vt:variant>
      <vt:variant>
        <vt:i4>4063342</vt:i4>
      </vt:variant>
      <vt:variant>
        <vt:i4>39</vt:i4>
      </vt:variant>
      <vt:variant>
        <vt:i4>0</vt:i4>
      </vt:variant>
      <vt:variant>
        <vt:i4>5</vt:i4>
      </vt:variant>
      <vt:variant>
        <vt:lpwstr>https://www.un.org/disabilities/documents/convention/convoptprot-e.pdf</vt:lpwstr>
      </vt:variant>
      <vt:variant>
        <vt:lpwstr/>
      </vt:variant>
      <vt:variant>
        <vt:i4>4718676</vt:i4>
      </vt:variant>
      <vt:variant>
        <vt:i4>36</vt:i4>
      </vt:variant>
      <vt:variant>
        <vt:i4>0</vt:i4>
      </vt:variant>
      <vt:variant>
        <vt:i4>5</vt:i4>
      </vt:variant>
      <vt:variant>
        <vt:lpwstr>https://www.ndisreview.gov.au/sites/default/files/resource/download/working-together-ndis-review-final-report.pdf</vt:lpwstr>
      </vt:variant>
      <vt:variant>
        <vt:lpwstr/>
      </vt:variant>
      <vt:variant>
        <vt:i4>2228318</vt:i4>
      </vt:variant>
      <vt:variant>
        <vt:i4>33</vt:i4>
      </vt:variant>
      <vt:variant>
        <vt:i4>0</vt:i4>
      </vt:variant>
      <vt:variant>
        <vt:i4>5</vt:i4>
      </vt:variant>
      <vt:variant>
        <vt:lpwstr>https://www.nds.org.au/media/com_ndssync/TaskforceSubmission FINAL.pdf</vt:lpwstr>
      </vt:variant>
      <vt:variant>
        <vt:lpwstr/>
      </vt:variant>
      <vt:variant>
        <vt:i4>5505110</vt:i4>
      </vt:variant>
      <vt:variant>
        <vt:i4>30</vt:i4>
      </vt:variant>
      <vt:variant>
        <vt:i4>0</vt:i4>
      </vt:variant>
      <vt:variant>
        <vt:i4>5</vt:i4>
      </vt:variant>
      <vt:variant>
        <vt:lpwstr>https://www.ndiscommission.gov.au/sites/default/files/2022-11/Compliance and Enforcement Policy Nov 2022.pdf</vt:lpwstr>
      </vt:variant>
      <vt:variant>
        <vt:lpwstr/>
      </vt:variant>
      <vt:variant>
        <vt:i4>2949183</vt:i4>
      </vt:variant>
      <vt:variant>
        <vt:i4>27</vt:i4>
      </vt:variant>
      <vt:variant>
        <vt:i4>0</vt:i4>
      </vt:variant>
      <vt:variant>
        <vt:i4>5</vt:i4>
      </vt:variant>
      <vt:variant>
        <vt:lpwstr>https://www.legislation.gov.au/F2018L00629/latest/text</vt:lpwstr>
      </vt:variant>
      <vt:variant>
        <vt:lpwstr/>
      </vt:variant>
      <vt:variant>
        <vt:i4>2883634</vt:i4>
      </vt:variant>
      <vt:variant>
        <vt:i4>24</vt:i4>
      </vt:variant>
      <vt:variant>
        <vt:i4>0</vt:i4>
      </vt:variant>
      <vt:variant>
        <vt:i4>5</vt:i4>
      </vt:variant>
      <vt:variant>
        <vt:lpwstr>https://www.legislation.gov.au/C2013A00020/latest/text</vt:lpwstr>
      </vt:variant>
      <vt:variant>
        <vt:lpwstr/>
      </vt:variant>
      <vt:variant>
        <vt:i4>7077909</vt:i4>
      </vt:variant>
      <vt:variant>
        <vt:i4>21</vt:i4>
      </vt:variant>
      <vt:variant>
        <vt:i4>0</vt:i4>
      </vt:variant>
      <vt:variant>
        <vt:i4>5</vt:i4>
      </vt:variant>
      <vt:variant>
        <vt:lpwstr>https://www.ndiscommission.gov.au/sites/default/files/2022-08/Supported-accommodation-inquiry-tors_0 170822%284%29.pdf</vt:lpwstr>
      </vt:variant>
      <vt:variant>
        <vt:lpwstr/>
      </vt:variant>
      <vt:variant>
        <vt:i4>655436</vt:i4>
      </vt:variant>
      <vt:variant>
        <vt:i4>18</vt:i4>
      </vt:variant>
      <vt:variant>
        <vt:i4>0</vt:i4>
      </vt:variant>
      <vt:variant>
        <vt:i4>5</vt:i4>
      </vt:variant>
      <vt:variant>
        <vt:lpwstr>https://ministers.dss.gov.au/media-releases/14236</vt:lpwstr>
      </vt:variant>
      <vt:variant>
        <vt:lpwstr/>
      </vt:variant>
      <vt:variant>
        <vt:i4>655435</vt:i4>
      </vt:variant>
      <vt:variant>
        <vt:i4>15</vt:i4>
      </vt:variant>
      <vt:variant>
        <vt:i4>0</vt:i4>
      </vt:variant>
      <vt:variant>
        <vt:i4>5</vt:i4>
      </vt:variant>
      <vt:variant>
        <vt:lpwstr>https://ministers.dss.gov.au/media-releases/13541</vt:lpwstr>
      </vt:variant>
      <vt:variant>
        <vt:lpwstr/>
      </vt:variant>
      <vt:variant>
        <vt:i4>7143543</vt:i4>
      </vt:variant>
      <vt:variant>
        <vt:i4>12</vt:i4>
      </vt:variant>
      <vt:variant>
        <vt:i4>0</vt:i4>
      </vt:variant>
      <vt:variant>
        <vt:i4>5</vt:i4>
      </vt:variant>
      <vt:variant>
        <vt:lpwstr>https://www.ndisreview.gov.au/about/terms-of-reference</vt:lpwstr>
      </vt:variant>
      <vt:variant>
        <vt:lpwstr/>
      </vt:variant>
      <vt:variant>
        <vt:i4>983109</vt:i4>
      </vt:variant>
      <vt:variant>
        <vt:i4>9</vt:i4>
      </vt:variant>
      <vt:variant>
        <vt:i4>0</vt:i4>
      </vt:variant>
      <vt:variant>
        <vt:i4>5</vt:i4>
      </vt:variant>
      <vt:variant>
        <vt:lpwstr>https://ministers.dss.gov.au/media-releases/9436</vt:lpwstr>
      </vt:variant>
      <vt:variant>
        <vt:lpwstr/>
      </vt:variant>
      <vt:variant>
        <vt:i4>2621553</vt:i4>
      </vt:variant>
      <vt:variant>
        <vt:i4>6</vt:i4>
      </vt:variant>
      <vt:variant>
        <vt:i4>0</vt:i4>
      </vt:variant>
      <vt:variant>
        <vt:i4>5</vt:i4>
      </vt:variant>
      <vt:variant>
        <vt:lpwstr>https://disability.royalcommission.gov.au/publications/final-report</vt:lpwstr>
      </vt:variant>
      <vt:variant>
        <vt:lpwstr/>
      </vt:variant>
      <vt:variant>
        <vt:i4>983146</vt:i4>
      </vt:variant>
      <vt:variant>
        <vt:i4>3</vt:i4>
      </vt:variant>
      <vt:variant>
        <vt:i4>0</vt:i4>
      </vt:variant>
      <vt:variant>
        <vt:i4>5</vt:i4>
      </vt:variant>
      <vt:variant>
        <vt:lpwstr>https://www.ndiscommission.gov.au/sites/default/files/2022-02/independent-review-report-commissioner-public-310820_1.pdf</vt:lpwstr>
      </vt:variant>
      <vt:variant>
        <vt:lpwstr/>
      </vt:variant>
      <vt:variant>
        <vt:i4>3801175</vt:i4>
      </vt:variant>
      <vt:variant>
        <vt:i4>0</vt:i4>
      </vt:variant>
      <vt:variant>
        <vt:i4>0</vt:i4>
      </vt:variant>
      <vt:variant>
        <vt:i4>5</vt:i4>
      </vt:variant>
      <vt:variant>
        <vt:lpwstr>https://www.dss.gov.au/sites/default/files/documents/01_2020/ndis-act-review-final-accessibility-and-prepared-publishing1.pdf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Provider and Workforce Registration Taskforce</dc:title>
  <dc:subject>Advice</dc:subject>
  <dc:creator>NDIS provider and Worker Registration Taskforce</dc:creator>
  <cp:keywords>Advice, recommendation, review, framework, types of providers</cp:keywords>
  <dc:description/>
  <cp:lastPrinted>2024-07-01T21:38:00Z</cp:lastPrinted>
  <dcterms:created xsi:type="dcterms:W3CDTF">2026-05-06T22:43:00Z</dcterms:created>
  <dcterms:modified xsi:type="dcterms:W3CDTF">2026-05-07T00:54:00Z</dcterms:modified>
  <cp:category>NDIS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0x010100873BA4AEF411914F9DA22C25B54578EC</vt:lpwstr>
  </property>
  <property fmtid="{D5CDD505-2E9C-101B-9397-08002B2CF9AE}" pid="3" name="MediaServiceImageTags">
    <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PM_Qualifier">
    <vt:lpwstr/>
  </property>
  <property fmtid="{D5CDD505-2E9C-101B-9397-08002B2CF9AE}" pid="9" name="PM_Markers">
    <vt:lpwstr/>
  </property>
  <property fmtid="{D5CDD505-2E9C-101B-9397-08002B2CF9AE}" pid="10" name="PM_Originating_FileId">
    <vt:lpwstr>2AD9CB4884B14EEF851078F68AC1B1AD</vt:lpwstr>
  </property>
  <property fmtid="{D5CDD505-2E9C-101B-9397-08002B2CF9AE}" pid="11" name="PM_ProtectiveMarkingImage_Header">
    <vt:lpwstr>C:\Program Files (x86)\Common Files\janusNET Shared\janusSEAL\Images\DocumentSlashBlue.png</vt:lpwstr>
  </property>
  <property fmtid="{D5CDD505-2E9C-101B-9397-08002B2CF9AE}" pid="12" name="PM_ProtectiveMarkingImage_Footer">
    <vt:lpwstr>C:\Program Files (x86)\Common Files\janusNET Shared\janusSEAL\Images\DocumentSlashBlue.png</vt:lpwstr>
  </property>
  <property fmtid="{D5CDD505-2E9C-101B-9397-08002B2CF9AE}" pid="13" name="PM_OriginatorDomainName_SHA256">
    <vt:lpwstr>E83A2A66C4061446A7E3732E8D44762184B6B377D962B96C83DC624302585857</vt:lpwstr>
  </property>
  <property fmtid="{D5CDD505-2E9C-101B-9397-08002B2CF9AE}" pid="14" name="PM_Hash_Version">
    <vt:lpwstr>2022.1</vt:lpwstr>
  </property>
  <property fmtid="{D5CDD505-2E9C-101B-9397-08002B2CF9AE}" pid="15" name="PM_Qualifier_Prev">
    <vt:lpwstr/>
  </property>
  <property fmtid="{D5CDD505-2E9C-101B-9397-08002B2CF9AE}" pid="16" name="PM_SecurityClassification_Prev">
    <vt:lpwstr>OFFICIAL</vt:lpwstr>
  </property>
  <property fmtid="{D5CDD505-2E9C-101B-9397-08002B2CF9AE}" pid="17" name="PM_SecurityClassification">
    <vt:lpwstr>OFFICIAL</vt:lpwstr>
  </property>
  <property fmtid="{D5CDD505-2E9C-101B-9397-08002B2CF9AE}" pid="18" name="PM_ProtectiveMarkingValue_Header">
    <vt:lpwstr>OFFICIAL</vt:lpwstr>
  </property>
  <property fmtid="{D5CDD505-2E9C-101B-9397-08002B2CF9AE}" pid="19" name="PM_OriginationTimeStamp">
    <vt:lpwstr>2024-07-02T04:40:32Z</vt:lpwstr>
  </property>
  <property fmtid="{D5CDD505-2E9C-101B-9397-08002B2CF9AE}" pid="20" name="PM_ProtectiveMarkingValue_Footer">
    <vt:lpwstr>OFFICIAL</vt:lpwstr>
  </property>
  <property fmtid="{D5CDD505-2E9C-101B-9397-08002B2CF9AE}" pid="21" name="PM_InsertionValue">
    <vt:lpwstr>OFFICIAL</vt:lpwstr>
  </property>
  <property fmtid="{D5CDD505-2E9C-101B-9397-08002B2CF9AE}" pid="22" name="PM_DisplayValueSecClassificationWithQualifier">
    <vt:lpwstr>OFFICIAL</vt:lpwstr>
  </property>
  <property fmtid="{D5CDD505-2E9C-101B-9397-08002B2CF9AE}" pid="23" name="PM_Display">
    <vt:lpwstr>OFFICIAL</vt:lpwstr>
  </property>
  <property fmtid="{D5CDD505-2E9C-101B-9397-08002B2CF9AE}" pid="24" name="PMUuid">
    <vt:lpwstr>v=2022.2;d=gov.au;g=46DD6D7C-8107-577B-BC6E-F348953B2E44</vt:lpwstr>
  </property>
  <property fmtid="{D5CDD505-2E9C-101B-9397-08002B2CF9AE}" pid="25" name="PM_OriginatorUserAccountName_SHA256">
    <vt:lpwstr>9735D4102EDC97113507B89F7644717D6491166E218FDB2B475624D70709F12A</vt:lpwstr>
  </property>
  <property fmtid="{D5CDD505-2E9C-101B-9397-08002B2CF9AE}" pid="26" name="PM_Originator_Hash_SHA1">
    <vt:lpwstr>CD6AED7955FEC6BD35B59C32E821BB2DBC631E58</vt:lpwstr>
  </property>
  <property fmtid="{D5CDD505-2E9C-101B-9397-08002B2CF9AE}" pid="27" name="PMHMAC">
    <vt:lpwstr>v=2022.1;a=SHA256;h=95BF018D199D7EC2FA5AB0CA94F7DBC806B943F05627F96356C59130297FC761</vt:lpwstr>
  </property>
  <property fmtid="{D5CDD505-2E9C-101B-9397-08002B2CF9AE}" pid="28" name="PM_Hash_Salt_Prev">
    <vt:lpwstr>73A52E6C6C324442C4270C201B5C1BC7</vt:lpwstr>
  </property>
  <property fmtid="{D5CDD505-2E9C-101B-9397-08002B2CF9AE}" pid="29" name="PM_Hash_Salt">
    <vt:lpwstr>CB3AE3B99748ED9F9E0AC779D9B1C2C4</vt:lpwstr>
  </property>
  <property fmtid="{D5CDD505-2E9C-101B-9397-08002B2CF9AE}" pid="30" name="PM_Hash_SHA1">
    <vt:lpwstr>9A26CDBAC47161552956D64F7FB1D59BEB31EF3B</vt:lpwstr>
  </property>
  <property fmtid="{D5CDD505-2E9C-101B-9397-08002B2CF9AE}" pid="31" name="MSIP_Label_eb34d90b-fc41-464d-af60-f74d721d0790_Name">
    <vt:lpwstr>OFFICIAL</vt:lpwstr>
  </property>
  <property fmtid="{D5CDD505-2E9C-101B-9397-08002B2CF9AE}" pid="32" name="MSIP_Label_eb34d90b-fc41-464d-af60-f74d721d0790_SetDate">
    <vt:lpwstr>2024-07-02T04:40:32Z</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ContentBits">
    <vt:lpwstr>0</vt:lpwstr>
  </property>
  <property fmtid="{D5CDD505-2E9C-101B-9397-08002B2CF9AE}" pid="35" name="MSIP_Label_eb34d90b-fc41-464d-af60-f74d721d0790_Enabled">
    <vt:lpwstr>true</vt:lpwstr>
  </property>
  <property fmtid="{D5CDD505-2E9C-101B-9397-08002B2CF9AE}" pid="36" name="MSIP_Label_eb34d90b-fc41-464d-af60-f74d721d0790_Method">
    <vt:lpwstr>Privileged</vt:lpwstr>
  </property>
  <property fmtid="{D5CDD505-2E9C-101B-9397-08002B2CF9AE}" pid="37" name="MSIP_Label_eb34d90b-fc41-464d-af60-f74d721d0790_ActionId">
    <vt:lpwstr>53df023e0d2e452087ec874124a369c3</vt:lpwstr>
  </property>
  <property fmtid="{D5CDD505-2E9C-101B-9397-08002B2CF9AE}" pid="38" name="ClassificationContentMarkingHeaderShapeIds">
    <vt:lpwstr>a724eb9,1f21fa85,3063ca7d,28704136,4ce120c8,b78b040,68f3323a,30a42a54,68ff6960,7ca8f85a,6176c2d8,490712b,5c8149ec,3708c81b,4cd9a476</vt:lpwstr>
  </property>
  <property fmtid="{D5CDD505-2E9C-101B-9397-08002B2CF9AE}" pid="39" name="ClassificationContentMarkingHeaderFontProps">
    <vt:lpwstr>#ff0000,12,Aptos</vt:lpwstr>
  </property>
  <property fmtid="{D5CDD505-2E9C-101B-9397-08002B2CF9AE}" pid="40" name="ClassificationContentMarkingHeaderText">
    <vt:lpwstr>OFFICIAL</vt:lpwstr>
  </property>
  <property fmtid="{D5CDD505-2E9C-101B-9397-08002B2CF9AE}" pid="41" name="ClassificationContentMarkingFooterShapeIds">
    <vt:lpwstr>5f0f1dc9,367c37ed,3f24dd9</vt:lpwstr>
  </property>
  <property fmtid="{D5CDD505-2E9C-101B-9397-08002B2CF9AE}" pid="42" name="ClassificationContentMarkingFooterFontProps">
    <vt:lpwstr>#ff0000,12,Aptos</vt:lpwstr>
  </property>
  <property fmtid="{D5CDD505-2E9C-101B-9397-08002B2CF9AE}" pid="43" name="ClassificationContentMarkingFooterText">
    <vt:lpwstr>OFFICIAL</vt:lpwstr>
  </property>
  <property fmtid="{D5CDD505-2E9C-101B-9397-08002B2CF9AE}" pid="44" name="MSIP_Label_7cd3e8b9-ffed-43a8-b7f4-cc2fa0382d36_Enabled">
    <vt:lpwstr>true</vt:lpwstr>
  </property>
  <property fmtid="{D5CDD505-2E9C-101B-9397-08002B2CF9AE}" pid="45" name="MSIP_Label_7cd3e8b9-ffed-43a8-b7f4-cc2fa0382d36_SetDate">
    <vt:lpwstr>2026-05-06T22:42:47Z</vt:lpwstr>
  </property>
  <property fmtid="{D5CDD505-2E9C-101B-9397-08002B2CF9AE}" pid="46" name="MSIP_Label_7cd3e8b9-ffed-43a8-b7f4-cc2fa0382d36_Method">
    <vt:lpwstr>Privileged</vt:lpwstr>
  </property>
  <property fmtid="{D5CDD505-2E9C-101B-9397-08002B2CF9AE}" pid="47" name="MSIP_Label_7cd3e8b9-ffed-43a8-b7f4-cc2fa0382d36_Name">
    <vt:lpwstr>O</vt:lpwstr>
  </property>
  <property fmtid="{D5CDD505-2E9C-101B-9397-08002B2CF9AE}" pid="48" name="MSIP_Label_7cd3e8b9-ffed-43a8-b7f4-cc2fa0382d36_SiteId">
    <vt:lpwstr>34a3929c-73cf-4954-abfe-147dc3517892</vt:lpwstr>
  </property>
  <property fmtid="{D5CDD505-2E9C-101B-9397-08002B2CF9AE}" pid="49" name="MSIP_Label_7cd3e8b9-ffed-43a8-b7f4-cc2fa0382d36_ActionId">
    <vt:lpwstr>431be72f-d6ac-404b-81df-0c81c2aa5446</vt:lpwstr>
  </property>
  <property fmtid="{D5CDD505-2E9C-101B-9397-08002B2CF9AE}" pid="50" name="MSIP_Label_7cd3e8b9-ffed-43a8-b7f4-cc2fa0382d36_ContentBits">
    <vt:lpwstr>3</vt:lpwstr>
  </property>
  <property fmtid="{D5CDD505-2E9C-101B-9397-08002B2CF9AE}" pid="51" name="MSIP_Label_7cd3e8b9-ffed-43a8-b7f4-cc2fa0382d36_Tag">
    <vt:lpwstr>10, 0, 1, 1</vt:lpwstr>
  </property>
</Properties>
</file>